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85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858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01/07/2013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5,661</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4.4461</w:t>
            </w:r>
          </w:p>
        </w:tc>
        <w:tc>
          <w:tcPr>
            <w:tcW w:w="1380" w:type="dxa"/>
            <w:vAlign w:val="bottom"/>
            <w:gridSpan w:val="3"/>
          </w:tcPr>
          <w:p>
            <w:pPr>
              <w:jc w:val="right"/>
              <w:ind w:right="356"/>
              <w:spacing w:after="0"/>
              <w:rPr>
                <w:sz w:val="20"/>
                <w:szCs w:val="20"/>
                <w:color w:val="auto"/>
              </w:rPr>
            </w:pPr>
            <w:r>
              <w:rPr>
                <w:rFonts w:ascii="Arial" w:cs="Arial" w:eastAsia="Arial" w:hAnsi="Arial"/>
                <w:sz w:val="18"/>
                <w:szCs w:val="18"/>
                <w:color w:val="0000FF"/>
              </w:rPr>
              <w:t>5,661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01/07/2013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5,661</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14.6152</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2,837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01/07/2013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2,837</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02/06/2018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right"/>
              <w:ind w:right="116"/>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2,824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01/07/2013</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2,824</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02/06/2018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right"/>
              <w:spacing w:after="0" w:line="133" w:lineRule="exact"/>
              <w:rPr>
                <w:sz w:val="20"/>
                <w:szCs w:val="20"/>
                <w:color w:val="auto"/>
              </w:rPr>
            </w:pPr>
            <w:r>
              <w:rPr>
                <w:rFonts w:ascii="Arial" w:cs="Arial" w:eastAsia="Arial" w:hAnsi="Arial"/>
                <w:sz w:val="14"/>
                <w:szCs w:val="14"/>
                <w:color w:val="0000FF"/>
              </w:rPr>
              <w:t>5,433</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August 30, 2011.</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$14.40 to $14.81,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18.75% of the shares subject to the Option vested on February 7, 2009 and 1/48th of the shares subject to the Option vest each month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May 1, 2012.</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01/09/2013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2019-12-17T16:32:05Z</dcterms:created>
  <dcterms:modified xsi:type="dcterms:W3CDTF">2019-12-17T16:32:05Z</dcterms:modified>
</cp:coreProperties>
</file>