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32"/>
          <w:szCs w:val="32"/>
          <w:b w:val="1"/>
          <w:bCs w:val="1"/>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Fluidigm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100" w:type="dxa"/>
        <w:tblCellMar>
          <w:top w:w="0" w:type="dxa"/>
          <w:left w:w="0" w:type="dxa"/>
          <w:bottom w:w="0" w:type="dxa"/>
          <w:right w:w="0" w:type="dxa"/>
        </w:tblCellMar>
      </w:tblPr>
      <w:tr>
        <w:trPr>
          <w:trHeight w:val="220"/>
        </w:trPr>
        <w:tc>
          <w:tcPr>
            <w:tcW w:w="31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001-34180</w:t>
            </w:r>
          </w:p>
        </w:tc>
        <w:tc>
          <w:tcPr>
            <w:tcW w:w="258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77-0513190</w:t>
            </w:r>
          </w:p>
        </w:tc>
      </w:tr>
      <w:tr>
        <w:trPr>
          <w:trHeight w:val="216"/>
        </w:trPr>
        <w:tc>
          <w:tcPr>
            <w:tcW w:w="318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2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8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 Number)</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7000 Shoreline Court, Suite 100, South San Francisco, California 94080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225" w:lineRule="exact"/>
        <w:rPr>
          <w:rFonts w:ascii="MS PGothic" w:cs="MS PGothic" w:eastAsia="MS PGothic" w:hAnsi="MS PGothic"/>
          <w:sz w:val="18"/>
          <w:szCs w:val="18"/>
          <w:color w:val="auto"/>
        </w:rPr>
      </w:pPr>
    </w:p>
    <w:p>
      <w:pPr>
        <w:ind w:right="2520" w:firstLine="467"/>
        <w:spacing w:after="0" w:line="511" w:lineRule="auto"/>
        <w:tabs>
          <w:tab w:leader="none" w:pos="9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1"/>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FLDM</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98" w:lineRule="exact"/>
        <w:rPr>
          <w:sz w:val="24"/>
          <w:szCs w:val="24"/>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92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 w:name="page2"/>
    <w:bookmarkEnd w:id="1"/>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Principal Officers; Compensatory Arrangements of Certain Officers.</w:t>
      </w:r>
    </w:p>
    <w:p>
      <w:pPr>
        <w:spacing w:after="0" w:line="159" w:lineRule="exact"/>
        <w:rPr>
          <w:sz w:val="20"/>
          <w:szCs w:val="20"/>
          <w:color w:val="auto"/>
        </w:rPr>
      </w:pPr>
    </w:p>
    <w:p>
      <w:pPr>
        <w:ind w:right="40" w:firstLine="389"/>
        <w:spacing w:after="0" w:line="258" w:lineRule="auto"/>
        <w:rPr>
          <w:sz w:val="20"/>
          <w:szCs w:val="20"/>
          <w:color w:val="auto"/>
        </w:rPr>
      </w:pPr>
      <w:r>
        <w:rPr>
          <w:rFonts w:ascii="Times New Roman" w:cs="Times New Roman" w:eastAsia="Times New Roman" w:hAnsi="Times New Roman"/>
          <w:sz w:val="18"/>
          <w:szCs w:val="18"/>
          <w:color w:val="auto"/>
        </w:rPr>
        <w:t>As described under Item 5.07 below, on June 3, 2019, our stockholders approved the amendment and restatement of our 2011 Equity Incentive Plan (1) to increase the number of shares reserved for issuance by 4,950,644 shares and (2) to make the other changes described in the definitive proxy statement for our 2019 annual meeting of stockholders, which was filed with the Securities and Exchange Commission on April 23, 2019. This description does not purport to be complete and is qualified in its entirety by reference to the full text of the Amended and Restated 2011 Equity Incentive Plan, which is attached as Exhibit 10.1 to this Current Report on Form 8-K.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80" w:firstLine="389"/>
        <w:spacing w:after="0" w:line="289" w:lineRule="auto"/>
        <w:rPr>
          <w:sz w:val="20"/>
          <w:szCs w:val="20"/>
          <w:color w:val="auto"/>
        </w:rPr>
      </w:pPr>
      <w:r>
        <w:rPr>
          <w:rFonts w:ascii="Times New Roman" w:cs="Times New Roman" w:eastAsia="Times New Roman" w:hAnsi="Times New Roman"/>
          <w:sz w:val="17"/>
          <w:szCs w:val="17"/>
          <w:color w:val="auto"/>
        </w:rPr>
        <w:t>We held our 2019 annual meeting of stockholders on June 3, 2019. Of the 68,997,806 shares of our common stock outstanding as the record date of April 8, 2019, 61,924,204 shares were represented at the Annual Meeting, either in person or by proxy, constituting approximately 89.75% of the outstanding shares of common stock. The four matters voted on at the Annual Meeting and the voting results with respect to each such matter are set forth below:</w:t>
      </w:r>
    </w:p>
    <w:p>
      <w:pPr>
        <w:spacing w:after="0" w:line="154" w:lineRule="exact"/>
        <w:rPr>
          <w:sz w:val="20"/>
          <w:szCs w:val="20"/>
          <w:color w:val="auto"/>
        </w:rPr>
      </w:pPr>
    </w:p>
    <w:p>
      <w:pPr>
        <w:ind w:right="60" w:firstLine="397"/>
        <w:spacing w:after="0" w:line="286" w:lineRule="auto"/>
        <w:tabs>
          <w:tab w:leader="none" w:pos="839"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Election of Class III Directors. </w:t>
      </w:r>
      <w:r>
        <w:rPr>
          <w:rFonts w:ascii="Times New Roman" w:cs="Times New Roman" w:eastAsia="Times New Roman" w:hAnsi="Times New Roman"/>
          <w:sz w:val="18"/>
          <w:szCs w:val="18"/>
          <w:color w:val="auto"/>
        </w:rPr>
        <w:t>The following nominees were elected to serve as Class III directors, to hold office until our 2022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stockholders or until their respective successor has been duly elected and qualified or their earlier resignation or removal: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Withheld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191"/>
        </w:trPr>
        <w:tc>
          <w:tcPr>
            <w:tcW w:w="20" w:type="dxa"/>
            <w:vAlign w:val="bottom"/>
          </w:tcPr>
          <w:p>
            <w:pPr>
              <w:spacing w:after="0"/>
              <w:rPr>
                <w:sz w:val="16"/>
                <w:szCs w:val="16"/>
                <w:color w:val="auto"/>
              </w:rPr>
            </w:pPr>
          </w:p>
        </w:tc>
        <w:tc>
          <w:tcPr>
            <w:tcW w:w="6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Laura M. Clague</w:t>
            </w:r>
          </w:p>
        </w:tc>
        <w:tc>
          <w:tcPr>
            <w:tcW w:w="120" w:type="dxa"/>
            <w:vAlign w:val="bottom"/>
          </w:tcPr>
          <w:p>
            <w:pPr>
              <w:spacing w:after="0"/>
              <w:rPr>
                <w:sz w:val="16"/>
                <w:szCs w:val="16"/>
                <w:color w:val="auto"/>
              </w:rPr>
            </w:pPr>
          </w:p>
        </w:tc>
        <w:tc>
          <w:tcPr>
            <w:tcW w:w="1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49,558,722</w:t>
            </w:r>
          </w:p>
        </w:tc>
        <w:tc>
          <w:tcPr>
            <w:tcW w:w="100" w:type="dxa"/>
            <w:vAlign w:val="bottom"/>
          </w:tcPr>
          <w:p>
            <w:pPr>
              <w:spacing w:after="0"/>
              <w:rPr>
                <w:sz w:val="16"/>
                <w:szCs w:val="16"/>
                <w:color w:val="auto"/>
              </w:rPr>
            </w:pPr>
          </w:p>
        </w:tc>
        <w:tc>
          <w:tcPr>
            <w:tcW w:w="1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5,251,319</w:t>
            </w:r>
          </w:p>
        </w:tc>
        <w:tc>
          <w:tcPr>
            <w:tcW w:w="100" w:type="dxa"/>
            <w:vAlign w:val="bottom"/>
          </w:tcPr>
          <w:p>
            <w:pPr>
              <w:spacing w:after="0"/>
              <w:rPr>
                <w:sz w:val="16"/>
                <w:szCs w:val="16"/>
                <w:color w:val="auto"/>
              </w:rPr>
            </w:pPr>
          </w:p>
        </w:tc>
        <w:tc>
          <w:tcPr>
            <w:tcW w:w="1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7,114,163</w:t>
            </w:r>
          </w:p>
        </w:tc>
      </w:tr>
      <w:tr>
        <w:trPr>
          <w:trHeight w:val="216"/>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Samuel D. Colella</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52,962,275</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1,847,766</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7,114,163</w:t>
            </w:r>
          </w:p>
        </w:tc>
      </w:tr>
      <w:tr>
        <w:trPr>
          <w:trHeight w:val="234"/>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Christopher Linthwaite</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53,802,738</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1,007,303</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7,114,163</w:t>
            </w:r>
          </w:p>
        </w:tc>
      </w:tr>
    </w:tbl>
    <w:p>
      <w:pPr>
        <w:spacing w:after="0" w:line="194" w:lineRule="exact"/>
        <w:rPr>
          <w:sz w:val="20"/>
          <w:szCs w:val="20"/>
          <w:color w:val="auto"/>
        </w:rPr>
      </w:pPr>
    </w:p>
    <w:p>
      <w:pPr>
        <w:ind w:right="580" w:firstLine="397"/>
        <w:spacing w:after="0" w:line="286" w:lineRule="auto"/>
        <w:tabs>
          <w:tab w:leader="none" w:pos="829"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Advisory Vote on Approval of Executive Compensation. </w:t>
      </w:r>
      <w:r>
        <w:rPr>
          <w:rFonts w:ascii="Times New Roman" w:cs="Times New Roman" w:eastAsia="Times New Roman" w:hAnsi="Times New Roman"/>
          <w:sz w:val="18"/>
          <w:szCs w:val="18"/>
          <w:color w:val="auto"/>
        </w:rPr>
        <w:t>The proposal to approve, on an advisory basis, the compensation of our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for the year ended December 31, 2018, was approved by the following vote: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88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43,626,176</w:t>
            </w:r>
          </w:p>
        </w:tc>
        <w:tc>
          <w:tcPr>
            <w:tcW w:w="120" w:type="dxa"/>
            <w:vAlign w:val="bottom"/>
          </w:tcPr>
          <w:p>
            <w:pPr>
              <w:spacing w:after="0"/>
              <w:rPr>
                <w:sz w:val="19"/>
                <w:szCs w:val="19"/>
                <w:color w:val="auto"/>
              </w:rPr>
            </w:pPr>
          </w:p>
        </w:tc>
        <w:tc>
          <w:tcPr>
            <w:tcW w:w="274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10,981,037</w:t>
            </w:r>
          </w:p>
        </w:tc>
        <w:tc>
          <w:tcPr>
            <w:tcW w:w="120" w:type="dxa"/>
            <w:vAlign w:val="bottom"/>
          </w:tcPr>
          <w:p>
            <w:pPr>
              <w:spacing w:after="0"/>
              <w:rPr>
                <w:sz w:val="19"/>
                <w:szCs w:val="19"/>
                <w:color w:val="auto"/>
              </w:rPr>
            </w:pPr>
          </w:p>
        </w:tc>
        <w:tc>
          <w:tcPr>
            <w:tcW w:w="272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202,828</w:t>
            </w:r>
          </w:p>
        </w:tc>
        <w:tc>
          <w:tcPr>
            <w:tcW w:w="120" w:type="dxa"/>
            <w:vAlign w:val="bottom"/>
          </w:tcPr>
          <w:p>
            <w:pPr>
              <w:spacing w:after="0"/>
              <w:rPr>
                <w:sz w:val="19"/>
                <w:szCs w:val="19"/>
                <w:color w:val="auto"/>
              </w:rPr>
            </w:pPr>
          </w:p>
        </w:tc>
        <w:tc>
          <w:tcPr>
            <w:tcW w:w="272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7,114,163</w:t>
            </w:r>
          </w:p>
        </w:tc>
      </w:tr>
    </w:tbl>
    <w:p>
      <w:pPr>
        <w:spacing w:after="0" w:line="175" w:lineRule="exact"/>
        <w:rPr>
          <w:sz w:val="20"/>
          <w:szCs w:val="20"/>
          <w:color w:val="auto"/>
        </w:rPr>
      </w:pPr>
    </w:p>
    <w:p>
      <w:pPr>
        <w:ind w:right="80" w:firstLine="397"/>
        <w:spacing w:after="0" w:line="286" w:lineRule="auto"/>
        <w:tabs>
          <w:tab w:leader="none" w:pos="82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Approval of the Amended and Restated 2011 Equity Incentive Plan. </w:t>
      </w:r>
      <w:r>
        <w:rPr>
          <w:rFonts w:ascii="Times New Roman" w:cs="Times New Roman" w:eastAsia="Times New Roman" w:hAnsi="Times New Roman"/>
          <w:sz w:val="18"/>
          <w:szCs w:val="18"/>
          <w:color w:val="auto"/>
        </w:rPr>
        <w:t>The proposal to approve the amended and restated 2011 Equity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was approved by the following vote: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88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49,790,770</w:t>
            </w:r>
          </w:p>
        </w:tc>
        <w:tc>
          <w:tcPr>
            <w:tcW w:w="120" w:type="dxa"/>
            <w:vAlign w:val="bottom"/>
          </w:tcPr>
          <w:p>
            <w:pPr>
              <w:spacing w:after="0"/>
              <w:rPr>
                <w:sz w:val="19"/>
                <w:szCs w:val="19"/>
                <w:color w:val="auto"/>
              </w:rPr>
            </w:pPr>
          </w:p>
        </w:tc>
        <w:tc>
          <w:tcPr>
            <w:tcW w:w="274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5,002,008</w:t>
            </w:r>
          </w:p>
        </w:tc>
        <w:tc>
          <w:tcPr>
            <w:tcW w:w="120" w:type="dxa"/>
            <w:vAlign w:val="bottom"/>
          </w:tcPr>
          <w:p>
            <w:pPr>
              <w:spacing w:after="0"/>
              <w:rPr>
                <w:sz w:val="19"/>
                <w:szCs w:val="19"/>
                <w:color w:val="auto"/>
              </w:rPr>
            </w:pPr>
          </w:p>
        </w:tc>
        <w:tc>
          <w:tcPr>
            <w:tcW w:w="2720" w:type="dxa"/>
            <w:vAlign w:val="bottom"/>
            <w:tcBorders>
              <w:top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17,263</w:t>
            </w:r>
          </w:p>
        </w:tc>
        <w:tc>
          <w:tcPr>
            <w:tcW w:w="120" w:type="dxa"/>
            <w:vAlign w:val="bottom"/>
          </w:tcPr>
          <w:p>
            <w:pPr>
              <w:spacing w:after="0"/>
              <w:rPr>
                <w:sz w:val="19"/>
                <w:szCs w:val="19"/>
                <w:color w:val="auto"/>
              </w:rPr>
            </w:pPr>
          </w:p>
        </w:tc>
        <w:tc>
          <w:tcPr>
            <w:tcW w:w="272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7,114,163</w:t>
            </w:r>
          </w:p>
        </w:tc>
      </w:tr>
    </w:tbl>
    <w:p>
      <w:pPr>
        <w:spacing w:after="0" w:line="175" w:lineRule="exact"/>
        <w:rPr>
          <w:sz w:val="20"/>
          <w:szCs w:val="20"/>
          <w:color w:val="auto"/>
        </w:rPr>
      </w:pPr>
    </w:p>
    <w:p>
      <w:pPr>
        <w:ind w:right="1380" w:firstLine="397"/>
        <w:spacing w:after="0" w:line="286" w:lineRule="auto"/>
        <w:tabs>
          <w:tab w:leader="none" w:pos="83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Ratification of Appointment of Independent Registered Public Accounting Firm. </w:t>
      </w:r>
      <w:r>
        <w:rPr>
          <w:rFonts w:ascii="Times New Roman" w:cs="Times New Roman" w:eastAsia="Times New Roman" w:hAnsi="Times New Roman"/>
          <w:sz w:val="18"/>
          <w:szCs w:val="18"/>
          <w:color w:val="auto"/>
        </w:rPr>
        <w:t>The proposal to ratify the appointment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PricewaterhouseCoopers LLP as our independent registered public accounting firm for 2019 was approved by the following vote: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28"/>
        </w:trPr>
        <w:tc>
          <w:tcPr>
            <w:tcW w:w="20" w:type="dxa"/>
            <w:vAlign w:val="bottom"/>
          </w:tcPr>
          <w:p>
            <w:pPr>
              <w:spacing w:after="0"/>
              <w:rPr>
                <w:sz w:val="19"/>
                <w:szCs w:val="19"/>
                <w:color w:val="auto"/>
              </w:rPr>
            </w:pPr>
          </w:p>
        </w:tc>
        <w:tc>
          <w:tcPr>
            <w:tcW w:w="2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61,858,815</w:t>
            </w:r>
          </w:p>
        </w:tc>
        <w:tc>
          <w:tcPr>
            <w:tcW w:w="1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760" w:type="dxa"/>
            <w:vAlign w:val="bottom"/>
            <w:tcBorders>
              <w:top w:val="single" w:sz="8" w:color="auto"/>
            </w:tcBorders>
            <w:gridSpan w:val="2"/>
          </w:tcPr>
          <w:p>
            <w:pPr>
              <w:jc w:val="right"/>
              <w:ind w:right="1640"/>
              <w:spacing w:after="0"/>
              <w:rPr>
                <w:sz w:val="20"/>
                <w:szCs w:val="20"/>
                <w:color w:val="auto"/>
              </w:rPr>
            </w:pPr>
            <w:r>
              <w:rPr>
                <w:rFonts w:ascii="Times New Roman" w:cs="Times New Roman" w:eastAsia="Times New Roman" w:hAnsi="Times New Roman"/>
                <w:sz w:val="18"/>
                <w:szCs w:val="18"/>
                <w:color w:val="auto"/>
              </w:rPr>
              <w:t>55,183</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10,206</w:t>
            </w:r>
          </w:p>
        </w:tc>
      </w:tr>
      <w:tr>
        <w:trPr>
          <w:trHeight w:val="414"/>
        </w:trPr>
        <w:tc>
          <w:tcPr>
            <w:tcW w:w="7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3640" w:type="dxa"/>
            <w:vAlign w:val="bottom"/>
          </w:tcPr>
          <w:p>
            <w:pPr>
              <w:spacing w:after="0"/>
              <w:rPr>
                <w:sz w:val="24"/>
                <w:szCs w:val="24"/>
                <w:color w:val="auto"/>
              </w:rPr>
            </w:pPr>
          </w:p>
        </w:tc>
      </w:tr>
      <w:tr>
        <w:trPr>
          <w:trHeight w:val="432"/>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32"/>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640" w:type="dxa"/>
            <w:vAlign w:val="bottom"/>
          </w:tcPr>
          <w:p>
            <w:pPr>
              <w:spacing w:after="0"/>
              <w:rPr>
                <w:sz w:val="24"/>
                <w:szCs w:val="24"/>
                <w:color w:val="auto"/>
              </w:rPr>
            </w:pPr>
          </w:p>
        </w:tc>
      </w:tr>
      <w:tr>
        <w:trPr>
          <w:trHeight w:val="392"/>
        </w:trPr>
        <w:tc>
          <w:tcPr>
            <w:tcW w:w="2300" w:type="dxa"/>
            <w:vAlign w:val="bottom"/>
            <w:gridSpan w:val="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5480" w:type="dxa"/>
            <w:vAlign w:val="bottom"/>
            <w:gridSpan w:val="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Amended and Restated 2011 Equity Incentive Plan.</w:t>
              </w:r>
            </w:hyperlink>
          </w:p>
        </w:tc>
        <w:tc>
          <w:tcPr>
            <w:tcW w:w="3640" w:type="dxa"/>
            <w:vAlign w:val="bottom"/>
          </w:tcPr>
          <w:p>
            <w:pPr>
              <w:spacing w:after="0"/>
              <w:rPr>
                <w:sz w:val="24"/>
                <w:szCs w:val="24"/>
                <w:color w:val="auto"/>
              </w:rPr>
            </w:pPr>
          </w:p>
        </w:tc>
      </w:tr>
      <w:tr>
        <w:trPr>
          <w:trHeight w:val="588"/>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12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68"/>
        </w:trPr>
        <w:tc>
          <w:tcPr>
            <w:tcW w:w="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98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120" w:type="dxa"/>
            <w:vAlign w:val="bottom"/>
            <w:shd w:val="clear" w:color="auto" w:fill="000000"/>
          </w:tcPr>
          <w:p>
            <w:pPr>
              <w:spacing w:after="0"/>
              <w:rPr>
                <w:sz w:val="5"/>
                <w:szCs w:val="5"/>
                <w:color w:val="auto"/>
              </w:rPr>
            </w:pPr>
          </w:p>
        </w:tc>
        <w:tc>
          <w:tcPr>
            <w:tcW w:w="16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6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5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FLUIDIGM CORPORATION</w:t>
            </w:r>
          </w:p>
        </w:tc>
      </w:tr>
      <w:tr>
        <w:trPr>
          <w:trHeight w:val="8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2019</w:t>
            </w:r>
          </w:p>
        </w:tc>
        <w:tc>
          <w:tcPr>
            <w:tcW w:w="53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Nicholas Khadder</w:t>
            </w:r>
          </w:p>
        </w:tc>
      </w:tr>
      <w:tr>
        <w:trPr>
          <w:trHeight w:val="218"/>
        </w:trPr>
        <w:tc>
          <w:tcPr>
            <w:tcW w:w="3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Nicholas Khadder</w:t>
            </w:r>
          </w:p>
        </w:tc>
      </w:tr>
      <w:tr>
        <w:trPr>
          <w:trHeight w:val="216"/>
        </w:trPr>
        <w:tc>
          <w:tcPr>
            <w:tcW w:w="3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w:t>
            </w:r>
          </w:p>
        </w:tc>
      </w:tr>
      <w:tr>
        <w:trPr>
          <w:trHeight w:val="234"/>
        </w:trPr>
        <w:tc>
          <w:tcPr>
            <w:tcW w:w="3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Secretary</w:t>
            </w:r>
          </w:p>
        </w:tc>
      </w:tr>
    </w:tbl>
    <w:p>
      <w:pPr>
        <w:sectPr>
          <w:pgSz w:w="11900" w:h="16838" w:orient="portrait"/>
          <w:cols w:equalWidth="0" w:num="1">
            <w:col w:w="10940"/>
          </w:cols>
          <w:pgMar w:left="240" w:top="576" w:right="7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2011 EQUITY INCENTIVE PLAN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(as amended and restated effective June 3, 2019)</w:t>
      </w:r>
    </w:p>
    <w:p>
      <w:pPr>
        <w:spacing w:after="0" w:line="227" w:lineRule="exact"/>
        <w:rPr>
          <w:sz w:val="20"/>
          <w:szCs w:val="20"/>
          <w:color w:val="auto"/>
        </w:rPr>
      </w:pPr>
    </w:p>
    <w:p>
      <w:pPr>
        <w:jc w:val="both"/>
        <w:ind w:firstLine="656"/>
        <w:spacing w:after="0" w:line="261" w:lineRule="auto"/>
        <w:tabs>
          <w:tab w:leader="none" w:pos="18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 (a) to attract and retain the best available personnel for positions of substantial responsibility, (b) 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w:t>
      </w:r>
    </w:p>
    <w:p>
      <w:pPr>
        <w:spacing w:after="0" w:line="180" w:lineRule="exact"/>
        <w:rPr>
          <w:rFonts w:ascii="Times New Roman" w:cs="Times New Roman" w:eastAsia="Times New Roman" w:hAnsi="Times New Roman"/>
          <w:sz w:val="18"/>
          <w:szCs w:val="18"/>
          <w:color w:val="auto"/>
        </w:rPr>
      </w:pPr>
    </w:p>
    <w:p>
      <w:pPr>
        <w:ind w:left="1640" w:hanging="984"/>
        <w:spacing w:after="0"/>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5" w:lineRule="exact"/>
        <w:rPr>
          <w:rFonts w:ascii="Times New Roman" w:cs="Times New Roman" w:eastAsia="Times New Roman" w:hAnsi="Times New Roman"/>
          <w:sz w:val="18"/>
          <w:szCs w:val="18"/>
          <w:color w:val="auto"/>
        </w:rPr>
      </w:pPr>
    </w:p>
    <w:p>
      <w:pPr>
        <w:ind w:left="2220" w:hanging="915"/>
        <w:spacing w:after="0"/>
        <w:tabs>
          <w:tab w:leader="none" w:pos="22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may administer the Plan in accordance with Section 4 hereof.</w:t>
      </w:r>
    </w:p>
    <w:p>
      <w:pPr>
        <w:spacing w:after="0" w:line="225" w:lineRule="exact"/>
        <w:rPr>
          <w:rFonts w:ascii="Times New Roman" w:cs="Times New Roman" w:eastAsia="Times New Roman" w:hAnsi="Times New Roman"/>
          <w:sz w:val="18"/>
          <w:szCs w:val="18"/>
          <w:color w:val="auto"/>
        </w:rPr>
      </w:pPr>
    </w:p>
    <w:p>
      <w:pPr>
        <w:jc w:val="both"/>
        <w:ind w:firstLine="1305"/>
        <w:spacing w:after="0" w:line="266" w:lineRule="auto"/>
        <w:tabs>
          <w:tab w:leader="none" w:pos="236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23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Performance Units or Performance Shares.</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2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61" w:lineRule="exact"/>
        <w:rPr>
          <w:rFonts w:ascii="Times New Roman" w:cs="Times New Roman" w:eastAsia="Times New Roman" w:hAnsi="Times New Roman"/>
          <w:sz w:val="18"/>
          <w:szCs w:val="18"/>
          <w:color w:val="auto"/>
        </w:rPr>
      </w:pPr>
    </w:p>
    <w:p>
      <w:pPr>
        <w:ind w:left="2220" w:hanging="915"/>
        <w:spacing w:after="0"/>
        <w:tabs>
          <w:tab w:leader="none" w:pos="22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rFonts w:ascii="Times New Roman" w:cs="Times New Roman" w:eastAsia="Times New Roman" w:hAnsi="Times New Roman"/>
          <w:sz w:val="18"/>
          <w:szCs w:val="18"/>
          <w:color w:val="auto"/>
        </w:rPr>
      </w:pPr>
    </w:p>
    <w:p>
      <w:pPr>
        <w:jc w:val="both"/>
        <w:ind w:firstLine="2277"/>
        <w:spacing w:after="0" w:line="261" w:lineRule="auto"/>
        <w:tabs>
          <w:tab w:leader="none" w:pos="3043"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w:t>
      </w:r>
    </w:p>
    <w:p>
      <w:pPr>
        <w:spacing w:after="0" w:line="180" w:lineRule="exact"/>
        <w:rPr>
          <w:rFonts w:ascii="Times New Roman" w:cs="Times New Roman" w:eastAsia="Times New Roman" w:hAnsi="Times New Roman"/>
          <w:sz w:val="18"/>
          <w:szCs w:val="18"/>
          <w:color w:val="auto"/>
        </w:rPr>
      </w:pPr>
    </w:p>
    <w:p>
      <w:pPr>
        <w:jc w:val="both"/>
        <w:ind w:firstLine="2277"/>
        <w:spacing w:after="0" w:line="261" w:lineRule="auto"/>
        <w:tabs>
          <w:tab w:leader="none" w:pos="304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80" w:lineRule="exact"/>
        <w:rPr>
          <w:rFonts w:ascii="Times New Roman" w:cs="Times New Roman" w:eastAsia="Times New Roman" w:hAnsi="Times New Roman"/>
          <w:sz w:val="18"/>
          <w:szCs w:val="18"/>
          <w:color w:val="auto"/>
        </w:rPr>
      </w:pPr>
    </w:p>
    <w:p>
      <w:pPr>
        <w:jc w:val="both"/>
        <w:ind w:firstLine="2277"/>
        <w:spacing w:after="0" w:line="253" w:lineRule="auto"/>
        <w:tabs>
          <w:tab w:leader="none" w:pos="3257"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jc w:val="both"/>
        <w:ind w:firstLine="1305"/>
        <w:spacing w:after="0" w:line="266" w:lineRule="auto"/>
        <w:tabs>
          <w:tab w:leader="none" w:pos="24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23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in accordance with Section 4 hereof.</w:t>
      </w:r>
    </w:p>
    <w:p>
      <w:pPr>
        <w:spacing w:after="0" w:line="161"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Fluidigm Corporation, a Delaware corporation, or any successor thereto.</w:t>
      </w:r>
    </w:p>
    <w:p>
      <w:pPr>
        <w:spacing w:after="0" w:line="225" w:lineRule="exact"/>
        <w:rPr>
          <w:rFonts w:ascii="Times New Roman" w:cs="Times New Roman" w:eastAsia="Times New Roman" w:hAnsi="Times New Roman"/>
          <w:sz w:val="18"/>
          <w:szCs w:val="18"/>
          <w:color w:val="auto"/>
        </w:rPr>
      </w:pPr>
    </w:p>
    <w:p>
      <w:pPr>
        <w:ind w:left="2280" w:hanging="975"/>
        <w:spacing w:after="0"/>
        <w:tabs>
          <w:tab w:leader="none" w:pos="2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including an advisor, engaged by the Company or a Parent or Subsidiary to render services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w:t>
      </w:r>
    </w:p>
    <w:p>
      <w:pPr>
        <w:spacing w:after="0" w:line="20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jc w:val="both"/>
        <w:ind w:firstLine="1305"/>
        <w:spacing w:after="0" w:line="266" w:lineRule="auto"/>
        <w:tabs>
          <w:tab w:leader="none" w:pos="24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ind w:firstLine="1305"/>
        <w:spacing w:after="0" w:line="282" w:lineRule="auto"/>
        <w:tabs>
          <w:tab w:leader="none" w:pos="2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61"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firstLine="1305"/>
        <w:spacing w:after="0" w:line="258" w:lineRule="auto"/>
        <w:tabs>
          <w:tab w:leader="none" w:pos="24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83"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25" w:lineRule="exact"/>
        <w:rPr>
          <w:rFonts w:ascii="Times New Roman" w:cs="Times New Roman" w:eastAsia="Times New Roman" w:hAnsi="Times New Roman"/>
          <w:sz w:val="18"/>
          <w:szCs w:val="18"/>
          <w:color w:val="auto"/>
        </w:rPr>
      </w:pPr>
    </w:p>
    <w:p>
      <w:pPr>
        <w:jc w:val="both"/>
        <w:ind w:firstLine="2277"/>
        <w:spacing w:after="0" w:line="258" w:lineRule="auto"/>
        <w:tabs>
          <w:tab w:leader="none" w:pos="31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If there are no trades on such date, the closing price on the latest preceding business day upon which trades occurred shall be the Fair Market Value.</w:t>
      </w:r>
    </w:p>
    <w:p>
      <w:pPr>
        <w:spacing w:after="0" w:line="183" w:lineRule="exact"/>
        <w:rPr>
          <w:rFonts w:ascii="Times New Roman" w:cs="Times New Roman" w:eastAsia="Times New Roman" w:hAnsi="Times New Roman"/>
          <w:sz w:val="18"/>
          <w:szCs w:val="18"/>
          <w:color w:val="auto"/>
        </w:rPr>
      </w:pPr>
    </w:p>
    <w:p>
      <w:pPr>
        <w:jc w:val="both"/>
        <w:ind w:firstLine="2277"/>
        <w:spacing w:after="0" w:line="266" w:lineRule="auto"/>
        <w:tabs>
          <w:tab w:leader="none" w:pos="313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Times New Roman" w:cs="Times New Roman" w:eastAsia="Times New Roman" w:hAnsi="Times New Roman"/>
          <w:sz w:val="18"/>
          <w:szCs w:val="18"/>
          <w:i w:val="1"/>
          <w:iCs w:val="1"/>
          <w:color w:val="auto"/>
        </w:rPr>
        <w:t xml:space="preserve">The Wall Street Journal </w:t>
      </w:r>
      <w:r>
        <w:rPr>
          <w:rFonts w:ascii="Times New Roman" w:cs="Times New Roman" w:eastAsia="Times New Roman" w:hAnsi="Times New Roman"/>
          <w:sz w:val="18"/>
          <w:szCs w:val="18"/>
          <w:color w:val="auto"/>
        </w:rPr>
        <w:t>or such other source as the Administrator deems reliable.</w:t>
      </w:r>
    </w:p>
    <w:p>
      <w:pPr>
        <w:spacing w:after="0" w:line="176" w:lineRule="exact"/>
        <w:rPr>
          <w:rFonts w:ascii="Times New Roman" w:cs="Times New Roman" w:eastAsia="Times New Roman" w:hAnsi="Times New Roman"/>
          <w:sz w:val="18"/>
          <w:szCs w:val="18"/>
          <w:color w:val="auto"/>
        </w:rPr>
      </w:pPr>
    </w:p>
    <w:p>
      <w:pPr>
        <w:ind w:left="3140" w:hanging="863"/>
        <w:spacing w:after="0"/>
        <w:tabs>
          <w:tab w:leader="none" w:pos="3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faith by the Administrator.</w:t>
      </w:r>
    </w:p>
    <w:p>
      <w:pPr>
        <w:spacing w:after="0" w:line="20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22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intended to qualify as an incentive stock option within the meaning of Section 422 of the Code and the regulations promulgated thereunder.</w:t>
      </w:r>
    </w:p>
    <w:p>
      <w:pPr>
        <w:spacing w:after="0" w:line="161"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Inside Director</w:t>
      </w:r>
      <w:r>
        <w:rPr>
          <w:rFonts w:ascii="Times New Roman" w:cs="Times New Roman" w:eastAsia="Times New Roman" w:hAnsi="Times New Roman"/>
          <w:sz w:val="18"/>
          <w:szCs w:val="18"/>
          <w:color w:val="auto"/>
        </w:rPr>
        <w:t>” means a Director who is an Employee.</w:t>
      </w:r>
    </w:p>
    <w:p>
      <w:pPr>
        <w:spacing w:after="0" w:line="225" w:lineRule="exact"/>
        <w:rPr>
          <w:rFonts w:ascii="Times New Roman" w:cs="Times New Roman" w:eastAsia="Times New Roman" w:hAnsi="Times New Roman"/>
          <w:sz w:val="18"/>
          <w:szCs w:val="18"/>
          <w:color w:val="auto"/>
        </w:rPr>
      </w:pPr>
    </w:p>
    <w:p>
      <w:pPr>
        <w:ind w:left="2340" w:hanging="1035"/>
        <w:spacing w:after="0"/>
        <w:tabs>
          <w:tab w:leader="none" w:pos="2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w:t>
      </w:r>
    </w:p>
    <w:p>
      <w:pPr>
        <w:spacing w:after="0" w:line="206" w:lineRule="exact"/>
        <w:rPr>
          <w:rFonts w:ascii="Times New Roman" w:cs="Times New Roman" w:eastAsia="Times New Roman" w:hAnsi="Times New Roman"/>
          <w:sz w:val="18"/>
          <w:szCs w:val="18"/>
          <w:color w:val="auto"/>
        </w:rPr>
      </w:pPr>
    </w:p>
    <w:p>
      <w:pPr>
        <w:ind w:right="20" w:firstLine="1305"/>
        <w:spacing w:after="0" w:line="282" w:lineRule="auto"/>
        <w:tabs>
          <w:tab w:leader="none" w:pos="23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ind w:left="2180" w:hanging="875"/>
        <w:spacing w:after="0"/>
        <w:tabs>
          <w:tab w:leader="none" w:pos="2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means a Director who is not an Employee.</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ind w:left="2220" w:hanging="915"/>
        <w:spacing w:after="0"/>
        <w:tabs>
          <w:tab w:leader="none" w:pos="2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sz w:val="20"/>
          <w:szCs w:val="20"/>
          <w:color w:val="auto"/>
        </w:rPr>
      </w:pPr>
    </w:p>
    <w:p>
      <w:pPr>
        <w:ind w:firstLine="1305"/>
        <w:spacing w:after="0" w:line="282" w:lineRule="auto"/>
        <w:tabs>
          <w:tab w:leader="none" w:pos="233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221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221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6" w:lineRule="exact"/>
        <w:rPr>
          <w:rFonts w:ascii="Times New Roman" w:cs="Times New Roman" w:eastAsia="Times New Roman" w:hAnsi="Times New Roman"/>
          <w:sz w:val="18"/>
          <w:szCs w:val="18"/>
          <w:color w:val="auto"/>
        </w:rPr>
      </w:pPr>
    </w:p>
    <w:p>
      <w:pPr>
        <w:ind w:left="2140" w:hanging="835"/>
        <w:spacing w:after="0"/>
        <w:tabs>
          <w:tab w:leader="none" w:pos="2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2011 Equity Incentive Plan, as amended and restated at the 2019 Annual Meeting of Stockholders.</w:t>
      </w:r>
    </w:p>
    <w:p>
      <w:pPr>
        <w:spacing w:after="0" w:line="225"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 Effective Date</w:t>
      </w:r>
      <w:r>
        <w:rPr>
          <w:rFonts w:ascii="Times New Roman" w:cs="Times New Roman" w:eastAsia="Times New Roman" w:hAnsi="Times New Roman"/>
          <w:sz w:val="18"/>
          <w:szCs w:val="18"/>
          <w:color w:val="auto"/>
        </w:rPr>
        <w:t>” means the date of the Company’s 2019 Annual Meeting of Stockholders.</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222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 Restricted Stock award under Section 7 of the Plan, or issued pursuant to the early exercise of an Option.</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235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8. Each Restricted Stock Unit represents an unfunded and unsecured obligation of the Company.</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231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61" w:lineRule="exact"/>
        <w:rPr>
          <w:rFonts w:ascii="Times New Roman" w:cs="Times New Roman" w:eastAsia="Times New Roman" w:hAnsi="Times New Roman"/>
          <w:sz w:val="18"/>
          <w:szCs w:val="18"/>
          <w:color w:val="auto"/>
        </w:rPr>
      </w:pPr>
    </w:p>
    <w:p>
      <w:pPr>
        <w:ind w:left="2200" w:hanging="895"/>
        <w:spacing w:after="0"/>
        <w:tabs>
          <w:tab w:leader="none" w:pos="22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means Section 16(b) of the Exchange Act.</w:t>
      </w:r>
    </w:p>
    <w:p>
      <w:pPr>
        <w:spacing w:after="0" w:line="225" w:lineRule="exact"/>
        <w:rPr>
          <w:rFonts w:ascii="Times New Roman" w:cs="Times New Roman" w:eastAsia="Times New Roman" w:hAnsi="Times New Roman"/>
          <w:sz w:val="18"/>
          <w:szCs w:val="18"/>
          <w:color w:val="auto"/>
        </w:rPr>
      </w:pPr>
    </w:p>
    <w:p>
      <w:pPr>
        <w:ind w:left="2200" w:hanging="895"/>
        <w:spacing w:after="0"/>
        <w:tabs>
          <w:tab w:leader="none" w:pos="22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rFonts w:ascii="Times New Roman" w:cs="Times New Roman" w:eastAsia="Times New Roman" w:hAnsi="Times New Roman"/>
          <w:sz w:val="18"/>
          <w:szCs w:val="18"/>
          <w:color w:val="auto"/>
        </w:rPr>
      </w:pPr>
    </w:p>
    <w:p>
      <w:pPr>
        <w:ind w:left="2140" w:hanging="835"/>
        <w:spacing w:after="0"/>
        <w:tabs>
          <w:tab w:leader="none" w:pos="2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13 of the Plan.</w:t>
      </w:r>
    </w:p>
    <w:p>
      <w:pPr>
        <w:spacing w:after="0" w:line="225" w:lineRule="exact"/>
        <w:rPr>
          <w:rFonts w:ascii="Times New Roman" w:cs="Times New Roman" w:eastAsia="Times New Roman" w:hAnsi="Times New Roman"/>
          <w:sz w:val="18"/>
          <w:szCs w:val="18"/>
          <w:color w:val="auto"/>
        </w:rPr>
      </w:pPr>
    </w:p>
    <w:p>
      <w:pPr>
        <w:ind w:right="20" w:firstLine="1305"/>
        <w:spacing w:after="0" w:line="282" w:lineRule="auto"/>
        <w:tabs>
          <w:tab w:leader="none" w:pos="239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9 is designated as a Stock Appreciation Right.</w:t>
      </w:r>
    </w:p>
    <w:p>
      <w:pPr>
        <w:spacing w:after="0" w:line="161" w:lineRule="exact"/>
        <w:rPr>
          <w:rFonts w:ascii="Times New Roman" w:cs="Times New Roman" w:eastAsia="Times New Roman" w:hAnsi="Times New Roman"/>
          <w:sz w:val="18"/>
          <w:szCs w:val="18"/>
          <w:color w:val="auto"/>
        </w:rPr>
      </w:pPr>
    </w:p>
    <w:p>
      <w:pPr>
        <w:ind w:left="2060" w:hanging="755"/>
        <w:spacing w:after="0"/>
        <w:tabs>
          <w:tab w:leader="none" w:pos="2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225" w:lineRule="exact"/>
        <w:rPr>
          <w:rFonts w:ascii="Times New Roman" w:cs="Times New Roman" w:eastAsia="Times New Roman" w:hAnsi="Times New Roman"/>
          <w:sz w:val="18"/>
          <w:szCs w:val="18"/>
          <w:color w:val="auto"/>
        </w:rPr>
      </w:pPr>
    </w:p>
    <w:p>
      <w:pPr>
        <w:ind w:left="1640" w:hanging="984"/>
        <w:spacing w:after="0"/>
        <w:tabs>
          <w:tab w:leader="none" w:pos="1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58" w:lineRule="auto"/>
        <w:tabs>
          <w:tab w:leader="none" w:pos="231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 13 of the Plan, the maximum aggregate number of Shares that may be issued under the Plan as of the Restatement Effective Date is (i) 4,950,644 Shares, plus (ii) any Shares that, as of immediately prior to the Restatement Effective Date, were available for grant under the pre-existing version of the 2011 Equity Incentive Plan (prior to this amendment and restatement) (the “</w:t>
      </w:r>
      <w:r>
        <w:rPr>
          <w:rFonts w:ascii="Times New Roman" w:cs="Times New Roman" w:eastAsia="Times New Roman" w:hAnsi="Times New Roman"/>
          <w:sz w:val="18"/>
          <w:szCs w:val="18"/>
          <w:u w:val="single" w:color="auto"/>
          <w:color w:val="auto"/>
        </w:rPr>
        <w:t>Existing Plan</w:t>
      </w:r>
      <w:r>
        <w:rPr>
          <w:rFonts w:ascii="Times New Roman" w:cs="Times New Roman" w:eastAsia="Times New Roman" w:hAnsi="Times New Roman"/>
          <w:sz w:val="18"/>
          <w:szCs w:val="18"/>
          <w:color w:val="auto"/>
        </w:rPr>
        <w:t>”), with the maximum number of Shares to be added to the Plan pursuant to clause (ii) equal to 1,396,356 Shares. The Shares may be authorized, but unissued, or reacquired Common Stock.</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both"/>
        <w:ind w:firstLine="1305"/>
        <w:spacing w:after="0" w:line="252" w:lineRule="auto"/>
        <w:tabs>
          <w:tab w:leader="none" w:pos="25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98" w:lineRule="exact"/>
        <w:rPr>
          <w:rFonts w:ascii="Times New Roman" w:cs="Times New Roman" w:eastAsia="Times New Roman" w:hAnsi="Times New Roman"/>
          <w:sz w:val="18"/>
          <w:szCs w:val="18"/>
          <w:color w:val="auto"/>
        </w:rPr>
      </w:pPr>
    </w:p>
    <w:p>
      <w:pPr>
        <w:ind w:firstLine="1305"/>
        <w:spacing w:after="0" w:line="282" w:lineRule="auto"/>
        <w:tabs>
          <w:tab w:leader="none" w:pos="22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161" w:lineRule="exact"/>
        <w:rPr>
          <w:rFonts w:ascii="Times New Roman" w:cs="Times New Roman" w:eastAsia="Times New Roman" w:hAnsi="Times New Roman"/>
          <w:sz w:val="18"/>
          <w:szCs w:val="18"/>
          <w:color w:val="auto"/>
        </w:rPr>
      </w:pPr>
    </w:p>
    <w:p>
      <w:pPr>
        <w:ind w:left="1640" w:hanging="984"/>
        <w:spacing w:after="0"/>
        <w:tabs>
          <w:tab w:leader="none" w:pos="1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220" w:hanging="915"/>
        <w:spacing w:after="0"/>
        <w:tabs>
          <w:tab w:leader="none" w:pos="2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060" w:hanging="783"/>
        <w:spacing w:after="0"/>
        <w:tabs>
          <w:tab w:leader="none" w:pos="30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may administer the Plan with respect to different groups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Providers.</w:t>
      </w:r>
    </w:p>
    <w:p>
      <w:pPr>
        <w:spacing w:after="0" w:line="206" w:lineRule="exact"/>
        <w:rPr>
          <w:rFonts w:ascii="Times New Roman" w:cs="Times New Roman" w:eastAsia="Times New Roman" w:hAnsi="Times New Roman"/>
          <w:sz w:val="18"/>
          <w:szCs w:val="18"/>
          <w:color w:val="auto"/>
        </w:rPr>
      </w:pPr>
    </w:p>
    <w:p>
      <w:pPr>
        <w:ind w:firstLine="2277"/>
        <w:spacing w:after="0" w:line="282" w:lineRule="auto"/>
        <w:tabs>
          <w:tab w:leader="none" w:pos="304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To the extent desirable to qualify transactions hereunder as exempt under Rule 16b-3, such transactions will be structured to satisfy the requirements for exemption under Rule 16b-3.</w:t>
      </w:r>
    </w:p>
    <w:p>
      <w:pPr>
        <w:spacing w:after="0" w:line="161" w:lineRule="exact"/>
        <w:rPr>
          <w:rFonts w:ascii="Times New Roman" w:cs="Times New Roman" w:eastAsia="Times New Roman" w:hAnsi="Times New Roman"/>
          <w:sz w:val="18"/>
          <w:szCs w:val="18"/>
          <w:color w:val="auto"/>
        </w:rPr>
      </w:pPr>
    </w:p>
    <w:p>
      <w:pPr>
        <w:ind w:firstLine="2277"/>
        <w:spacing w:after="0" w:line="282" w:lineRule="auto"/>
        <w:tabs>
          <w:tab w:leader="none" w:pos="3281"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constituted to satisfy Applicable Laws.</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241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61" w:lineRule="exact"/>
        <w:rPr>
          <w:rFonts w:ascii="Times New Roman" w:cs="Times New Roman" w:eastAsia="Times New Roman" w:hAnsi="Times New Roman"/>
          <w:sz w:val="18"/>
          <w:szCs w:val="18"/>
          <w:color w:val="auto"/>
        </w:rPr>
      </w:pPr>
    </w:p>
    <w:p>
      <w:pPr>
        <w:ind w:left="2980" w:hanging="703"/>
        <w:spacing w:after="0"/>
        <w:tabs>
          <w:tab w:leader="none" w:pos="29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25" w:lineRule="exact"/>
        <w:rPr>
          <w:rFonts w:ascii="Times New Roman" w:cs="Times New Roman" w:eastAsia="Times New Roman" w:hAnsi="Times New Roman"/>
          <w:sz w:val="18"/>
          <w:szCs w:val="18"/>
          <w:color w:val="auto"/>
        </w:rPr>
      </w:pPr>
    </w:p>
    <w:p>
      <w:pPr>
        <w:ind w:left="3040" w:hanging="763"/>
        <w:spacing w:after="0"/>
        <w:tabs>
          <w:tab w:leader="none" w:pos="304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ind w:left="3080" w:hanging="803"/>
        <w:spacing w:after="0"/>
        <w:tabs>
          <w:tab w:leader="none" w:pos="3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225" w:lineRule="exact"/>
        <w:rPr>
          <w:rFonts w:ascii="Times New Roman" w:cs="Times New Roman" w:eastAsia="Times New Roman" w:hAnsi="Times New Roman"/>
          <w:sz w:val="18"/>
          <w:szCs w:val="18"/>
          <w:color w:val="auto"/>
        </w:rPr>
      </w:pPr>
    </w:p>
    <w:p>
      <w:pPr>
        <w:ind w:left="3080" w:hanging="803"/>
        <w:spacing w:after="0"/>
        <w:tabs>
          <w:tab w:leader="none" w:pos="3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25" w:lineRule="exact"/>
        <w:rPr>
          <w:rFonts w:ascii="Times New Roman" w:cs="Times New Roman" w:eastAsia="Times New Roman" w:hAnsi="Times New Roman"/>
          <w:sz w:val="18"/>
          <w:szCs w:val="18"/>
          <w:color w:val="auto"/>
        </w:rPr>
      </w:pPr>
    </w:p>
    <w:p>
      <w:pPr>
        <w:jc w:val="both"/>
        <w:ind w:firstLine="2277"/>
        <w:spacing w:after="0" w:line="261" w:lineRule="auto"/>
        <w:tabs>
          <w:tab w:leader="none" w:pos="30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0" w:lineRule="exact"/>
        <w:rPr>
          <w:rFonts w:ascii="Times New Roman" w:cs="Times New Roman" w:eastAsia="Times New Roman" w:hAnsi="Times New Roman"/>
          <w:sz w:val="18"/>
          <w:szCs w:val="18"/>
          <w:color w:val="auto"/>
        </w:rPr>
      </w:pPr>
    </w:p>
    <w:p>
      <w:pPr>
        <w:ind w:left="3080" w:hanging="803"/>
        <w:spacing w:after="0"/>
        <w:tabs>
          <w:tab w:leader="none" w:pos="3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225" w:lineRule="exact"/>
        <w:rPr>
          <w:rFonts w:ascii="Times New Roman" w:cs="Times New Roman" w:eastAsia="Times New Roman" w:hAnsi="Times New Roman"/>
          <w:sz w:val="18"/>
          <w:szCs w:val="18"/>
          <w:color w:val="auto"/>
        </w:rPr>
      </w:pPr>
    </w:p>
    <w:p>
      <w:pPr>
        <w:ind w:right="20" w:firstLine="2277"/>
        <w:spacing w:after="0" w:line="282" w:lineRule="auto"/>
        <w:tabs>
          <w:tab w:leader="none" w:pos="31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61" w:lineRule="exact"/>
        <w:rPr>
          <w:rFonts w:ascii="Times New Roman" w:cs="Times New Roman" w:eastAsia="Times New Roman" w:hAnsi="Times New Roman"/>
          <w:sz w:val="18"/>
          <w:szCs w:val="18"/>
          <w:color w:val="auto"/>
        </w:rPr>
      </w:pPr>
    </w:p>
    <w:p>
      <w:pPr>
        <w:ind w:firstLine="2277"/>
        <w:spacing w:after="0" w:line="282" w:lineRule="auto"/>
        <w:tabs>
          <w:tab w:leader="none" w:pos="32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18 of the Plan), including but not limited to the discretionary authority to extend the post-termination exercisability period of Awards and to extend the maximum term of an Option (subject to Section 6(b) of the Plan);</w:t>
      </w:r>
    </w:p>
    <w:p>
      <w:pPr>
        <w:spacing w:after="0" w:line="161" w:lineRule="exact"/>
        <w:rPr>
          <w:rFonts w:ascii="Times New Roman" w:cs="Times New Roman" w:eastAsia="Times New Roman" w:hAnsi="Times New Roman"/>
          <w:sz w:val="18"/>
          <w:szCs w:val="18"/>
          <w:color w:val="auto"/>
        </w:rPr>
      </w:pPr>
    </w:p>
    <w:p>
      <w:pPr>
        <w:ind w:left="3080" w:hanging="803"/>
        <w:spacing w:after="0"/>
        <w:tabs>
          <w:tab w:leader="none" w:pos="3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tax withholding obligations in such manner as prescribed in Section 14 of the Plan;</w:t>
      </w:r>
    </w:p>
    <w:p>
      <w:pPr>
        <w:spacing w:after="0" w:line="225" w:lineRule="exact"/>
        <w:rPr>
          <w:rFonts w:ascii="Times New Roman" w:cs="Times New Roman" w:eastAsia="Times New Roman" w:hAnsi="Times New Roman"/>
          <w:sz w:val="18"/>
          <w:szCs w:val="18"/>
          <w:color w:val="auto"/>
        </w:rPr>
      </w:pPr>
    </w:p>
    <w:p>
      <w:pPr>
        <w:ind w:firstLine="2277"/>
        <w:spacing w:after="0" w:line="282" w:lineRule="auto"/>
        <w:tabs>
          <w:tab w:leader="none" w:pos="321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61" w:lineRule="exact"/>
        <w:rPr>
          <w:rFonts w:ascii="Times New Roman" w:cs="Times New Roman" w:eastAsia="Times New Roman" w:hAnsi="Times New Roman"/>
          <w:sz w:val="18"/>
          <w:szCs w:val="18"/>
          <w:color w:val="auto"/>
        </w:rPr>
      </w:pPr>
    </w:p>
    <w:p>
      <w:pPr>
        <w:ind w:firstLine="2277"/>
        <w:spacing w:after="0" w:line="282" w:lineRule="auto"/>
        <w:tabs>
          <w:tab w:leader="none" w:pos="311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would otherwise be due to such Participant under an Award; and</w:t>
      </w:r>
    </w:p>
    <w:p>
      <w:pPr>
        <w:spacing w:after="0" w:line="161" w:lineRule="exact"/>
        <w:rPr>
          <w:rFonts w:ascii="Times New Roman" w:cs="Times New Roman" w:eastAsia="Times New Roman" w:hAnsi="Times New Roman"/>
          <w:sz w:val="18"/>
          <w:szCs w:val="18"/>
          <w:color w:val="auto"/>
        </w:rPr>
      </w:pPr>
    </w:p>
    <w:p>
      <w:pPr>
        <w:ind w:left="3120" w:hanging="843"/>
        <w:spacing w:after="0"/>
        <w:tabs>
          <w:tab w:leader="none" w:pos="31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23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decisions, determinations, and interpretations of the Administrator will be final and binding on all Participants and any other holders of Awards.</w:t>
      </w:r>
    </w:p>
    <w:p>
      <w:pPr>
        <w:spacing w:after="0" w:line="161"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Administrative Authority</w:t>
      </w:r>
      <w:r>
        <w:rPr>
          <w:rFonts w:ascii="Times New Roman" w:cs="Times New Roman" w:eastAsia="Times New Roman" w:hAnsi="Times New Roman"/>
          <w:sz w:val="17"/>
          <w:szCs w:val="17"/>
          <w:color w:val="auto"/>
        </w:rPr>
        <w:t>. Notwithstanding anything herein to the contrary, the Administrator shall be limited as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follows:</w:t>
      </w:r>
    </w:p>
    <w:p>
      <w:pPr>
        <w:spacing w:after="0" w:line="206" w:lineRule="exact"/>
        <w:rPr>
          <w:rFonts w:ascii="Times New Roman" w:cs="Times New Roman" w:eastAsia="Times New Roman" w:hAnsi="Times New Roman"/>
          <w:sz w:val="17"/>
          <w:szCs w:val="17"/>
          <w:color w:val="auto"/>
        </w:rPr>
      </w:pPr>
    </w:p>
    <w:p>
      <w:pPr>
        <w:ind w:left="2980" w:hanging="703"/>
        <w:spacing w:after="0"/>
        <w:tabs>
          <w:tab w:leader="none" w:pos="2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The Administrator may not implement an Exchange Program.</w:t>
      </w:r>
    </w:p>
    <w:p>
      <w:pPr>
        <w:spacing w:after="0" w:line="225" w:lineRule="exact"/>
        <w:rPr>
          <w:rFonts w:ascii="Times New Roman" w:cs="Times New Roman" w:eastAsia="Times New Roman" w:hAnsi="Times New Roman"/>
          <w:sz w:val="18"/>
          <w:szCs w:val="18"/>
          <w:color w:val="auto"/>
        </w:rPr>
      </w:pPr>
    </w:p>
    <w:p>
      <w:pPr>
        <w:jc w:val="both"/>
        <w:ind w:firstLine="2277"/>
        <w:spacing w:after="0" w:line="266" w:lineRule="auto"/>
        <w:tabs>
          <w:tab w:leader="none" w:pos="31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Dividends or Dividend Equivalents Paid on Unvested Awards</w:t>
      </w:r>
      <w:r>
        <w:rPr>
          <w:rFonts w:ascii="Times New Roman" w:cs="Times New Roman" w:eastAsia="Times New Roman" w:hAnsi="Times New Roman"/>
          <w:sz w:val="18"/>
          <w:szCs w:val="18"/>
          <w:color w:val="auto"/>
        </w:rPr>
        <w:t>. No dividends or dividend equivalents shall be paid on any unvested Awards. Any dividends or dividend equivalents may be declared or accrue on unvested Awards, but shall not be paid until the vesting of such Awards.</w:t>
      </w:r>
    </w:p>
    <w:p>
      <w:pPr>
        <w:spacing w:after="0" w:line="176" w:lineRule="exact"/>
        <w:rPr>
          <w:rFonts w:ascii="Times New Roman" w:cs="Times New Roman" w:eastAsia="Times New Roman" w:hAnsi="Times New Roman"/>
          <w:sz w:val="18"/>
          <w:szCs w:val="18"/>
          <w:color w:val="auto"/>
        </w:rPr>
      </w:pPr>
    </w:p>
    <w:p>
      <w:pPr>
        <w:jc w:val="both"/>
        <w:ind w:firstLine="2277"/>
        <w:spacing w:after="0" w:line="258" w:lineRule="auto"/>
        <w:tabs>
          <w:tab w:leader="none" w:pos="310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Director Limitations</w:t>
      </w:r>
      <w:r>
        <w:rPr>
          <w:rFonts w:ascii="Times New Roman" w:cs="Times New Roman" w:eastAsia="Times New Roman" w:hAnsi="Times New Roman"/>
          <w:sz w:val="18"/>
          <w:szCs w:val="18"/>
          <w:color w:val="auto"/>
        </w:rPr>
        <w:t>. No Outside Director may be paid, issued or granted, in any Fiscal Year, Awards with an aggregate value greater than $400,000 (with the value of each Award based on its grant date fair value (determined in accordance with U.S. generally accepted accounting principles)), except that such limit will be increased to $500,000 in the Fiscal Year of his or her initial service as an Outside Director. Any Awards granted to an individual for his or her services as an Employee, or for his or her services as a Consultant (other than as an Outside Director), will not count for purposes of the limitation under this Section 4(d)(iii).</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ind w:right="20" w:firstLine="656"/>
        <w:spacing w:after="0" w:line="282" w:lineRule="auto"/>
        <w:tabs>
          <w:tab w:leader="none" w:pos="170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61" w:lineRule="exact"/>
        <w:rPr>
          <w:rFonts w:ascii="Times New Roman" w:cs="Times New Roman" w:eastAsia="Times New Roman" w:hAnsi="Times New Roman"/>
          <w:sz w:val="18"/>
          <w:szCs w:val="18"/>
          <w:color w:val="auto"/>
        </w:rPr>
      </w:pPr>
    </w:p>
    <w:p>
      <w:pPr>
        <w:ind w:left="1640" w:hanging="984"/>
        <w:spacing w:after="0"/>
        <w:tabs>
          <w:tab w:leader="none" w:pos="1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56" w:lineRule="auto"/>
        <w:tabs>
          <w:tab w:leader="none" w:pos="236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87" w:lineRule="exact"/>
        <w:rPr>
          <w:rFonts w:ascii="Times New Roman" w:cs="Times New Roman" w:eastAsia="Times New Roman" w:hAnsi="Times New Roman"/>
          <w:sz w:val="18"/>
          <w:szCs w:val="18"/>
          <w:color w:val="auto"/>
        </w:rPr>
      </w:pPr>
    </w:p>
    <w:p>
      <w:pPr>
        <w:jc w:val="both"/>
        <w:ind w:firstLine="1305"/>
        <w:spacing w:after="0" w:line="258" w:lineRule="auto"/>
        <w:tabs>
          <w:tab w:leader="none" w:pos="225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term of each Option will be stated in the Award Agreement. In the case of any Option (whether Incentive Stock Option or Nonstatutory Stock Option), the maximum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3" w:lineRule="exact"/>
        <w:rPr>
          <w:rFonts w:ascii="Times New Roman" w:cs="Times New Roman" w:eastAsia="Times New Roman" w:hAnsi="Times New Roman"/>
          <w:sz w:val="18"/>
          <w:szCs w:val="18"/>
          <w:color w:val="auto"/>
        </w:rPr>
      </w:pPr>
    </w:p>
    <w:p>
      <w:pPr>
        <w:ind w:left="2220" w:hanging="915"/>
        <w:spacing w:after="0"/>
        <w:tabs>
          <w:tab w:leader="none" w:pos="22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 and Consideration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2277"/>
        <w:spacing w:after="0" w:line="282" w:lineRule="auto"/>
        <w:tabs>
          <w:tab w:leader="none" w:pos="311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exercise of an Option will be determined by the Administrator, subject to the following:</w:t>
      </w:r>
    </w:p>
    <w:p>
      <w:pPr>
        <w:spacing w:after="0" w:line="161" w:lineRule="exact"/>
        <w:rPr>
          <w:rFonts w:ascii="Times New Roman" w:cs="Times New Roman" w:eastAsia="Times New Roman" w:hAnsi="Times New Roman"/>
          <w:sz w:val="18"/>
          <w:szCs w:val="18"/>
          <w:color w:val="auto"/>
        </w:rPr>
      </w:pPr>
    </w:p>
    <w:p>
      <w:pPr>
        <w:ind w:left="3540" w:hanging="939"/>
        <w:spacing w:after="0"/>
        <w:tabs>
          <w:tab w:leader="none" w:pos="3540"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225" w:lineRule="exact"/>
        <w:rPr>
          <w:rFonts w:ascii="Times New Roman" w:cs="Times New Roman" w:eastAsia="Times New Roman" w:hAnsi="Times New Roman"/>
          <w:sz w:val="18"/>
          <w:szCs w:val="18"/>
          <w:color w:val="auto"/>
        </w:rPr>
      </w:pPr>
    </w:p>
    <w:p>
      <w:pPr>
        <w:jc w:val="both"/>
        <w:ind w:firstLine="3249"/>
        <w:spacing w:after="0" w:line="266" w:lineRule="auto"/>
        <w:tabs>
          <w:tab w:leader="none" w:pos="4583"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76" w:lineRule="exact"/>
        <w:rPr>
          <w:rFonts w:ascii="Times New Roman" w:cs="Times New Roman" w:eastAsia="Times New Roman" w:hAnsi="Times New Roman"/>
          <w:sz w:val="18"/>
          <w:szCs w:val="18"/>
          <w:color w:val="auto"/>
        </w:rPr>
      </w:pPr>
    </w:p>
    <w:p>
      <w:pPr>
        <w:ind w:left="4320" w:hanging="1071"/>
        <w:spacing w:after="0"/>
        <w:tabs>
          <w:tab w:leader="none" w:pos="4320"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Employee other than an Employee described in paragraph (A) immediately above,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price will be no less than one hundred percent (100%) of the Fair Market Value per Share on the date of grant.</w:t>
      </w:r>
    </w:p>
    <w:p>
      <w:pPr>
        <w:spacing w:after="0" w:line="206" w:lineRule="exact"/>
        <w:rPr>
          <w:rFonts w:ascii="Times New Roman" w:cs="Times New Roman" w:eastAsia="Times New Roman" w:hAnsi="Times New Roman"/>
          <w:sz w:val="18"/>
          <w:szCs w:val="18"/>
          <w:color w:val="auto"/>
        </w:rPr>
      </w:pPr>
    </w:p>
    <w:p>
      <w:pPr>
        <w:ind w:right="20" w:firstLine="2601"/>
        <w:spacing w:after="0" w:line="282" w:lineRule="auto"/>
        <w:tabs>
          <w:tab w:leader="none" w:pos="3683"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Nonstatutory Stock Option, the per Share exercise price will be no less than one hundred percent (100%) of the Fair Market Value per Share on the date of grant.</w:t>
      </w:r>
    </w:p>
    <w:p>
      <w:pPr>
        <w:sectPr>
          <w:pgSz w:w="11900" w:h="16838" w:orient="portrait"/>
          <w:cols w:equalWidth="0" w:num="1">
            <w:col w:w="11420"/>
          </w:cols>
          <w:pgMar w:left="240" w:top="580" w:right="239" w:bottom="1440" w:gutter="0" w:footer="0" w:header="0"/>
        </w:sectPr>
      </w:pPr>
    </w:p>
    <w:p>
      <w:pPr>
        <w:spacing w:after="0" w:line="3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hundred percent (100%) of the Section 424(a) of the Code.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left="-241" w:firstLine="241"/>
        <w:spacing w:after="0" w:line="282" w:lineRule="auto"/>
        <w:tabs>
          <w:tab w:leader="none" w:pos="11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Options may be granted with a per Share exercise price of less than one Fair Market Value per Share on the date of grant pursuant to a transaction described in, and in a manner consistent with,</w:t>
      </w:r>
    </w:p>
    <w:p>
      <w:pPr>
        <w:spacing w:after="0" w:line="416" w:lineRule="exact"/>
        <w:rPr>
          <w:sz w:val="20"/>
          <w:szCs w:val="20"/>
          <w:color w:val="auto"/>
        </w:rPr>
      </w:pPr>
    </w:p>
    <w:p>
      <w:pPr>
        <w:sectPr>
          <w:pgSz w:w="11900" w:h="16838" w:orient="portrait"/>
          <w:cols w:equalWidth="0" w:num="2">
            <w:col w:w="2300" w:space="301"/>
            <w:col w:w="8819"/>
          </w:cols>
          <w:pgMar w:left="240" w:top="580" w:right="239" w:bottom="1440" w:gutter="0" w:footer="0" w:header="0"/>
          <w:type w:val="continuous"/>
        </w:sectPr>
      </w:pP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0" w:name="page11"/>
    <w:bookmarkEnd w:id="10"/>
    <w:p>
      <w:pPr>
        <w:ind w:firstLine="2277"/>
        <w:spacing w:after="0" w:line="282" w:lineRule="auto"/>
        <w:tabs>
          <w:tab w:leader="none" w:pos="312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61" w:lineRule="exact"/>
        <w:rPr>
          <w:rFonts w:ascii="Times New Roman" w:cs="Times New Roman" w:eastAsia="Times New Roman" w:hAnsi="Times New Roman"/>
          <w:sz w:val="18"/>
          <w:szCs w:val="18"/>
          <w:color w:val="auto"/>
        </w:rPr>
      </w:pPr>
    </w:p>
    <w:p>
      <w:pPr>
        <w:jc w:val="both"/>
        <w:ind w:firstLine="2277"/>
        <w:spacing w:after="0" w:line="255" w:lineRule="auto"/>
        <w:tabs>
          <w:tab w:leader="none" w:pos="318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may determine in its sole discretion; (4)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w:t>
      </w:r>
    </w:p>
    <w:p>
      <w:pPr>
        <w:spacing w:after="0" w:line="18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277"/>
        <w:spacing w:after="0" w:line="266" w:lineRule="auto"/>
        <w:tabs>
          <w:tab w:leader="none" w:pos="300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62" w:lineRule="exact"/>
        <w:rPr>
          <w:sz w:val="20"/>
          <w:szCs w:val="20"/>
          <w:color w:val="auto"/>
        </w:rPr>
      </w:pPr>
    </w:p>
    <w:p>
      <w:pPr>
        <w:jc w:val="both"/>
        <w:ind w:firstLine="2277"/>
        <w:spacing w:after="0" w:line="255" w:lineRule="auto"/>
        <w:tabs>
          <w:tab w:leader="none" w:pos="30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jc w:val="both"/>
        <w:ind w:firstLine="2277"/>
        <w:spacing w:after="0" w:line="255" w:lineRule="auto"/>
        <w:tabs>
          <w:tab w:leader="none" w:pos="31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9" w:lineRule="exact"/>
        <w:rPr>
          <w:rFonts w:ascii="Times New Roman" w:cs="Times New Roman" w:eastAsia="Times New Roman" w:hAnsi="Times New Roman"/>
          <w:sz w:val="18"/>
          <w:szCs w:val="18"/>
          <w:color w:val="auto"/>
        </w:rPr>
      </w:pPr>
    </w:p>
    <w:p>
      <w:pPr>
        <w:jc w:val="both"/>
        <w:ind w:firstLine="2277"/>
        <w:spacing w:after="0" w:line="254" w:lineRule="auto"/>
        <w:tabs>
          <w:tab w:leader="none" w:pos="324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86" w:lineRule="exact"/>
        <w:rPr>
          <w:rFonts w:ascii="Times New Roman" w:cs="Times New Roman" w:eastAsia="Times New Roman" w:hAnsi="Times New Roman"/>
          <w:sz w:val="18"/>
          <w:szCs w:val="18"/>
          <w:color w:val="auto"/>
        </w:rPr>
      </w:pPr>
    </w:p>
    <w:p>
      <w:pPr>
        <w:ind w:left="1640" w:hanging="984"/>
        <w:spacing w:after="0"/>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221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230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231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7 or in the Award Agreement, Shares of Restricted Stock may not be sold, transferred, pledged, assigned, or otherwise alienated or hypothecated until the end of the applicable Period of Restriction.</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22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61" w:lineRule="exact"/>
        <w:rPr>
          <w:rFonts w:ascii="Times New Roman" w:cs="Times New Roman" w:eastAsia="Times New Roman" w:hAnsi="Times New Roman"/>
          <w:sz w:val="18"/>
          <w:szCs w:val="18"/>
          <w:color w:val="auto"/>
        </w:rPr>
      </w:pPr>
    </w:p>
    <w:p>
      <w:pPr>
        <w:jc w:val="both"/>
        <w:ind w:right="20" w:firstLine="1305"/>
        <w:spacing w:after="0" w:line="266" w:lineRule="auto"/>
        <w:tabs>
          <w:tab w:leader="none" w:pos="223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ind w:firstLine="1305"/>
        <w:spacing w:after="0" w:line="282" w:lineRule="auto"/>
        <w:tabs>
          <w:tab w:leader="none" w:pos="230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225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subject to Section 4(d)(ii). If any such dividends or distributions are paid in Shares, the Shares will be subject to the same restrictions on transferability and forfeitability as the Shares of Restricted Stock with respect to which they were paid.</w:t>
      </w:r>
    </w:p>
    <w:p>
      <w:pPr>
        <w:spacing w:after="0" w:line="180" w:lineRule="exact"/>
        <w:rPr>
          <w:rFonts w:ascii="Times New Roman" w:cs="Times New Roman" w:eastAsia="Times New Roman" w:hAnsi="Times New Roman"/>
          <w:sz w:val="18"/>
          <w:szCs w:val="18"/>
          <w:color w:val="auto"/>
        </w:rPr>
      </w:pPr>
    </w:p>
    <w:p>
      <w:pPr>
        <w:ind w:firstLine="1305"/>
        <w:spacing w:after="0" w:line="282" w:lineRule="auto"/>
        <w:tabs>
          <w:tab w:leader="none" w:pos="253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61" w:lineRule="exact"/>
        <w:rPr>
          <w:rFonts w:ascii="Times New Roman" w:cs="Times New Roman" w:eastAsia="Times New Roman" w:hAnsi="Times New Roman"/>
          <w:sz w:val="18"/>
          <w:szCs w:val="18"/>
          <w:color w:val="auto"/>
        </w:rPr>
      </w:pPr>
    </w:p>
    <w:p>
      <w:pPr>
        <w:ind w:left="1640" w:hanging="984"/>
        <w:spacing w:after="0"/>
        <w:tabs>
          <w:tab w:leader="none" w:pos="1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66" w:lineRule="auto"/>
        <w:tabs>
          <w:tab w:leader="none" w:pos="227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222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180" w:lineRule="exact"/>
        <w:rPr>
          <w:rFonts w:ascii="Times New Roman" w:cs="Times New Roman" w:eastAsia="Times New Roman" w:hAnsi="Times New Roman"/>
          <w:sz w:val="18"/>
          <w:szCs w:val="18"/>
          <w:color w:val="auto"/>
        </w:rPr>
      </w:pPr>
    </w:p>
    <w:p>
      <w:pPr>
        <w:jc w:val="both"/>
        <w:ind w:firstLine="1305"/>
        <w:spacing w:after="0" w:line="266" w:lineRule="auto"/>
        <w:tabs>
          <w:tab w:leader="none" w:pos="221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230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76" w:lineRule="exact"/>
        <w:rPr>
          <w:rFonts w:ascii="Times New Roman" w:cs="Times New Roman" w:eastAsia="Times New Roman" w:hAnsi="Times New Roman"/>
          <w:sz w:val="18"/>
          <w:szCs w:val="18"/>
          <w:color w:val="auto"/>
        </w:rPr>
      </w:pPr>
    </w:p>
    <w:p>
      <w:pPr>
        <w:ind w:left="2500" w:hanging="1195"/>
        <w:spacing w:after="0"/>
        <w:tabs>
          <w:tab w:leader="none" w:pos="2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1640" w:hanging="984"/>
        <w:spacing w:after="0"/>
        <w:tabs>
          <w:tab w:leader="none" w:pos="1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247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61" w:lineRule="exact"/>
        <w:rPr>
          <w:rFonts w:ascii="Times New Roman" w:cs="Times New Roman" w:eastAsia="Times New Roman" w:hAnsi="Times New Roman"/>
          <w:sz w:val="18"/>
          <w:szCs w:val="18"/>
          <w:color w:val="auto"/>
        </w:rPr>
      </w:pPr>
    </w:p>
    <w:p>
      <w:pPr>
        <w:ind w:left="2380" w:hanging="1075"/>
        <w:spacing w:after="0"/>
        <w:tabs>
          <w:tab w:leader="none" w:pos="23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Stock Appreciation Rights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Service Provider.</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both"/>
        <w:ind w:firstLine="1305"/>
        <w:spacing w:after="0" w:line="258" w:lineRule="auto"/>
        <w:tabs>
          <w:tab w:leader="none" w:pos="247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w:t>
      </w:r>
    </w:p>
    <w:p>
      <w:pPr>
        <w:spacing w:after="0" w:line="183" w:lineRule="exact"/>
        <w:rPr>
          <w:rFonts w:ascii="Times New Roman" w:cs="Times New Roman" w:eastAsia="Times New Roman" w:hAnsi="Times New Roman"/>
          <w:sz w:val="18"/>
          <w:szCs w:val="18"/>
          <w:color w:val="auto"/>
        </w:rPr>
      </w:pPr>
    </w:p>
    <w:p>
      <w:pPr>
        <w:jc w:val="both"/>
        <w:ind w:firstLine="1305"/>
        <w:spacing w:after="0" w:line="266" w:lineRule="auto"/>
        <w:tabs>
          <w:tab w:leader="none" w:pos="237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2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232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 (i) the difference between the Fair Market Value of a Share on the date of exercise over the exercise price times (ii) the number of Shares with respect to which the Stock Appreciation Right is exercised. At the discretion of the Administrator, the payment upon exercise of a Stock Appreciation Right may be made in cash, in Shares of equivalent value, or in some combination thereof.</w:t>
      </w:r>
    </w:p>
    <w:p>
      <w:pPr>
        <w:spacing w:after="0" w:line="180" w:lineRule="exact"/>
        <w:rPr>
          <w:rFonts w:ascii="Times New Roman" w:cs="Times New Roman" w:eastAsia="Times New Roman" w:hAnsi="Times New Roman"/>
          <w:sz w:val="18"/>
          <w:szCs w:val="18"/>
          <w:color w:val="auto"/>
        </w:rPr>
      </w:pPr>
    </w:p>
    <w:p>
      <w:pPr>
        <w:ind w:left="1560" w:hanging="904"/>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Units and Performance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66" w:lineRule="auto"/>
        <w:tabs>
          <w:tab w:leader="none" w:pos="235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Performance Units/Shares</w:t>
      </w:r>
      <w:r>
        <w:rPr>
          <w:rFonts w:ascii="Times New Roman" w:cs="Times New Roman" w:eastAsia="Times New Roman" w:hAnsi="Times New Roman"/>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230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of Performance Units/Shares</w:t>
      </w:r>
      <w:r>
        <w:rPr>
          <w:rFonts w:ascii="Times New Roman" w:cs="Times New Roman" w:eastAsia="Times New Roman" w:hAnsi="Times New Roman"/>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61" w:lineRule="exact"/>
        <w:rPr>
          <w:rFonts w:ascii="Times New Roman" w:cs="Times New Roman" w:eastAsia="Times New Roman" w:hAnsi="Times New Roman"/>
          <w:sz w:val="18"/>
          <w:szCs w:val="18"/>
          <w:color w:val="auto"/>
        </w:rPr>
      </w:pPr>
    </w:p>
    <w:p>
      <w:pPr>
        <w:jc w:val="both"/>
        <w:ind w:firstLine="1305"/>
        <w:spacing w:after="0" w:line="255" w:lineRule="auto"/>
        <w:tabs>
          <w:tab w:leader="none" w:pos="248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Objectives and Other Terms</w:t>
      </w:r>
      <w:r>
        <w:rPr>
          <w:rFonts w:ascii="Times New Roman" w:cs="Times New Roman" w:eastAsia="Times New Roman" w:hAnsi="Times New Roman"/>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189" w:lineRule="exact"/>
        <w:rPr>
          <w:rFonts w:ascii="Times New Roman" w:cs="Times New Roman" w:eastAsia="Times New Roman" w:hAnsi="Times New Roman"/>
          <w:sz w:val="18"/>
          <w:szCs w:val="18"/>
          <w:color w:val="auto"/>
        </w:rPr>
      </w:pPr>
    </w:p>
    <w:p>
      <w:pPr>
        <w:jc w:val="both"/>
        <w:ind w:firstLine="1305"/>
        <w:spacing w:after="0" w:line="258" w:lineRule="auto"/>
        <w:tabs>
          <w:tab w:leader="none" w:pos="261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of Performance Units/Shares</w:t>
      </w:r>
      <w:r>
        <w:rPr>
          <w:rFonts w:ascii="Times New Roman" w:cs="Times New Roman" w:eastAsia="Times New Roman" w:hAnsi="Times New Roman"/>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jc w:val="both"/>
        <w:ind w:firstLine="1305"/>
        <w:spacing w:after="0" w:line="261" w:lineRule="auto"/>
        <w:tabs>
          <w:tab w:leader="none" w:pos="221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 of Performance Units/Shares</w:t>
      </w:r>
      <w:r>
        <w:rPr>
          <w:rFonts w:ascii="Times New Roman" w:cs="Times New Roman" w:eastAsia="Times New Roman" w:hAnsi="Times New Roman"/>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80" w:lineRule="exact"/>
        <w:rPr>
          <w:rFonts w:ascii="Times New Roman" w:cs="Times New Roman" w:eastAsia="Times New Roman" w:hAnsi="Times New Roman"/>
          <w:sz w:val="18"/>
          <w:szCs w:val="18"/>
          <w:color w:val="auto"/>
        </w:rPr>
      </w:pPr>
    </w:p>
    <w:p>
      <w:pPr>
        <w:ind w:firstLine="1305"/>
        <w:spacing w:after="0" w:line="282" w:lineRule="auto"/>
        <w:tabs>
          <w:tab w:leader="none" w:pos="2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Performance Units/Shares</w:t>
      </w:r>
      <w:r>
        <w:rPr>
          <w:rFonts w:ascii="Times New Roman" w:cs="Times New Roman" w:eastAsia="Times New Roman" w:hAnsi="Times New Roman"/>
          <w:sz w:val="18"/>
          <w:szCs w:val="18"/>
          <w:color w:val="auto"/>
        </w:rPr>
        <w:t>. On the date set forth in the Award Agreement, all unearned or unvested Performance Units/Shares will be forfeited to the Company, and again will be available for grant under the Plan.</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6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Leaves of Absence/Transfers Between Locations</w:t>
      </w:r>
      <w:r>
        <w:rPr>
          <w:rFonts w:ascii="Times New Roman" w:cs="Times New Roman" w:eastAsia="Times New Roman" w:hAnsi="Times New Roman"/>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day of such leave any Incentive Stock Option held by the Participant will cease to be treated as an Incentive Stock Option and will be treated for tax purposes as a Nonstatutory Stock Option.</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w:t>
      </w:r>
    </w:p>
    <w:p>
      <w:pPr>
        <w:spacing w:after="0" w:line="180" w:lineRule="exact"/>
        <w:rPr>
          <w:rFonts w:ascii="Times New Roman" w:cs="Times New Roman" w:eastAsia="Times New Roman" w:hAnsi="Times New Roman"/>
          <w:sz w:val="18"/>
          <w:szCs w:val="18"/>
          <w:color w:val="auto"/>
        </w:rPr>
      </w:pPr>
    </w:p>
    <w:p>
      <w:pPr>
        <w:ind w:left="1560" w:hanging="904"/>
        <w:spacing w:after="0"/>
        <w:tabs>
          <w:tab w:leader="none" w:pos="1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56" w:lineRule="auto"/>
        <w:tabs>
          <w:tab w:leader="none" w:pos="224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187" w:lineRule="exact"/>
        <w:rPr>
          <w:rFonts w:ascii="Times New Roman" w:cs="Times New Roman" w:eastAsia="Times New Roman" w:hAnsi="Times New Roman"/>
          <w:sz w:val="18"/>
          <w:szCs w:val="18"/>
          <w:color w:val="auto"/>
        </w:rPr>
      </w:pPr>
    </w:p>
    <w:p>
      <w:pPr>
        <w:jc w:val="both"/>
        <w:ind w:firstLine="1305"/>
        <w:spacing w:after="0" w:line="266" w:lineRule="auto"/>
        <w:tabs>
          <w:tab w:leader="none" w:pos="242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228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0" w:lineRule="exact"/>
        <w:rPr>
          <w:sz w:val="20"/>
          <w:szCs w:val="20"/>
          <w:color w:val="auto"/>
        </w:rPr>
      </w:pPr>
    </w:p>
    <w:p>
      <w:pPr>
        <w:jc w:val="both"/>
        <w:ind w:firstLine="1305"/>
        <w:spacing w:after="0" w:line="255" w:lineRule="auto"/>
        <w:tabs>
          <w:tab w:leader="none" w:pos="230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Director Awards</w:t>
      </w:r>
      <w:r>
        <w:rPr>
          <w:rFonts w:ascii="Times New Roman" w:cs="Times New Roman" w:eastAsia="Times New Roman" w:hAnsi="Times New Roman"/>
          <w:sz w:val="18"/>
          <w:szCs w:val="18"/>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w:t>
      </w:r>
    </w:p>
    <w:p>
      <w:pPr>
        <w:spacing w:after="0" w:line="189" w:lineRule="exact"/>
        <w:rPr>
          <w:rFonts w:ascii="Times New Roman" w:cs="Times New Roman" w:eastAsia="Times New Roman" w:hAnsi="Times New Roman"/>
          <w:sz w:val="18"/>
          <w:szCs w:val="18"/>
          <w:color w:val="auto"/>
        </w:rPr>
      </w:pPr>
    </w:p>
    <w:p>
      <w:pPr>
        <w:ind w:left="1560" w:hanging="904"/>
        <w:spacing w:after="0"/>
        <w:tabs>
          <w:tab w:leader="none" w:pos="1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66" w:lineRule="auto"/>
        <w:tabs>
          <w:tab w:leader="none" w:pos="255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both"/>
        <w:ind w:firstLine="1305"/>
        <w:spacing w:after="0" w:line="258" w:lineRule="auto"/>
        <w:tabs>
          <w:tab w:leader="none" w:pos="233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183" w:lineRule="exact"/>
        <w:rPr>
          <w:rFonts w:ascii="Times New Roman" w:cs="Times New Roman" w:eastAsia="Times New Roman" w:hAnsi="Times New Roman"/>
          <w:sz w:val="18"/>
          <w:szCs w:val="18"/>
          <w:color w:val="auto"/>
        </w:rPr>
      </w:pPr>
    </w:p>
    <w:p>
      <w:pPr>
        <w:jc w:val="both"/>
        <w:ind w:firstLine="1305"/>
        <w:spacing w:after="0" w:line="255" w:lineRule="auto"/>
        <w:tabs>
          <w:tab w:leader="none" w:pos="221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15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68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5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Subject to Section 22 of the Plan, the Plan will become effective upon the Restatement Effective Date. It will continue in effect for a term of ten (10) years from the date adopted by the Board, unless terminated earlier under Section 18 of the Plan.</w:t>
      </w:r>
    </w:p>
    <w:p>
      <w:pPr>
        <w:spacing w:after="0" w:line="161" w:lineRule="exact"/>
        <w:rPr>
          <w:rFonts w:ascii="Times New Roman" w:cs="Times New Roman" w:eastAsia="Times New Roman" w:hAnsi="Times New Roman"/>
          <w:sz w:val="18"/>
          <w:szCs w:val="18"/>
          <w:color w:val="auto"/>
        </w:rPr>
      </w:pPr>
    </w:p>
    <w:p>
      <w:pPr>
        <w:ind w:left="1560" w:hanging="904"/>
        <w:spacing w:after="0"/>
        <w:tabs>
          <w:tab w:leader="none" w:pos="1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220" w:hanging="915"/>
        <w:spacing w:after="0"/>
        <w:tabs>
          <w:tab w:leader="none" w:pos="22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Board may at any time amend, alter, suspend or terminate the Plan.</w:t>
      </w:r>
    </w:p>
    <w:p>
      <w:pPr>
        <w:spacing w:after="0" w:line="225" w:lineRule="exact"/>
        <w:rPr>
          <w:rFonts w:ascii="Times New Roman" w:cs="Times New Roman" w:eastAsia="Times New Roman" w:hAnsi="Times New Roman"/>
          <w:sz w:val="18"/>
          <w:szCs w:val="18"/>
          <w:color w:val="auto"/>
        </w:rPr>
      </w:pPr>
    </w:p>
    <w:p>
      <w:pPr>
        <w:ind w:right="20" w:firstLine="1305"/>
        <w:spacing w:after="0" w:line="282" w:lineRule="auto"/>
        <w:tabs>
          <w:tab w:leader="none" w:pos="240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221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ind w:left="1560" w:hanging="904"/>
        <w:spacing w:after="0"/>
        <w:tabs>
          <w:tab w:leader="none" w:pos="1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66" w:lineRule="auto"/>
        <w:tabs>
          <w:tab w:leader="none" w:pos="232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22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7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76" w:lineRule="exact"/>
        <w:rPr>
          <w:rFonts w:ascii="Times New Roman" w:cs="Times New Roman" w:eastAsia="Times New Roman" w:hAnsi="Times New Roman"/>
          <w:sz w:val="18"/>
          <w:szCs w:val="18"/>
          <w:color w:val="auto"/>
        </w:rPr>
      </w:pPr>
    </w:p>
    <w:p>
      <w:pPr>
        <w:ind w:left="1560" w:hanging="904"/>
        <w:spacing w:after="0"/>
        <w:tabs>
          <w:tab w:leader="none" w:pos="1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55" w:lineRule="auto"/>
        <w:tabs>
          <w:tab w:leader="none" w:pos="239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w:t>
      </w:r>
    </w:p>
    <w:p>
      <w:pPr>
        <w:spacing w:after="0" w:line="185" w:lineRule="exact"/>
        <w:rPr>
          <w:rFonts w:ascii="Times New Roman" w:cs="Times New Roman" w:eastAsia="Times New Roman" w:hAnsi="Times New Roman"/>
          <w:sz w:val="18"/>
          <w:szCs w:val="18"/>
          <w:color w:val="auto"/>
        </w:rPr>
      </w:pPr>
    </w:p>
    <w:p>
      <w:pPr>
        <w:jc w:val="both"/>
        <w:ind w:firstLine="1305"/>
        <w:spacing w:after="0" w:line="258" w:lineRule="auto"/>
        <w:tabs>
          <w:tab w:leader="none" w:pos="182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5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This amendment and restatement of the Plan is subject to, and contingent upon, stockholder approval at the 2019 Annual Meeting of Stockholders. Such stockholder approval will be obtained in the manner and to the degree required under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2"/>
    </w:lvl>
  </w:abstractNum>
  <w:abstractNum w:abstractNumId="3">
    <w:nsid w:val="3F2DBA31"/>
    <w:multiLevelType w:val="hybridMultilevel"/>
    <w:lvl w:ilvl="0">
      <w:lvlJc w:val="left"/>
      <w:lvlText w:val="%1."/>
      <w:numFmt w:val="decimal"/>
      <w:start w:val="3"/>
    </w:lvl>
  </w:abstractNum>
  <w:abstractNum w:abstractNumId="4">
    <w:nsid w:val="7C83E458"/>
    <w:multiLevelType w:val="hybridMultilevel"/>
    <w:lvl w:ilvl="0">
      <w:lvlJc w:val="left"/>
      <w:lvlText w:val="%1."/>
      <w:numFmt w:val="decimal"/>
      <w:start w:val="4"/>
    </w:lvl>
  </w:abstractNum>
  <w:abstractNum w:abstractNumId="5">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
    <w:nsid w:val="62BBD95A"/>
    <w:multiLevelType w:val="hybridMultilevel"/>
    <w:lvl w:ilvl="0">
      <w:lvlJc w:val="left"/>
      <w:lvlText w:val="(%1)"/>
      <w:numFmt w:val="lowerLetter"/>
      <w:start w:val="7"/>
    </w:lvl>
  </w:abstractNum>
  <w:abstractNum w:abstractNumId="7">
    <w:nsid w:val="436C6125"/>
    <w:multiLevelType w:val="hybridMultilevel"/>
    <w:lvl w:ilvl="0">
      <w:lvlJc w:val="left"/>
      <w:lvlText w:val="(%1)"/>
      <w:numFmt w:val="lowerLetter"/>
      <w:start w:val="14"/>
    </w:lvl>
    <w:lvl w:ilvl="1">
      <w:lvlJc w:val="left"/>
      <w:lvlText w:val="(%2)"/>
      <w:numFmt w:val="lowerRoman"/>
      <w:start w:val="1"/>
    </w:lvl>
  </w:abstractNum>
  <w:abstractNum w:abstractNumId="8">
    <w:nsid w:val="628C895D"/>
    <w:multiLevelType w:val="hybridMultilevel"/>
    <w:lvl w:ilvl="0">
      <w:lvlJc w:val="left"/>
      <w:lvlText w:val="(%1)"/>
      <w:numFmt w:val="lowerLetter"/>
      <w:start w:val="26"/>
    </w:lvl>
  </w:abstractNum>
  <w:abstractNum w:abstractNumId="9">
    <w:nsid w:val="333AB105"/>
    <w:multiLevelType w:val="hybridMultilevel"/>
    <w:lvl w:ilvl="0">
      <w:lvlJc w:val="left"/>
      <w:lvlText w:val="%1"/>
      <w:numFmt w:val="decimal"/>
      <w:start w:val="1"/>
    </w:lvl>
    <w:lvl w:ilvl="1">
      <w:lvlJc w:val="left"/>
      <w:lvlText w:val="(%2)"/>
      <w:numFmt w:val="lowerLetter"/>
      <w:start w:val="27"/>
    </w:lvl>
  </w:abstractNum>
  <w:abstractNum w:abstractNumId="10">
    <w:nsid w:val="721DA317"/>
    <w:multiLevelType w:val="hybridMultilevel"/>
    <w:lvl w:ilvl="0">
      <w:lvlJc w:val="left"/>
      <w:lvlText w:val="%1."/>
      <w:numFmt w:val="decimal"/>
      <w:start w:val="3"/>
    </w:lvl>
    <w:lvl w:ilvl="1">
      <w:lvlJc w:val="left"/>
      <w:lvlText w:val="(%2)"/>
      <w:numFmt w:val="lowerLetter"/>
      <w:start w:val="1"/>
    </w:lvl>
  </w:abstractNum>
  <w:abstractNum w:abstractNumId="11">
    <w:nsid w:val="2443A85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
    <w:nsid w:val="2D1D5AE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
    <w:nsid w:val="6763845E"/>
    <w:multiLevelType w:val="hybridMultilevel"/>
    <w:lvl w:ilvl="0">
      <w:lvlJc w:val="left"/>
      <w:lvlText w:val="%1"/>
      <w:numFmt w:val="lowerLetter"/>
      <w:start w:val="1"/>
    </w:lvl>
    <w:lvl w:ilvl="1">
      <w:lvlJc w:val="left"/>
      <w:lvlText w:val="(%2)"/>
      <w:numFmt w:val="lowerRoman"/>
      <w:start w:val="3"/>
    </w:lvl>
  </w:abstractNum>
  <w:abstractNum w:abstractNumId="14">
    <w:nsid w:val="75A2A8D4"/>
    <w:multiLevelType w:val="hybridMultilevel"/>
    <w:lvl w:ilvl="0">
      <w:lvlJc w:val="left"/>
      <w:lvlText w:val="(%1)"/>
      <w:numFmt w:val="lowerLetter"/>
      <w:start w:val="3"/>
    </w:lvl>
    <w:lvl w:ilvl="1">
      <w:lvlJc w:val="left"/>
      <w:lvlText w:val="(%2)"/>
      <w:numFmt w:val="lowerRoman"/>
      <w:start w:val="1"/>
    </w:lvl>
  </w:abstractNum>
  <w:abstractNum w:abstractNumId="15">
    <w:nsid w:val="8EDBDA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lowerLetter"/>
      <w:start w:val="1"/>
    </w:lvl>
  </w:abstractNum>
  <w:abstractNum w:abstractNumId="16">
    <w:nsid w:val="79838CB2"/>
    <w:multiLevelType w:val="hybridMultilevel"/>
    <w:lvl w:ilvl="0">
      <w:lvlJc w:val="left"/>
      <w:lvlText w:val="(%1)"/>
      <w:numFmt w:val="decimal"/>
      <w:start w:val="3"/>
    </w:lvl>
  </w:abstractNum>
  <w:abstractNum w:abstractNumId="17">
    <w:nsid w:val="4353D0CD"/>
    <w:multiLevelType w:val="hybridMultilevel"/>
    <w:lvl w:ilvl="0">
      <w:lvlJc w:val="left"/>
      <w:lvlText w:val="%1"/>
      <w:numFmt w:val="lowerLetter"/>
      <w:start w:val="1"/>
    </w:lvl>
    <w:lvl w:ilvl="1">
      <w:lvlJc w:val="left"/>
      <w:lvlText w:val="(%2)"/>
      <w:numFmt w:val="lowerRoman"/>
      <w:start w:val="2"/>
    </w:lvl>
  </w:abstractNum>
  <w:abstractNum w:abstractNumId="18">
    <w:nsid w:val="B03E0C6"/>
    <w:multiLevelType w:val="hybridMultilevel"/>
    <w:lvl w:ilvl="0">
      <w:lvlJc w:val="left"/>
      <w:lvlText w:val="(%1)"/>
      <w:numFmt w:val="lowerLetter"/>
      <w:start w:val="4"/>
    </w:lvl>
    <w:lvl w:ilvl="1">
      <w:lvlJc w:val="left"/>
      <w:lvlText w:val="(%2)"/>
      <w:numFmt w:val="lowerRoman"/>
      <w:start w:val="1"/>
    </w:lvl>
  </w:abstractNum>
  <w:abstractNum w:abstractNumId="19">
    <w:nsid w:val="189A769B"/>
    <w:multiLevelType w:val="hybridMultilevel"/>
    <w:lvl w:ilvl="0">
      <w:lvlJc w:val="left"/>
      <w:lvlText w:val="(%1)"/>
      <w:numFmt w:val="lowerRoman"/>
      <w:start w:val="2"/>
    </w:lvl>
  </w:abstractNum>
  <w:abstractNum w:abstractNumId="20">
    <w:nsid w:val="54E49EB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1">
    <w:nsid w:val="71F3245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2">
    <w:nsid w:val="2CA88611"/>
    <w:multiLevelType w:val="hybridMultilevel"/>
    <w:lvl w:ilvl="0">
      <w:lvlJc w:val="left"/>
      <w:lvlText w:val="%1"/>
      <w:numFmt w:val="decimal"/>
      <w:start w:val="1"/>
    </w:lvl>
    <w:lvl w:ilvl="1">
      <w:lvlJc w:val="left"/>
      <w:lvlText w:val="(%2)"/>
      <w:numFmt w:val="lowerLetter"/>
      <w:start w:val="6"/>
    </w:lvl>
  </w:abstractNum>
  <w:abstractNum w:abstractNumId="23">
    <w:nsid w:val="836C40E"/>
    <w:multiLevelType w:val="hybridMultilevel"/>
    <w:lvl w:ilvl="0">
      <w:lvlJc w:val="left"/>
      <w:lvlText w:val="%1."/>
      <w:numFmt w:val="decimal"/>
      <w:start w:val="8"/>
    </w:lvl>
    <w:lvl w:ilvl="1">
      <w:lvlJc w:val="left"/>
      <w:lvlText w:val="(%2)"/>
      <w:numFmt w:val="lowerLetter"/>
      <w:start w:val="1"/>
    </w:lvl>
  </w:abstractNum>
  <w:abstractNum w:abstractNumId="24">
    <w:nsid w:val="2901D82"/>
    <w:multiLevelType w:val="hybridMultilevel"/>
    <w:lvl w:ilvl="0">
      <w:lvlJc w:val="left"/>
      <w:lvlText w:val="%1"/>
      <w:numFmt w:val="decimal"/>
      <w:start w:val="1"/>
    </w:lvl>
    <w:lvl w:ilvl="1">
      <w:lvlJc w:val="left"/>
      <w:lvlText w:val="(%2)"/>
      <w:numFmt w:val="lowerLetter"/>
      <w:start w:val="3"/>
    </w:lvl>
  </w:abstractNum>
  <w:abstractNum w:abstractNumId="25">
    <w:nsid w:val="3A95F874"/>
    <w:multiLevelType w:val="hybridMultilevel"/>
    <w:lvl w:ilvl="0">
      <w:lvlJc w:val="left"/>
      <w:lvlText w:val="%1."/>
      <w:numFmt w:val="decimal"/>
      <w:start w:val="10"/>
    </w:lvl>
    <w:lvl w:ilvl="1">
      <w:lvlJc w:val="left"/>
      <w:lvlText w:val="(%2)"/>
      <w:numFmt w:val="lowerLetter"/>
      <w:start w:val="1"/>
    </w:lvl>
  </w:abstractNum>
  <w:abstractNum w:abstractNumId="26">
    <w:nsid w:val="8138641"/>
    <w:multiLevelType w:val="hybridMultilevel"/>
    <w:lvl w:ilvl="0">
      <w:lvlJc w:val="left"/>
      <w:lvlText w:val="%1"/>
      <w:numFmt w:val="decimal"/>
      <w:start w:val="1"/>
    </w:lvl>
    <w:lvl w:ilvl="1">
      <w:lvlJc w:val="left"/>
      <w:lvlText w:val="(%2)"/>
      <w:numFmt w:val="lowerLetter"/>
      <w:start w:val="5"/>
    </w:lvl>
  </w:abstractNum>
  <w:abstractNum w:abstractNumId="27">
    <w:nsid w:val="1E7FF521"/>
    <w:multiLevelType w:val="hybridMultilevel"/>
    <w:lvl w:ilvl="0">
      <w:lvlJc w:val="left"/>
      <w:lvlText w:val="%1."/>
      <w:numFmt w:val="decimal"/>
      <w:start w:val="11"/>
    </w:lvl>
    <w:lvl w:ilvl="1">
      <w:lvlJc w:val="left"/>
      <w:lvlText w:val="(%2)"/>
      <w:numFmt w:val="lowerLetter"/>
      <w:start w:val="1"/>
    </w:lvl>
  </w:abstractNum>
  <w:abstractNum w:abstractNumId="28">
    <w:nsid w:val="7C3DBD3D"/>
    <w:multiLevelType w:val="hybridMultilevel"/>
    <w:lvl w:ilvl="0">
      <w:lvlJc w:val="left"/>
      <w:lvlText w:val="%1"/>
      <w:numFmt w:val="decimal"/>
      <w:start w:val="1"/>
    </w:lvl>
    <w:lvl w:ilvl="1">
      <w:lvlJc w:val="left"/>
      <w:lvlText w:val="(%2)"/>
      <w:numFmt w:val="lowerLetter"/>
      <w:start w:val="4"/>
    </w:lvl>
  </w:abstractNum>
  <w:abstractNum w:abstractNumId="29">
    <w:nsid w:val="737B8DDC"/>
    <w:multiLevelType w:val="hybridMultilevel"/>
    <w:lvl w:ilvl="0">
      <w:lvlJc w:val="left"/>
      <w:lvlText w:val="%1."/>
      <w:numFmt w:val="decimal"/>
      <w:start w:val="14"/>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2"/>
    </w:lvl>
  </w:abstractNum>
  <w:abstractNum w:abstractNumId="31">
    <w:nsid w:val="22221A70"/>
    <w:multiLevelType w:val="hybridMultilevel"/>
    <w:lvl w:ilvl="0">
      <w:lvlJc w:val="left"/>
      <w:lvlText w:val="%1."/>
      <w:numFmt w:val="decimal"/>
      <w:start w:val="15"/>
    </w:lvl>
    <w:lvl w:ilvl="1">
      <w:lvlJc w:val="left"/>
      <w:lvlText w:val="(%2)"/>
      <w:numFmt w:val="lowerLetter"/>
      <w:start w:val="1"/>
    </w:lvl>
  </w:abstractNum>
  <w:abstractNum w:abstractNumId="32">
    <w:nsid w:val="4516DDE9"/>
    <w:multiLevelType w:val="hybridMultilevel"/>
    <w:lvl w:ilvl="0">
      <w:lvlJc w:val="left"/>
      <w:lvlText w:val="%1."/>
      <w:numFmt w:val="decimal"/>
      <w:start w:val="1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2019-12-28T11:17:46Z</dcterms:created>
  <dcterms:modified xsi:type="dcterms:W3CDTF">2019-12-28T11:17:46Z</dcterms:modified>
</cp:coreProperties>
</file>