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7"/>
            <w:vMerge w:val="continue"/>
          </w:tcPr>
          <w:p>
            <w:pPr>
              <w:spacing w:after="0"/>
              <w:rPr>
                <w:sz w:val="11"/>
                <w:szCs w:val="11"/>
                <w:color w:val="auto"/>
              </w:rPr>
            </w:pPr>
          </w:p>
        </w:tc>
        <w:tc>
          <w:tcPr>
            <w:tcW w:w="3880" w:type="dxa"/>
            <w:vAlign w:val="bottom"/>
            <w:gridSpan w:val="6"/>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11/30/2012</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ind w:left="180"/>
              <w:spacing w:after="0" w:line="102"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gridSpan w:val="3"/>
            <w:vMerge w:val="restart"/>
          </w:tcPr>
          <w:p>
            <w:pPr>
              <w:ind w:left="500"/>
              <w:spacing w:after="0"/>
              <w:rPr>
                <w:sz w:val="20"/>
                <w:szCs w:val="20"/>
                <w:color w:val="auto"/>
              </w:rPr>
            </w:pPr>
            <w:r>
              <w:rPr>
                <w:rFonts w:ascii="Arial" w:cs="Arial" w:eastAsia="Arial" w:hAnsi="Arial"/>
                <w:sz w:val="18"/>
                <w:szCs w:val="18"/>
                <w:color w:val="0000FF"/>
                <w:w w:val="98"/>
              </w:rPr>
              <w:t>11/28/2012</w:t>
            </w:r>
            <w:r>
              <w:rPr>
                <w:rFonts w:ascii="Arial" w:cs="Arial" w:eastAsia="Arial" w:hAnsi="Arial"/>
                <w:sz w:val="22"/>
                <w:szCs w:val="22"/>
                <w:color w:val="008000"/>
                <w:w w:val="98"/>
                <w:vertAlign w:val="superscript"/>
              </w:rPr>
              <w:t>(1)</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80" w:type="dxa"/>
            <w:vAlign w:val="bottom"/>
            <w:vMerge w:val="restart"/>
          </w:tcPr>
          <w:p>
            <w:pPr>
              <w:ind w:left="120"/>
              <w:spacing w:after="0"/>
              <w:rPr>
                <w:sz w:val="20"/>
                <w:szCs w:val="20"/>
                <w:color w:val="auto"/>
              </w:rPr>
            </w:pPr>
            <w:r>
              <w:rPr>
                <w:rFonts w:ascii="Arial" w:cs="Arial" w:eastAsia="Arial" w:hAnsi="Arial"/>
                <w:sz w:val="18"/>
                <w:szCs w:val="18"/>
                <w:color w:val="0000FF"/>
              </w:rPr>
              <w:t>21,300</w:t>
            </w:r>
            <w:r>
              <w:rPr>
                <w:rFonts w:ascii="Arial" w:cs="Arial" w:eastAsia="Arial" w:hAnsi="Arial"/>
                <w:sz w:val="22"/>
                <w:szCs w:val="22"/>
                <w:color w:val="008000"/>
                <w:vertAlign w:val="superscript"/>
              </w:rPr>
              <w:t>(3)</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14.0101</w:t>
            </w:r>
            <w:r>
              <w:rPr>
                <w:rFonts w:ascii="Arial" w:cs="Arial" w:eastAsia="Arial" w:hAnsi="Arial"/>
                <w:sz w:val="22"/>
                <w:szCs w:val="22"/>
                <w:color w:val="008000"/>
                <w:w w:val="92"/>
                <w:vertAlign w:val="superscript"/>
              </w:rPr>
              <w:t>(3)</w:t>
            </w:r>
          </w:p>
        </w:tc>
        <w:tc>
          <w:tcPr>
            <w:tcW w:w="12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225,159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filed to correctly reflect a sale of shares on November 28, 2012 only. The sale of shares on November 29, 2012 reported in the original filing did not occur.</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16, 2012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$14.00 to $14.17,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2019-12-17T16:35:22Z</dcterms:created>
  <dcterms:modified xsi:type="dcterms:W3CDTF">2019-12-17T16:35:22Z</dcterms:modified>
</cp:coreProperties>
</file>