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20" w:right="4660" w:firstLine="252"/>
        <w:spacing w:after="0" w:line="494" w:lineRule="auto"/>
        <w:tabs>
          <w:tab w:leader="none" w:pos="52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8)</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u w:val="single" w:color="auto"/>
          <w:color w:val="auto"/>
        </w:rPr>
        <w:t>Fluidigm Corporation</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88" w:lineRule="exact"/>
        <w:rPr>
          <w:sz w:val="24"/>
          <w:szCs w:val="24"/>
          <w:color w:val="auto"/>
        </w:rPr>
      </w:pPr>
    </w:p>
    <w:p>
      <w:pPr>
        <w:jc w:val="center"/>
        <w:ind w:right="-159"/>
        <w:spacing w:after="0"/>
        <w:rPr>
          <w:sz w:val="20"/>
          <w:szCs w:val="20"/>
          <w:color w:val="auto"/>
        </w:rPr>
      </w:pPr>
      <w:r>
        <w:rPr>
          <w:rFonts w:ascii="Arial" w:cs="Arial" w:eastAsia="Arial" w:hAnsi="Arial"/>
          <w:sz w:val="22"/>
          <w:szCs w:val="22"/>
          <w:u w:val="single" w:color="auto"/>
          <w:color w:val="auto"/>
        </w:rPr>
        <w:t>Common Stock, $.001 par value per share</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jc w:val="center"/>
        <w:ind w:right="-159"/>
        <w:spacing w:after="0"/>
        <w:rPr>
          <w:sz w:val="20"/>
          <w:szCs w:val="20"/>
          <w:color w:val="auto"/>
        </w:rPr>
      </w:pPr>
      <w:r>
        <w:rPr>
          <w:rFonts w:ascii="Arial" w:cs="Arial" w:eastAsia="Arial" w:hAnsi="Arial"/>
          <w:sz w:val="22"/>
          <w:szCs w:val="22"/>
          <w:u w:val="single" w:color="auto"/>
          <w:color w:val="auto"/>
        </w:rPr>
        <w:t>34385P108</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215"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John A. Levin</w:t>
      </w:r>
    </w:p>
    <w:p>
      <w:pPr>
        <w:spacing w:after="0" w:line="1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Levin Capital Strategies, L.P.</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595 Madison Avenue, 17th Floor</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NY 10022</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(212) 259-0800</w:t>
      </w:r>
    </w:p>
    <w:p>
      <w:pPr>
        <w:jc w:val="center"/>
        <w:ind w:right="-159"/>
        <w:spacing w:after="0" w:line="236" w:lineRule="auto"/>
        <w:rPr>
          <w:sz w:val="20"/>
          <w:szCs w:val="20"/>
          <w:color w:val="auto"/>
        </w:rPr>
      </w:pPr>
      <w:r>
        <w:rPr>
          <w:rFonts w:ascii="Arial" w:cs="Arial" w:eastAsia="Arial" w:hAnsi="Arial"/>
          <w:sz w:val="22"/>
          <w:szCs w:val="22"/>
          <w:color w:val="auto"/>
        </w:rPr>
        <w:t>(Name, Address and Telephone Number of Person</w:t>
      </w: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15" w:lineRule="exact"/>
        <w:rPr>
          <w:sz w:val="24"/>
          <w:szCs w:val="24"/>
          <w:color w:val="auto"/>
        </w:rPr>
      </w:pPr>
    </w:p>
    <w:p>
      <w:pPr>
        <w:jc w:val="center"/>
        <w:ind w:right="-159"/>
        <w:spacing w:after="0"/>
        <w:rPr>
          <w:sz w:val="20"/>
          <w:szCs w:val="20"/>
          <w:color w:val="auto"/>
        </w:rPr>
      </w:pPr>
      <w:r>
        <w:rPr>
          <w:rFonts w:ascii="Arial" w:cs="Arial" w:eastAsia="Arial" w:hAnsi="Arial"/>
          <w:sz w:val="22"/>
          <w:szCs w:val="22"/>
          <w:u w:val="single" w:color="auto"/>
          <w:color w:val="auto"/>
        </w:rPr>
        <w:t>March 29, 2019</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right="40" w:firstLine="8"/>
        <w:spacing w:after="0" w:line="230" w:lineRule="auto"/>
        <w:tabs>
          <w:tab w:leader="none" w:pos="648" w:val="left"/>
        </w:tabs>
        <w:numPr>
          <w:ilvl w:val="0"/>
          <w:numId w:val="2"/>
        </w:numPr>
        <w:rPr>
          <w:rFonts w:ascii="Arial" w:cs="Arial" w:eastAsia="Arial" w:hAnsi="Arial"/>
          <w:sz w:val="25"/>
          <w:szCs w:val="25"/>
          <w:color w:val="auto"/>
          <w:vertAlign w:val="superscript"/>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2"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34385P108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Levin Capital Strategies,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 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162,810</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162,810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162,810</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5"/>
              </w:rPr>
              <w:t>Less than 1.0%</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144780</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Levin Capital Strategies GP, LLC</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60" w:type="dxa"/>
            <w:vAlign w:val="bottom"/>
            <w:gridSpan w:val="2"/>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7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162,810</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162,810</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162,810</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-5334000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Less than 1.0%</w:t>
      </w:r>
    </w:p>
    <w:p>
      <w:pPr>
        <w:spacing w:after="0" w:line="23" w:lineRule="exact"/>
        <w:rPr>
          <w:sz w:val="20"/>
          <w:szCs w:val="20"/>
          <w:color w:val="auto"/>
        </w:rPr>
      </w:pPr>
    </w:p>
    <w:p>
      <w:pPr>
        <w:ind w:left="2340" w:right="7040" w:hanging="1551"/>
        <w:spacing w:after="0" w:line="527" w:lineRule="auto"/>
        <w:tabs>
          <w:tab w:leader="none" w:pos="1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Bi-Directional Disequilibrium Fund,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95,606</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95,606</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95,606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LCS, LLC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95,606</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95,606</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95,606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John A. Levin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United States of America</w:t>
            </w: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12,570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188,280</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12,570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200,850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200,850</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5"/>
              </w:rPr>
              <w:t>Less than 1.0%</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6</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34385P108</w:t>
      </w:r>
    </w:p>
    <w:p>
      <w:pPr>
        <w:spacing w:after="0" w:line="34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constitutes Amendment No. 8 to the Schedule 13D filed by the undersigned (the “Amendment No. 8”). This Amendment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 amends the Schedule 13D as specifically set forth herein.</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u w:val="single" w:color="auto"/>
          <w:color w:val="auto"/>
        </w:rPr>
        <w:t>SOURCE AND AMOUNT OF FUNDS OR OTHER CONSIDERATION</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is hereby amended and restated as follows:</w:t>
      </w:r>
    </w:p>
    <w:p>
      <w:pPr>
        <w:spacing w:after="0" w:line="22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The Shares purchased by LCS were purchased with general investment funds in open market purchases, except as otherwise noted. The aggregate purchase price of the 162,810 Shares beneficially owned directly by LCS is approximately $996,332, including brokerage commissions. The aggregate purchase price of the 12,570 directly beneficially owned directly by John A. Levin is approximately $80,464, including brokerage commissions.</w:t>
      </w:r>
    </w:p>
    <w:p>
      <w:pPr>
        <w:spacing w:after="0" w:line="147" w:lineRule="exact"/>
        <w:rPr>
          <w:sz w:val="20"/>
          <w:szCs w:val="20"/>
          <w:color w:val="auto"/>
        </w:rPr>
      </w:pPr>
    </w:p>
    <w:p>
      <w:pPr>
        <w:jc w:val="both"/>
        <w:ind w:right="20" w:firstLine="1297"/>
        <w:spacing w:after="0" w:line="342" w:lineRule="auto"/>
        <w:rPr>
          <w:sz w:val="20"/>
          <w:szCs w:val="20"/>
          <w:color w:val="auto"/>
        </w:rPr>
      </w:pPr>
      <w:r>
        <w:rPr>
          <w:rFonts w:ascii="Arial" w:cs="Arial" w:eastAsia="Arial" w:hAnsi="Arial"/>
          <w:sz w:val="16"/>
          <w:szCs w:val="16"/>
          <w:color w:val="auto"/>
        </w:rPr>
        <w:t>The Shares purchased by Bi-Directional were purchased with general investment funds in open market purchases, except as otherwise noted. The aggregate purchase price of the 95,606 Shares owned directly by Bi-Directional is approximately $581,206, including brokerage commissions.</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u w:val="single" w:color="auto"/>
          <w:color w:val="auto"/>
        </w:rPr>
        <w:t>INTEREST IN SECURITIES OF THE ISSUER</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5 is hereby amended and restated as follows:</w:t>
      </w:r>
    </w:p>
    <w:p>
      <w:pPr>
        <w:spacing w:after="0" w:line="225"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The aggregate percentage of Shares reported owned by each person named herein is based upon 68,989,239 Shares outstanding as of March 13, 2019, which is the total number of Shares outstanding as reported in the Issuer’s Prospectus on Form S-3ASR filed with the Securities and Exchange Commission on March 18,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LCS</w:t>
      </w:r>
    </w:p>
    <w:p>
      <w:pPr>
        <w:spacing w:after="0" w:line="225" w:lineRule="exact"/>
        <w:rPr>
          <w:sz w:val="20"/>
          <w:szCs w:val="20"/>
          <w:color w:val="auto"/>
        </w:rPr>
      </w:pPr>
    </w:p>
    <w:p>
      <w:pPr>
        <w:ind w:left="1300" w:right="3740" w:hanging="644"/>
        <w:spacing w:after="0" w:line="501"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As of the close of business on March 31, 2019, LCS beneficially owned 162,810 Shares. Percentage: Less than 1.0%</w:t>
      </w: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vote or direct vote: 162,810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162,810</w:t>
      </w:r>
    </w:p>
    <w:p>
      <w:pPr>
        <w:spacing w:after="0" w:line="210" w:lineRule="exact"/>
        <w:rPr>
          <w:rFonts w:ascii="Arial" w:cs="Arial" w:eastAsia="Arial" w:hAnsi="Arial"/>
          <w:sz w:val="18"/>
          <w:szCs w:val="18"/>
          <w:color w:val="auto"/>
        </w:rPr>
      </w:pPr>
    </w:p>
    <w:p>
      <w:pPr>
        <w:ind w:firstLine="656"/>
        <w:spacing w:after="0" w:line="277" w:lineRule="auto"/>
        <w:tabs>
          <w:tab w:leader="none" w:pos="1297"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transactions in the Shares by LCS on behalf of separately managed accounts, including Transamerica, since the filing of Amendment No. 7 are set forth in Schedule A and are incorporated herein by reference.</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LCS GP</w:t>
      </w:r>
    </w:p>
    <w:p>
      <w:pPr>
        <w:spacing w:after="0" w:line="225" w:lineRule="exact"/>
        <w:rPr>
          <w:rFonts w:ascii="Arial" w:cs="Arial" w:eastAsia="Arial" w:hAnsi="Arial"/>
          <w:sz w:val="18"/>
          <w:szCs w:val="18"/>
          <w:color w:val="auto"/>
        </w:rPr>
      </w:pPr>
    </w:p>
    <w:p>
      <w:pPr>
        <w:ind w:left="1300" w:right="1520" w:hanging="644"/>
        <w:spacing w:after="0" w:line="501"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As the General Partner of LCS, LCS GP is deemed to beneficially own the 162,810 Shares beneficially owned by LCS. Percentage: Less than 1.0%</w:t>
      </w: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34385P108</w:t>
      </w:r>
    </w:p>
    <w:p>
      <w:pPr>
        <w:spacing w:after="0" w:line="213" w:lineRule="exact"/>
        <w:rPr>
          <w:sz w:val="20"/>
          <w:szCs w:val="20"/>
          <w:color w:val="auto"/>
        </w:rPr>
      </w:pPr>
    </w:p>
    <w:p>
      <w:pPr>
        <w:ind w:left="1300" w:hanging="644"/>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vote or direct vote: 162,810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162,810</w:t>
      </w:r>
    </w:p>
    <w:p>
      <w:pPr>
        <w:spacing w:after="0" w:line="210" w:lineRule="exact"/>
        <w:rPr>
          <w:rFonts w:ascii="Arial" w:cs="Arial" w:eastAsia="Arial" w:hAnsi="Arial"/>
          <w:sz w:val="18"/>
          <w:szCs w:val="18"/>
          <w:color w:val="auto"/>
        </w:rPr>
      </w:pPr>
    </w:p>
    <w:p>
      <w:pPr>
        <w:ind w:firstLine="656"/>
        <w:spacing w:after="0" w:line="277" w:lineRule="auto"/>
        <w:tabs>
          <w:tab w:leader="none" w:pos="1297" w:val="left"/>
        </w:tabs>
        <w:numPr>
          <w:ilvl w:val="1"/>
          <w:numId w:val="6"/>
        </w:numPr>
        <w:rPr>
          <w:rFonts w:ascii="Arial" w:cs="Arial" w:eastAsia="Arial" w:hAnsi="Arial"/>
          <w:sz w:val="18"/>
          <w:szCs w:val="18"/>
          <w:color w:val="auto"/>
        </w:rPr>
      </w:pPr>
      <w:r>
        <w:rPr>
          <w:rFonts w:ascii="Arial" w:cs="Arial" w:eastAsia="Arial" w:hAnsi="Arial"/>
          <w:sz w:val="18"/>
          <w:szCs w:val="18"/>
          <w:color w:val="auto"/>
        </w:rPr>
        <w:t>LCS GP has not undertaken any transactions in the Shares since the filing of Amendment No. 7. The transactions in the Shares by LCS since the filing of Amendment No. 7 are set forth in Schedule A and are incorporated herein by reference.</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Bi-Directional</w:t>
      </w:r>
    </w:p>
    <w:p>
      <w:pPr>
        <w:spacing w:after="0" w:line="225" w:lineRule="exact"/>
        <w:rPr>
          <w:rFonts w:ascii="Arial" w:cs="Arial" w:eastAsia="Arial" w:hAnsi="Arial"/>
          <w:sz w:val="18"/>
          <w:szCs w:val="18"/>
          <w:color w:val="auto"/>
        </w:rPr>
      </w:pPr>
    </w:p>
    <w:p>
      <w:pPr>
        <w:ind w:left="1300" w:right="3120" w:hanging="644"/>
        <w:spacing w:after="0" w:line="501"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of the close of business on March 31, 2019, Bi-Directional beneficially owned 95,606 Shares. Percentage: Less than 1.0%</w:t>
      </w: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vote or direct vote: 95,606</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95,606</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Bi-Directional has not undertaken any transactions in the Shares since the filing of Amendment No. 7.</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LCSL</w:t>
      </w:r>
    </w:p>
    <w:p>
      <w:pPr>
        <w:spacing w:after="0" w:line="225" w:lineRule="exact"/>
        <w:rPr>
          <w:rFonts w:ascii="Arial" w:cs="Arial" w:eastAsia="Arial" w:hAnsi="Arial"/>
          <w:sz w:val="18"/>
          <w:szCs w:val="18"/>
          <w:color w:val="auto"/>
        </w:rPr>
      </w:pPr>
    </w:p>
    <w:p>
      <w:pPr>
        <w:ind w:left="1300" w:right="400" w:hanging="644"/>
        <w:spacing w:after="0" w:line="501"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the general partner of Bi-Directional, LCSL is deemed to beneficially own the 95,606 Shares beneficially owned by Bi-Directional. Percentage: Less than 1.0%</w:t>
      </w: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vote or direct vote: 95,606</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95,606</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LCSL has not undertaken any transactions in the Shares since the filing of Amendment No. 7.</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John Levin</w:t>
      </w:r>
    </w:p>
    <w:p>
      <w:pPr>
        <w:spacing w:after="0" w:line="225" w:lineRule="exact"/>
        <w:rPr>
          <w:rFonts w:ascii="Arial" w:cs="Arial" w:eastAsia="Arial" w:hAnsi="Arial"/>
          <w:sz w:val="18"/>
          <w:szCs w:val="18"/>
          <w:color w:val="auto"/>
        </w:rPr>
      </w:pPr>
    </w:p>
    <w:p>
      <w:pPr>
        <w:ind w:firstLine="656"/>
        <w:spacing w:after="0" w:line="277" w:lineRule="auto"/>
        <w:tabs>
          <w:tab w:leader="none" w:pos="1297"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the Chief Executive Officer of LCS and the Managing Member of each of LCSEP and LCSLS, Mr. Levin is deemed to beneficially own 200,850 Shares beneficially owned by LCS and his immediate family where Mr. Levin has dispositive powers.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Less than 1.0%</w:t>
      </w:r>
    </w:p>
    <w:p>
      <w:pPr>
        <w:spacing w:after="0" w:line="225"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 Sole power to vote or direct vote: 12,570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direct vote: 188,280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direct the disposition: 12,570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200,850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34385P108</w:t>
      </w:r>
    </w:p>
    <w:p>
      <w:pPr>
        <w:spacing w:after="0" w:line="348" w:lineRule="exact"/>
        <w:rPr>
          <w:sz w:val="20"/>
          <w:szCs w:val="20"/>
          <w:color w:val="auto"/>
        </w:rPr>
      </w:pPr>
    </w:p>
    <w:p>
      <w:pPr>
        <w:ind w:firstLine="656"/>
        <w:spacing w:after="0" w:line="277" w:lineRule="auto"/>
        <w:tabs>
          <w:tab w:leader="none" w:pos="1297"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Levin has not entered into any transactions since the filing of Amendment No. 7. The transactions in the Shares by LCS since the filing of Amendment No. 7 are set forth in Schedule A and are incorporated herein by reference.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filing of this Schedule 13D shall not be construed as an admission that the Reporting Persons are, for purposes of Section 13(d) of the Securities Exchange Act of 1934, as amended, the beneficial owners of any of the securities reported herein. Each of the Reporting Persons specifically disclaims beneficial ownership of the securities reported herein that are not directly owned by such Reporting Person, except to the extent of their pecuniary interest therein.</w:t>
      </w:r>
    </w:p>
    <w:p>
      <w:pPr>
        <w:spacing w:after="0" w:line="187" w:lineRule="exact"/>
        <w:rPr>
          <w:sz w:val="20"/>
          <w:szCs w:val="20"/>
          <w:color w:val="auto"/>
        </w:rPr>
      </w:pPr>
    </w:p>
    <w:p>
      <w:pPr>
        <w:jc w:val="both"/>
        <w:ind w:right="20" w:firstLine="656"/>
        <w:spacing w:after="0" w:line="264" w:lineRule="auto"/>
        <w:tabs>
          <w:tab w:leader="none" w:pos="1297"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Various separately managed accounts for whom LCS acts as investment manager have the right to receive dividends from, and the proceeds from the sale of 67,204 Shares. Dispositive power over such Shares is shared. Voting power over such Shares is deemed shared between such managed accounts and LCS with respect to 67,204 Shares.</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297"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March 29, 2019, LCS sold its long-only institutional business, which controlled 12,432,276 Shares of the Issuer, to an unaffiliated entity, Levin Easterly Partners LLC. As a result, the Reporting Persons no longer have voting and dispositive power with respect to those Shares. As of March 29, 2019, the Reporting Persons ceased to beneficially own more than 5% of the outstanding Shares of the Issuer.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34385P108</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2, 2019</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Levin Capital Strategies, L.P.</w:t>
      </w:r>
    </w:p>
    <w:p>
      <w:pPr>
        <w:spacing w:after="0" w:line="225"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Chief Executive Officer</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Levin Capital Strategies GP, LLC</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John A. Levin 2005 GRAT Separation Trust, as Managing</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Member</w:t>
            </w:r>
          </w:p>
        </w:tc>
        <w:tc>
          <w:tcPr>
            <w:tcW w:w="3880" w:type="dxa"/>
            <w:vAlign w:val="bottom"/>
          </w:tcPr>
          <w:p>
            <w:pPr>
              <w:spacing w:after="0"/>
              <w:rPr>
                <w:sz w:val="20"/>
                <w:szCs w:val="20"/>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Elisabeth Levin</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Trustee</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Bi-Directional Disequilibrium Fund, L.P.</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Levin Capital Strategies, L.P., the investment manager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Managing Member</w:t>
            </w:r>
          </w:p>
        </w:tc>
      </w:tr>
      <w:tr>
        <w:trPr>
          <w:trHeight w:val="648"/>
        </w:trPr>
        <w:tc>
          <w:tcPr>
            <w:tcW w:w="1520" w:type="dxa"/>
            <w:vAlign w:val="bottom"/>
            <w:gridSpan w:val="2"/>
          </w:tcPr>
          <w:p>
            <w:pPr>
              <w:spacing w:after="0"/>
              <w:rPr>
                <w:sz w:val="20"/>
                <w:szCs w:val="20"/>
                <w:color w:val="auto"/>
              </w:rPr>
            </w:pPr>
            <w:r>
              <w:rPr>
                <w:rFonts w:ascii="Arial" w:cs="Arial" w:eastAsia="Arial" w:hAnsi="Arial"/>
                <w:sz w:val="18"/>
                <w:szCs w:val="18"/>
                <w:color w:val="auto"/>
              </w:rPr>
              <w:t>LCS, LLC</w:t>
            </w:r>
          </w:p>
        </w:tc>
        <w:tc>
          <w:tcPr>
            <w:tcW w:w="3880" w:type="dxa"/>
            <w:vAlign w:val="bottom"/>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1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John A. Levin</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-130810</wp:posOffset>
            </wp:positionV>
            <wp:extent cx="34988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34385P108</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Transactions in the Shares Since the Filing of Amendment No. 7</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200" w:type="dxa"/>
            <w:vAlign w:val="bottom"/>
            <w:tcBorders>
              <w:top w:val="single" w:sz="8" w:color="auto"/>
              <w:left w:val="single" w:sz="8" w:color="auto"/>
              <w:right w:val="single" w:sz="8" w:color="auto"/>
            </w:tcBorders>
            <w:shd w:val="clear" w:color="auto" w:fill="C0C0C0"/>
          </w:tcPr>
          <w:p>
            <w:pPr>
              <w:spacing w:after="0"/>
              <w:rPr>
                <w:sz w:val="18"/>
                <w:szCs w:val="18"/>
                <w:color w:val="auto"/>
              </w:rPr>
            </w:pPr>
          </w:p>
        </w:tc>
        <w:tc>
          <w:tcPr>
            <w:tcW w:w="1940" w:type="dxa"/>
            <w:vAlign w:val="bottom"/>
            <w:tcBorders>
              <w:top w:val="single" w:sz="8" w:color="auto"/>
              <w:right w:val="single" w:sz="8" w:color="auto"/>
            </w:tcBorders>
            <w:shd w:val="clear" w:color="auto" w:fill="C0C0C0"/>
          </w:tcPr>
          <w:p>
            <w:pPr>
              <w:spacing w:after="0"/>
              <w:rPr>
                <w:sz w:val="18"/>
                <w:szCs w:val="18"/>
                <w:color w:val="auto"/>
              </w:rPr>
            </w:pPr>
          </w:p>
        </w:tc>
        <w:tc>
          <w:tcPr>
            <w:tcW w:w="1260" w:type="dxa"/>
            <w:vAlign w:val="bottom"/>
            <w:tcBorders>
              <w:top w:val="single" w:sz="8" w:color="auto"/>
              <w:right w:val="single" w:sz="8" w:color="auto"/>
            </w:tcBorders>
            <w:shd w:val="clear" w:color="auto" w:fill="C0C0C0"/>
          </w:tcPr>
          <w:p>
            <w:pPr>
              <w:spacing w:after="0"/>
              <w:rPr>
                <w:sz w:val="18"/>
                <w:szCs w:val="18"/>
                <w:color w:val="auto"/>
              </w:rPr>
            </w:pPr>
          </w:p>
        </w:tc>
        <w:tc>
          <w:tcPr>
            <w:tcW w:w="170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88"/>
              </w:rPr>
              <w:t>Price Per Share</w:t>
            </w:r>
          </w:p>
        </w:tc>
        <w:tc>
          <w:tcPr>
            <w:tcW w:w="4320" w:type="dxa"/>
            <w:vAlign w:val="bottom"/>
            <w:tcBorders>
              <w:top w:val="single" w:sz="8" w:color="auto"/>
              <w:right w:val="single" w:sz="8" w:color="auto"/>
            </w:tcBorders>
            <w:shd w:val="clear" w:color="auto" w:fill="C0C0C0"/>
          </w:tcPr>
          <w:p>
            <w:pPr>
              <w:spacing w:after="0"/>
              <w:rPr>
                <w:sz w:val="18"/>
                <w:szCs w:val="18"/>
                <w:color w:val="auto"/>
              </w:rPr>
            </w:pPr>
          </w:p>
        </w:tc>
      </w:tr>
      <w:tr>
        <w:trPr>
          <w:trHeight w:val="216"/>
        </w:trPr>
        <w:tc>
          <w:tcPr>
            <w:tcW w:w="2200" w:type="dxa"/>
            <w:vAlign w:val="bottom"/>
            <w:tcBorders>
              <w:left w:val="single" w:sz="8" w:color="auto"/>
              <w:right w:val="single" w:sz="8" w:color="auto"/>
            </w:tcBorders>
            <w:shd w:val="clear" w:color="auto" w:fill="C0C0C0"/>
          </w:tcPr>
          <w:p>
            <w:pPr>
              <w:ind w:left="940"/>
              <w:spacing w:after="0"/>
              <w:rPr>
                <w:sz w:val="20"/>
                <w:szCs w:val="20"/>
                <w:color w:val="auto"/>
              </w:rPr>
            </w:pPr>
            <w:r>
              <w:rPr>
                <w:rFonts w:ascii="Arial" w:cs="Arial" w:eastAsia="Arial" w:hAnsi="Arial"/>
                <w:sz w:val="18"/>
                <w:szCs w:val="18"/>
                <w:color w:val="auto"/>
              </w:rPr>
              <w:t>Date</w:t>
            </w:r>
          </w:p>
        </w:tc>
        <w:tc>
          <w:tcPr>
            <w:tcW w:w="1940" w:type="dxa"/>
            <w:vAlign w:val="bottom"/>
            <w:tcBorders>
              <w:right w:val="single" w:sz="8" w:color="auto"/>
            </w:tcBorders>
            <w:shd w:val="clear" w:color="auto" w:fill="C0C0C0"/>
          </w:tcPr>
          <w:p>
            <w:pPr>
              <w:ind w:left="560"/>
              <w:spacing w:after="0"/>
              <w:rPr>
                <w:sz w:val="20"/>
                <w:szCs w:val="20"/>
                <w:color w:val="auto"/>
              </w:rPr>
            </w:pPr>
            <w:r>
              <w:rPr>
                <w:rFonts w:ascii="Arial" w:cs="Arial" w:eastAsia="Arial" w:hAnsi="Arial"/>
                <w:sz w:val="18"/>
                <w:szCs w:val="18"/>
                <w:color w:val="auto"/>
              </w:rPr>
              <w:t>Buy or Sell</w:t>
            </w:r>
          </w:p>
        </w:tc>
        <w:tc>
          <w:tcPr>
            <w:tcW w:w="1260" w:type="dxa"/>
            <w:vAlign w:val="bottom"/>
            <w:tcBorders>
              <w:right w:val="single" w:sz="8" w:color="auto"/>
            </w:tcBorders>
            <w:shd w:val="clear" w:color="auto" w:fill="C0C0C0"/>
          </w:tcPr>
          <w:p>
            <w:pPr>
              <w:jc w:val="right"/>
              <w:ind w:right="230"/>
              <w:spacing w:after="0"/>
              <w:rPr>
                <w:sz w:val="20"/>
                <w:szCs w:val="20"/>
                <w:color w:val="auto"/>
              </w:rPr>
            </w:pPr>
            <w:r>
              <w:rPr>
                <w:rFonts w:ascii="Arial" w:cs="Arial" w:eastAsia="Arial" w:hAnsi="Arial"/>
                <w:sz w:val="18"/>
                <w:szCs w:val="18"/>
                <w:color w:val="auto"/>
              </w:rPr>
              <w:t>Quantity</w:t>
            </w:r>
          </w:p>
        </w:tc>
        <w:tc>
          <w:tcPr>
            <w:tcW w:w="17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1"/>
              </w:rPr>
              <w:t>(before</w:t>
            </w:r>
          </w:p>
        </w:tc>
        <w:tc>
          <w:tcPr>
            <w:tcW w:w="4320" w:type="dxa"/>
            <w:vAlign w:val="bottom"/>
            <w:tcBorders>
              <w:right w:val="single" w:sz="8" w:color="auto"/>
            </w:tcBorders>
            <w:shd w:val="clear" w:color="auto" w:fill="C0C0C0"/>
          </w:tcPr>
          <w:p>
            <w:pPr>
              <w:ind w:left="1520"/>
              <w:spacing w:after="0"/>
              <w:rPr>
                <w:sz w:val="20"/>
                <w:szCs w:val="20"/>
                <w:color w:val="auto"/>
              </w:rPr>
            </w:pPr>
            <w:r>
              <w:rPr>
                <w:rFonts w:ascii="Arial" w:cs="Arial" w:eastAsia="Arial" w:hAnsi="Arial"/>
                <w:sz w:val="18"/>
                <w:szCs w:val="18"/>
                <w:color w:val="auto"/>
              </w:rPr>
              <w:t>Reporting Person</w:t>
            </w:r>
          </w:p>
        </w:tc>
      </w:tr>
      <w:tr>
        <w:trPr>
          <w:trHeight w:val="230"/>
        </w:trPr>
        <w:tc>
          <w:tcPr>
            <w:tcW w:w="2200" w:type="dxa"/>
            <w:vAlign w:val="bottom"/>
            <w:tcBorders>
              <w:left w:val="single" w:sz="8" w:color="auto"/>
              <w:bottom w:val="single" w:sz="8" w:color="auto"/>
              <w:right w:val="single" w:sz="8" w:color="auto"/>
            </w:tcBorders>
            <w:shd w:val="clear" w:color="auto" w:fill="C0C0C0"/>
          </w:tcPr>
          <w:p>
            <w:pPr>
              <w:spacing w:after="0"/>
              <w:rPr>
                <w:sz w:val="20"/>
                <w:szCs w:val="20"/>
                <w:color w:val="auto"/>
              </w:rPr>
            </w:pPr>
          </w:p>
        </w:tc>
        <w:tc>
          <w:tcPr>
            <w:tcW w:w="1940" w:type="dxa"/>
            <w:vAlign w:val="bottom"/>
            <w:tcBorders>
              <w:bottom w:val="single" w:sz="8" w:color="auto"/>
              <w:right w:val="single" w:sz="8" w:color="auto"/>
            </w:tcBorders>
            <w:shd w:val="clear" w:color="auto" w:fill="C0C0C0"/>
          </w:tcPr>
          <w:p>
            <w:pPr>
              <w:spacing w:after="0"/>
              <w:rPr>
                <w:sz w:val="20"/>
                <w:szCs w:val="20"/>
                <w:color w:val="auto"/>
              </w:rPr>
            </w:pPr>
          </w:p>
        </w:tc>
        <w:tc>
          <w:tcPr>
            <w:tcW w:w="1260" w:type="dxa"/>
            <w:vAlign w:val="bottom"/>
            <w:tcBorders>
              <w:bottom w:val="single" w:sz="8" w:color="auto"/>
              <w:right w:val="single" w:sz="8" w:color="auto"/>
            </w:tcBorders>
            <w:shd w:val="clear" w:color="auto" w:fill="C0C0C0"/>
          </w:tcPr>
          <w:p>
            <w:pPr>
              <w:spacing w:after="0"/>
              <w:rPr>
                <w:sz w:val="20"/>
                <w:szCs w:val="20"/>
                <w:color w:val="auto"/>
              </w:rPr>
            </w:pPr>
          </w:p>
        </w:tc>
        <w:tc>
          <w:tcPr>
            <w:tcW w:w="17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1"/>
              </w:rPr>
              <w:t>commission)</w:t>
            </w:r>
          </w:p>
        </w:tc>
        <w:tc>
          <w:tcPr>
            <w:tcW w:w="4320" w:type="dxa"/>
            <w:vAlign w:val="bottom"/>
            <w:tcBorders>
              <w:bottom w:val="single" w:sz="8" w:color="auto"/>
              <w:right w:val="single" w:sz="8" w:color="auto"/>
            </w:tcBorders>
            <w:shd w:val="clear" w:color="auto" w:fill="C0C0C0"/>
          </w:tcPr>
          <w:p>
            <w:pPr>
              <w:spacing w:after="0"/>
              <w:rPr>
                <w:sz w:val="20"/>
                <w:szCs w:val="20"/>
                <w:color w:val="auto"/>
              </w:rPr>
            </w:pPr>
          </w:p>
        </w:tc>
      </w:tr>
      <w:tr>
        <w:trPr>
          <w:trHeight w:val="210"/>
        </w:trPr>
        <w:tc>
          <w:tcPr>
            <w:tcW w:w="2200" w:type="dxa"/>
            <w:vAlign w:val="bottom"/>
            <w:tcBorders>
              <w:left w:val="single" w:sz="8" w:color="auto"/>
              <w:bottom w:val="single" w:sz="8" w:color="auto"/>
              <w:right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7"/>
              </w:rPr>
              <w:t>March 29, 2019</w:t>
            </w:r>
          </w:p>
        </w:tc>
        <w:tc>
          <w:tcPr>
            <w:tcW w:w="194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IA Assignment*</w:t>
            </w: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9,964,738</w:t>
            </w:r>
          </w:p>
        </w:tc>
        <w:tc>
          <w:tcPr>
            <w:tcW w:w="1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320" w:type="dxa"/>
            <w:vAlign w:val="bottom"/>
            <w:tcBorders>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Levin Capital Strategies, L.P.</w:t>
            </w:r>
          </w:p>
        </w:tc>
      </w:tr>
      <w:tr>
        <w:trPr>
          <w:trHeight w:val="210"/>
        </w:trPr>
        <w:tc>
          <w:tcPr>
            <w:tcW w:w="2200" w:type="dxa"/>
            <w:vAlign w:val="bottom"/>
            <w:tcBorders>
              <w:left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8"/>
                <w:szCs w:val="18"/>
                <w:color w:val="auto"/>
                <w:w w:val="97"/>
              </w:rPr>
              <w:t>March 31, 2019</w:t>
            </w:r>
          </w:p>
        </w:tc>
        <w:tc>
          <w:tcPr>
            <w:tcW w:w="1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IA Assignment *</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2,304,728</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Levin Capital Strategies, L.P.</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Represents an assignment to Levin Easterly Partners LLC.</w:t>
      </w:r>
    </w:p>
    <w:sectPr>
      <w:pgSz w:w="11900" w:h="16838" w:orient="portrait"/>
      <w:cols w:equalWidth="0" w:num="1">
        <w:col w:w="11420"/>
      </w:cols>
      <w:pgMar w:left="240" w:top="2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decimal"/>
      <w:start w:val="14"/>
    </w:lvl>
  </w:abstractNum>
  <w:abstractNum w:abstractNumId="3">
    <w:nsid w:val="41B71EFB"/>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4">
    <w:nsid w:val="79E2A9E3"/>
    <w:multiLevelType w:val="hybridMultilevel"/>
    <w:lvl w:ilvl="0">
      <w:lvlJc w:val="left"/>
      <w:lvlText w:val="%1."/>
      <w:numFmt w:val="upperLetter"/>
      <w:start w:val="2"/>
    </w:lvl>
    <w:lvl w:ilvl="1">
      <w:lvlJc w:val="left"/>
      <w:lvlText w:val="(%2)"/>
      <w:numFmt w:val="lowerLetter"/>
      <w:start w:val="1"/>
    </w:lvl>
    <w:lvl w:ilvl="2">
      <w:lvlJc w:val="left"/>
      <w:lvlText w:val="%3"/>
      <w:numFmt w:val="decimal"/>
      <w:start w:val="1"/>
    </w:lvl>
  </w:abstractNum>
  <w:abstractNum w:abstractNumId="5">
    <w:nsid w:val="7545E146"/>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6">
    <w:nsid w:val="515F007C"/>
    <w:multiLevelType w:val="hybridMultilevel"/>
    <w:lvl w:ilvl="0">
      <w:lvlJc w:val="left"/>
      <w:lvlText w:val="%1."/>
      <w:numFmt w:val="upperLetter"/>
      <w:start w:val="3"/>
    </w:lvl>
    <w:lvl w:ilvl="1">
      <w:lvlJc w:val="left"/>
      <w:lvlText w:val="(%2)"/>
      <w:numFmt w:val="lowerLetter"/>
      <w:start w:val="1"/>
    </w:lvl>
    <w:lvl w:ilvl="2">
      <w:lvlJc w:val="left"/>
      <w:lvlText w:val="%3."/>
      <w:numFmt w:val="decimal"/>
      <w:start w:val="2"/>
    </w:lvl>
  </w:abstractNum>
  <w:abstractNum w:abstractNumId="7">
    <w:nsid w:val="5BD062C2"/>
    <w:multiLevelType w:val="hybridMultilevel"/>
    <w:lvl w:ilvl="0">
      <w:lvlJc w:val="left"/>
      <w:lvlText w:val="(%1)"/>
      <w:numFmt w:val="lowerLetter"/>
      <w:start w:val="2"/>
    </w:lvl>
    <w:lvl w:ilvl="1">
      <w:lvlJc w:val="left"/>
      <w:lvlText w:val="%2."/>
      <w:numFmt w:val="decimal"/>
      <w:start w:val="2"/>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2019-12-03T15:59:19Z</dcterms:created>
  <dcterms:modified xsi:type="dcterms:W3CDTF">2019-12-03T15:59:19Z</dcterms:modified>
</cp:coreProperties>
</file>