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4, 2019</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FLUIDIGM CORPORATION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300"/>
          </w:cols>
          <w:pgMar w:left="240" w:top="718" w:right="359" w:bottom="1440" w:gutter="0" w:footer="0" w:header="0"/>
        </w:sectPr>
      </w:pP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4000" w:space="720"/>
            <w:col w:w="2640" w:space="720"/>
            <w:col w:w="3220"/>
          </w:cols>
          <w:pgMar w:left="240" w:top="718" w:right="35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7000 Shoreline Court, Suite 100, South San Francisco, California 94080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tc>
      </w:tr>
    </w:tbl>
    <w:p>
      <w:pPr>
        <w:spacing w:after="0" w:line="198"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1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7, 2019, Fluidigm Corporation issued a press release reporting its financial results for the fourth quarter and full year ended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herewith as Exhibit 99.1.</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4, 2019, Mai Chan (Grace) Yow, the Executive Vice President, Worldwide Manufacturing of Fluidigm Singapore Pte. Ltd. (“Fluidigm Singapore”), a wholly owned subsidiary of Fluidigm Corporation (the “Company”), notified the Company of her intention to retire. Ms. Yow plans to retire from Fluidigm Singapore in September 2019, after assisting with the transition of her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6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Fluidigm Corporation Press Release dated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26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8"/>
              </w:rPr>
              <w:t>FLUIDIGM CORPORATION</w:t>
            </w:r>
          </w:p>
        </w:tc>
      </w:tr>
      <w:tr>
        <w:trPr>
          <w:trHeight w:val="60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2019</w:t>
            </w:r>
          </w:p>
        </w:tc>
        <w:tc>
          <w:tcPr>
            <w:tcW w:w="42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18"/>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Vikram Jog</w:t>
            </w:r>
          </w:p>
        </w:tc>
        <w:tc>
          <w:tcPr>
            <w:tcW w:w="6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240" w:top="33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Fluidigm Announces Fourth Quarter and Full Year 2018 Financial Results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i w:val="1"/>
          <w:iCs w:val="1"/>
          <w:color w:val="auto"/>
        </w:rPr>
        <w:t>Fourth quarter revenue increased 17 percent to $32.3 million</w:t>
      </w:r>
    </w:p>
    <w:p>
      <w:pPr>
        <w:spacing w:after="0" w:line="20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i w:val="1"/>
          <w:iCs w:val="1"/>
          <w:color w:val="auto"/>
        </w:rPr>
        <w:t>Mass cytometry revenue growth of 48 percent in fourth quarter</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i w:val="1"/>
          <w:iCs w:val="1"/>
          <w:color w:val="auto"/>
        </w:rPr>
        <w:t>Full year 2018 revenue increased 11 percent to $113.0 million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Including equity offering, ending cash of $95.4 million</w:t>
      </w:r>
    </w:p>
    <w:p>
      <w:pPr>
        <w:spacing w:after="0" w:line="182"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SOUTH SAN FRANCISCO, Calif., Feb. 07, 2019 (GLOBE NEWSWIRE) -- Fluidigm Corporation (NASDAQ:FLDM) today announced financial results for the fourth quarter and full year ended December 31, 2018.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Fourth Quarter 2018</w:t>
      </w:r>
    </w:p>
    <w:p>
      <w:pPr>
        <w:spacing w:after="0" w:line="210" w:lineRule="exact"/>
        <w:rPr>
          <w:sz w:val="20"/>
          <w:szCs w:val="20"/>
          <w:color w:val="auto"/>
        </w:rPr>
      </w:pPr>
    </w:p>
    <w:p>
      <w:pPr>
        <w:ind w:left="540" w:right="320"/>
        <w:spacing w:after="0" w:line="242" w:lineRule="auto"/>
        <w:rPr>
          <w:sz w:val="20"/>
          <w:szCs w:val="20"/>
          <w:color w:val="auto"/>
        </w:rPr>
      </w:pPr>
      <w:r>
        <w:rPr>
          <w:rFonts w:ascii="Times New Roman" w:cs="Times New Roman" w:eastAsia="Times New Roman" w:hAnsi="Times New Roman"/>
          <w:sz w:val="22"/>
          <w:szCs w:val="22"/>
          <w:color w:val="auto"/>
        </w:rPr>
        <w:t>Total revenue increased 17 percent to $32.3 million from $27.7 million in the fourth quarter of 2017, with mass cytometry revenue growth of 48 percent compared to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4" w:lineRule="auto"/>
        <w:rPr>
          <w:sz w:val="20"/>
          <w:szCs w:val="20"/>
          <w:color w:val="auto"/>
        </w:rPr>
      </w:pPr>
      <w:r>
        <w:rPr>
          <w:rFonts w:ascii="Times New Roman" w:cs="Times New Roman" w:eastAsia="Times New Roman" w:hAnsi="Times New Roman"/>
          <w:sz w:val="22"/>
          <w:szCs w:val="22"/>
          <w:color w:val="auto"/>
        </w:rPr>
        <w:t>GAAP net loss was $14.8 million, compared with a GAAP net loss of $10.5 million for the fourth quarter of 2017. GAAP net loss was higher in the fourth quarter of 2018 primarily due to non-cash interest associated with the convertible debt exchange in 2018 and the impact of a favorable litigation settlement in the fourth quarter of 2017. Non-GAAP net loss was $2.4 million, compared with a $3.0 million non-GAAP net loss for the fourth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-576580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Full Year 2018</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Total revenue increased 11 percent to $113.0 million from $101.9 million in full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GAAP net loss was $59.0 million, compared with a GAAP net loss of $60.5 million for the full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net loss was $20.7 million, compared with a $30.2 million non-GAAP net loss for the full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“We experienced exceptional global revenue growth underpinned by strong operational execution in the fourth quarter,” said Chris Linthwaite, President and CEO.</w:t>
      </w:r>
    </w:p>
    <w:p>
      <w:pPr>
        <w:spacing w:after="0" w:line="15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“Demand for the Hyperion™ Imaging System, Helios™, and associated consumables reflects sustained momentum in the adoption rate of mass cytometry in the fourth quarter. The general trend in multi-system placements continues, driven by immunology-related research in pharma and biotech. Last month, a major contract research organization announced an expansion of its mass cytometry capacity. Today, we announced a consortium project with pharma companies that are relying on our pioneering mass cytometry and Imaging Mass Cytometry™ systems for insights on immune function,” added Linthwaite.</w:t>
      </w:r>
    </w:p>
    <w:p>
      <w:pPr>
        <w:spacing w:after="0" w:line="17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“For the full year, we achieved double-digit revenue growth, expanding our markets and building recurring revenue through new content and partnerships. Financial discipline has been an important pillar and we have strengthened our balance sheet this year through a convertible debt exchange and our recent equity offering. We are well-positioned to support accelerating growth in 2019 as we execute on a multi-omic-based strategy to provide meaningful insights in health and disease.”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full reconciliation of GAAP to non-GAAP measures can be found in the tables of this news release.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2018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Revenue by category: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80" w:type="dxa"/>
            <w:vAlign w:val="bottom"/>
            <w:tcBorders>
              <w:top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b w:val="1"/>
                <w:bCs w:val="1"/>
                <w:color w:val="auto"/>
              </w:rPr>
              <w:t>Category</w:t>
            </w:r>
          </w:p>
        </w:tc>
        <w:tc>
          <w:tcPr>
            <w:tcW w:w="3960" w:type="dxa"/>
            <w:vAlign w:val="bottom"/>
            <w:tcBorders>
              <w:top w:val="single" w:sz="8" w:color="auto"/>
            </w:tcBorders>
          </w:tcPr>
          <w:p>
            <w:pPr>
              <w:jc w:val="center"/>
              <w:ind w:left="112"/>
              <w:spacing w:after="0" w:line="239" w:lineRule="exact"/>
              <w:rPr>
                <w:sz w:val="20"/>
                <w:szCs w:val="20"/>
                <w:color w:val="auto"/>
              </w:rPr>
            </w:pPr>
            <w:r>
              <w:rPr>
                <w:rFonts w:ascii="Times New Roman" w:cs="Times New Roman" w:eastAsia="Times New Roman" w:hAnsi="Times New Roman"/>
                <w:sz w:val="22"/>
                <w:szCs w:val="22"/>
                <w:b w:val="1"/>
                <w:bCs w:val="1"/>
                <w:color w:val="auto"/>
                <w:w w:val="98"/>
              </w:rPr>
              <w:t>Revenue by Category</w:t>
            </w:r>
          </w:p>
        </w:tc>
        <w:tc>
          <w:tcPr>
            <w:tcW w:w="2940" w:type="dxa"/>
            <w:vAlign w:val="bottom"/>
            <w:tcBorders>
              <w:top w:val="single" w:sz="8" w:color="auto"/>
            </w:tcBorders>
          </w:tcPr>
          <w:p>
            <w:pPr>
              <w:jc w:val="right"/>
              <w:ind w:right="572"/>
              <w:spacing w:after="0" w:line="239" w:lineRule="exact"/>
              <w:rPr>
                <w:sz w:val="20"/>
                <w:szCs w:val="20"/>
                <w:color w:val="auto"/>
              </w:rPr>
            </w:pPr>
            <w:r>
              <w:rPr>
                <w:rFonts w:ascii="Times New Roman" w:cs="Times New Roman" w:eastAsia="Times New Roman" w:hAnsi="Times New Roman"/>
                <w:sz w:val="22"/>
                <w:szCs w:val="22"/>
                <w:b w:val="1"/>
                <w:bCs w:val="1"/>
                <w:color w:val="auto"/>
              </w:rPr>
              <w:t>Year-over-Year</w:t>
            </w:r>
          </w:p>
        </w:tc>
        <w:tc>
          <w:tcPr>
            <w:tcW w:w="2240" w:type="dxa"/>
            <w:vAlign w:val="bottom"/>
            <w:tcBorders>
              <w:top w:val="single" w:sz="8" w:color="auto"/>
            </w:tcBorders>
          </w:tcPr>
          <w:p>
            <w:pPr>
              <w:ind w:left="660"/>
              <w:spacing w:after="0" w:line="239" w:lineRule="exact"/>
              <w:rPr>
                <w:sz w:val="20"/>
                <w:szCs w:val="20"/>
                <w:color w:val="auto"/>
              </w:rPr>
            </w:pPr>
            <w:r>
              <w:rPr>
                <w:rFonts w:ascii="Times New Roman" w:cs="Times New Roman" w:eastAsia="Times New Roman" w:hAnsi="Times New Roman"/>
                <w:sz w:val="22"/>
                <w:szCs w:val="22"/>
                <w:b w:val="1"/>
                <w:bCs w:val="1"/>
                <w:color w:val="auto"/>
              </w:rPr>
              <w:t>% of Total</w:t>
            </w:r>
          </w:p>
        </w:tc>
      </w:tr>
      <w:tr>
        <w:trPr>
          <w:trHeight w:val="287"/>
        </w:trPr>
        <w:tc>
          <w:tcPr>
            <w:tcW w:w="2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24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0"/>
        </w:trPr>
        <w:tc>
          <w:tcPr>
            <w:tcW w:w="22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Instruments</w:t>
            </w:r>
          </w:p>
        </w:tc>
        <w:tc>
          <w:tcPr>
            <w:tcW w:w="3960" w:type="dxa"/>
            <w:vAlign w:val="bottom"/>
          </w:tcPr>
          <w:p>
            <w:pPr>
              <w:jc w:val="center"/>
              <w:ind w:left="112"/>
              <w:spacing w:after="0" w:line="250" w:lineRule="exact"/>
              <w:rPr>
                <w:sz w:val="20"/>
                <w:szCs w:val="20"/>
                <w:color w:val="auto"/>
              </w:rPr>
            </w:pPr>
            <w:r>
              <w:rPr>
                <w:rFonts w:ascii="Times New Roman" w:cs="Times New Roman" w:eastAsia="Times New Roman" w:hAnsi="Times New Roman"/>
                <w:sz w:val="22"/>
                <w:szCs w:val="22"/>
                <w:color w:val="auto"/>
                <w:w w:val="99"/>
              </w:rPr>
              <w:t>$13.6 million</w:t>
            </w:r>
          </w:p>
        </w:tc>
        <w:tc>
          <w:tcPr>
            <w:tcW w:w="2940" w:type="dxa"/>
            <w:vAlign w:val="bottom"/>
          </w:tcPr>
          <w:p>
            <w:pPr>
              <w:jc w:val="right"/>
              <w:ind w:right="992"/>
              <w:spacing w:after="0" w:line="250" w:lineRule="exact"/>
              <w:rPr>
                <w:sz w:val="20"/>
                <w:szCs w:val="20"/>
                <w:color w:val="auto"/>
              </w:rPr>
            </w:pPr>
            <w:r>
              <w:rPr>
                <w:rFonts w:ascii="Times New Roman" w:cs="Times New Roman" w:eastAsia="Times New Roman" w:hAnsi="Times New Roman"/>
                <w:sz w:val="22"/>
                <w:szCs w:val="22"/>
                <w:color w:val="auto"/>
              </w:rPr>
              <w:t>21%</w:t>
            </w:r>
          </w:p>
        </w:tc>
        <w:tc>
          <w:tcPr>
            <w:tcW w:w="2240" w:type="dxa"/>
            <w:vAlign w:val="bottom"/>
          </w:tcPr>
          <w:p>
            <w:pPr>
              <w:jc w:val="center"/>
              <w:ind w:left="52"/>
              <w:spacing w:after="0" w:line="250" w:lineRule="exact"/>
              <w:rPr>
                <w:sz w:val="20"/>
                <w:szCs w:val="20"/>
                <w:color w:val="auto"/>
              </w:rPr>
            </w:pPr>
            <w:r>
              <w:rPr>
                <w:rFonts w:ascii="Times New Roman" w:cs="Times New Roman" w:eastAsia="Times New Roman" w:hAnsi="Times New Roman"/>
                <w:sz w:val="22"/>
                <w:szCs w:val="22"/>
                <w:color w:val="auto"/>
                <w:w w:val="99"/>
              </w:rPr>
              <w:t>42%</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Consumables</w:t>
            </w:r>
          </w:p>
        </w:tc>
        <w:tc>
          <w:tcPr>
            <w:tcW w:w="39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$13.5 million</w:t>
            </w:r>
          </w:p>
        </w:tc>
        <w:tc>
          <w:tcPr>
            <w:tcW w:w="29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15%</w:t>
            </w:r>
          </w:p>
        </w:tc>
        <w:tc>
          <w:tcPr>
            <w:tcW w:w="22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9"/>
              </w:rPr>
              <w:t>42%</w:t>
            </w:r>
          </w:p>
        </w:tc>
      </w:tr>
      <w:tr>
        <w:trPr>
          <w:trHeight w:val="28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Service</w:t>
            </w:r>
          </w:p>
        </w:tc>
        <w:tc>
          <w:tcPr>
            <w:tcW w:w="39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8"/>
              </w:rPr>
              <w:t>$5.2 million</w:t>
            </w:r>
          </w:p>
        </w:tc>
        <w:tc>
          <w:tcPr>
            <w:tcW w:w="294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9%</w:t>
            </w:r>
          </w:p>
        </w:tc>
        <w:tc>
          <w:tcPr>
            <w:tcW w:w="22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9"/>
              </w:rPr>
              <w:t>16%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Revenue by market:</w:t>
      </w:r>
    </w:p>
    <w:p>
      <w:pPr>
        <w:spacing w:after="0" w:line="210" w:lineRule="exact"/>
        <w:rPr>
          <w:sz w:val="20"/>
          <w:szCs w:val="20"/>
          <w:color w:val="auto"/>
        </w:rPr>
      </w:pPr>
    </w:p>
    <w:p>
      <w:pPr>
        <w:jc w:val="both"/>
        <w:ind w:left="540" w:right="420"/>
        <w:spacing w:after="0" w:line="244" w:lineRule="auto"/>
        <w:rPr>
          <w:sz w:val="20"/>
          <w:szCs w:val="20"/>
          <w:color w:val="auto"/>
        </w:rPr>
      </w:pPr>
      <w:r>
        <w:rPr>
          <w:rFonts w:ascii="Times New Roman" w:cs="Times New Roman" w:eastAsia="Times New Roman" w:hAnsi="Times New Roman"/>
          <w:sz w:val="22"/>
          <w:szCs w:val="22"/>
          <w:color w:val="auto"/>
        </w:rPr>
        <w:t>Mass cytometry revenue, comprising instruments, consumables, and service, increased 48 percent to $19.1 million from $12.9 million in the prior year period. Mass cytometry product revenue increased 50 percent to $16.2 million from $10.8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right="140"/>
        <w:spacing w:after="0" w:line="244" w:lineRule="auto"/>
        <w:rPr>
          <w:sz w:val="20"/>
          <w:szCs w:val="20"/>
          <w:color w:val="auto"/>
        </w:rPr>
      </w:pPr>
      <w:r>
        <w:rPr>
          <w:rFonts w:ascii="Times New Roman" w:cs="Times New Roman" w:eastAsia="Times New Roman" w:hAnsi="Times New Roman"/>
          <w:sz w:val="22"/>
          <w:szCs w:val="22"/>
          <w:color w:val="auto"/>
        </w:rPr>
        <w:t>Microfluidics revenue, comprising instruments, consumables, and service, decreased 11 percent to $13.2 million from $14.8 million in the prior year period. Microfluidics product revenue decreased 11 percent to $11.0 million from $12.3 million in the prior year period due to lower sales of instruments, offset by consumables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Total revenue by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28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Geographic Area</w:t>
            </w:r>
          </w:p>
        </w:tc>
        <w:tc>
          <w:tcPr>
            <w:tcW w:w="318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6"/>
              </w:rPr>
              <w:t>Revenue by</w:t>
            </w:r>
          </w:p>
        </w:tc>
        <w:tc>
          <w:tcPr>
            <w:tcW w:w="2940" w:type="dxa"/>
            <w:vAlign w:val="bottom"/>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Year-over-Year</w:t>
            </w:r>
          </w:p>
        </w:tc>
        <w:tc>
          <w:tcPr>
            <w:tcW w:w="242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 of Total</w:t>
            </w:r>
          </w:p>
        </w:tc>
      </w:tr>
      <w:tr>
        <w:trPr>
          <w:trHeight w:val="287"/>
        </w:trPr>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8"/>
              </w:rPr>
              <w:t>Geography</w:t>
            </w:r>
          </w:p>
        </w:tc>
        <w:tc>
          <w:tcPr>
            <w:tcW w:w="294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4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0"/>
        </w:trPr>
        <w:tc>
          <w:tcPr>
            <w:tcW w:w="2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Americas</w:t>
            </w:r>
          </w:p>
        </w:tc>
        <w:tc>
          <w:tcPr>
            <w:tcW w:w="3180" w:type="dxa"/>
            <w:vAlign w:val="bottom"/>
          </w:tcPr>
          <w:p>
            <w:pPr>
              <w:jc w:val="center"/>
              <w:ind w:left="392"/>
              <w:spacing w:after="0" w:line="250" w:lineRule="exact"/>
              <w:rPr>
                <w:sz w:val="20"/>
                <w:szCs w:val="20"/>
                <w:color w:val="auto"/>
              </w:rPr>
            </w:pPr>
            <w:r>
              <w:rPr>
                <w:rFonts w:ascii="Times New Roman" w:cs="Times New Roman" w:eastAsia="Times New Roman" w:hAnsi="Times New Roman"/>
                <w:sz w:val="22"/>
                <w:szCs w:val="22"/>
                <w:color w:val="auto"/>
                <w:w w:val="97"/>
              </w:rPr>
              <w:t>$14.2 million</w:t>
            </w:r>
          </w:p>
        </w:tc>
        <w:tc>
          <w:tcPr>
            <w:tcW w:w="2940" w:type="dxa"/>
            <w:vAlign w:val="bottom"/>
          </w:tcPr>
          <w:p>
            <w:pPr>
              <w:jc w:val="right"/>
              <w:ind w:right="1052"/>
              <w:spacing w:after="0" w:line="250" w:lineRule="exact"/>
              <w:rPr>
                <w:sz w:val="20"/>
                <w:szCs w:val="20"/>
                <w:color w:val="auto"/>
              </w:rPr>
            </w:pPr>
            <w:r>
              <w:rPr>
                <w:rFonts w:ascii="Times New Roman" w:cs="Times New Roman" w:eastAsia="Times New Roman" w:hAnsi="Times New Roman"/>
                <w:sz w:val="22"/>
                <w:szCs w:val="22"/>
                <w:color w:val="auto"/>
              </w:rPr>
              <w:t>19%</w:t>
            </w:r>
          </w:p>
        </w:tc>
        <w:tc>
          <w:tcPr>
            <w:tcW w:w="2420" w:type="dxa"/>
            <w:vAlign w:val="bottom"/>
          </w:tcPr>
          <w:p>
            <w:pPr>
              <w:jc w:val="center"/>
              <w:ind w:left="72"/>
              <w:spacing w:after="0" w:line="250" w:lineRule="exact"/>
              <w:rPr>
                <w:sz w:val="20"/>
                <w:szCs w:val="20"/>
                <w:color w:val="auto"/>
              </w:rPr>
            </w:pPr>
            <w:r>
              <w:rPr>
                <w:rFonts w:ascii="Times New Roman" w:cs="Times New Roman" w:eastAsia="Times New Roman" w:hAnsi="Times New Roman"/>
                <w:sz w:val="22"/>
                <w:szCs w:val="22"/>
                <w:color w:val="auto"/>
                <w:w w:val="99"/>
              </w:rPr>
              <w:t>44%</w:t>
            </w:r>
          </w:p>
        </w:tc>
      </w:tr>
      <w:tr>
        <w:trPr>
          <w:trHeight w:val="270"/>
        </w:trPr>
        <w:tc>
          <w:tcPr>
            <w:tcW w:w="2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EMEA</w:t>
            </w:r>
          </w:p>
        </w:tc>
        <w:tc>
          <w:tcPr>
            <w:tcW w:w="318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7"/>
              </w:rPr>
              <w:t>$10.2 million</w:t>
            </w:r>
          </w:p>
        </w:tc>
        <w:tc>
          <w:tcPr>
            <w:tcW w:w="29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w:t>
            </w:r>
          </w:p>
        </w:tc>
        <w:tc>
          <w:tcPr>
            <w:tcW w:w="24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9"/>
              </w:rPr>
              <w:t>32%</w:t>
            </w:r>
          </w:p>
        </w:tc>
      </w:tr>
      <w:tr>
        <w:trPr>
          <w:trHeight w:val="283"/>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Asia Pacific</w:t>
            </w:r>
          </w:p>
        </w:tc>
        <w:tc>
          <w:tcPr>
            <w:tcW w:w="318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22"/>
                <w:szCs w:val="22"/>
                <w:color w:val="auto"/>
                <w:w w:val="98"/>
              </w:rPr>
              <w:t>$7.9 million</w:t>
            </w:r>
          </w:p>
        </w:tc>
        <w:tc>
          <w:tcPr>
            <w:tcW w:w="29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color w:val="auto"/>
              </w:rPr>
              <w:t>26%</w:t>
            </w:r>
          </w:p>
        </w:tc>
        <w:tc>
          <w:tcPr>
            <w:tcW w:w="242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9"/>
              </w:rPr>
              <w:t>24%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Product margin:</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GAAP product margin was 56.4 percent in the fourth quarter of 2018 compared to 48.0 percent in the year ago period and 52.0 percent in the third quarter. Non-GAAP product margin was 69.6 percent in the fourth quarter of 2018 compared to 63.4 percent in the year ago period and 66.0 percent in the third quarter. The year-over-year increases in product margins were due to higher plant utilization and favorable product mix. Sequentially, increases in product margins were primarily due to favorable product mix and higher plant utilization. In the case of GAAP margin, year-over-year and sequential increases in product margins were coupled with fixed amortization over higher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Cash, cash equivalents, and investments as of December 31, 2018:</w:t>
      </w:r>
    </w:p>
    <w:p>
      <w:pPr>
        <w:spacing w:after="0" w:line="210"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Cash, cash equivalents, and investments as of December 31, 2018, were $95.4 million, including $59.5 of net proceeds from the company’s public offering of common stock in the fourth quarter. Cash, cash equivalents, and investments as of September 30, 2018, were $35.8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 expansion:</w:t>
      </w:r>
    </w:p>
    <w:p>
      <w:pPr>
        <w:spacing w:after="0" w:line="210" w:lineRule="exact"/>
        <w:rPr>
          <w:sz w:val="20"/>
          <w:szCs w:val="20"/>
          <w:color w:val="auto"/>
        </w:rPr>
      </w:pPr>
    </w:p>
    <w:p>
      <w:pPr>
        <w:ind w:left="540" w:right="440"/>
        <w:spacing w:after="0" w:line="258" w:lineRule="auto"/>
        <w:rPr>
          <w:sz w:val="20"/>
          <w:szCs w:val="20"/>
          <w:color w:val="auto"/>
        </w:rPr>
      </w:pPr>
      <w:r>
        <w:rPr>
          <w:rFonts w:ascii="Times New Roman" w:cs="Times New Roman" w:eastAsia="Times New Roman" w:hAnsi="Times New Roman"/>
          <w:sz w:val="22"/>
          <w:szCs w:val="22"/>
          <w:color w:val="auto"/>
        </w:rPr>
        <w:t>Caprion Biosciences, a leading CRO, added an incremental Helios instrument to meet an increasing demand for advance biomarker discovery and immune monitoring services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60"/>
        <w:spacing w:after="0" w:line="235" w:lineRule="auto"/>
        <w:rPr>
          <w:sz w:val="20"/>
          <w:szCs w:val="20"/>
          <w:color w:val="auto"/>
        </w:rPr>
      </w:pPr>
      <w:r>
        <w:rPr>
          <w:rFonts w:ascii="Times New Roman" w:cs="Times New Roman" w:eastAsia="Times New Roman" w:hAnsi="Times New Roman"/>
          <w:sz w:val="22"/>
          <w:szCs w:val="22"/>
          <w:color w:val="auto"/>
        </w:rPr>
        <w:t>Fluidigm announced participation in an international consortium, formed with pharma and academic research in Europe. The TIMID Consortium is a unique project that utilizes both mass cytometry and Imaging Mass Cytometry along with other technologies to explore the common cellular basis of T cell-driven immune-mediated inflammatory diseases (TIMIDs) . The research is aimed at more precise treatments for IMIDs using existing therapies and identification of new targets for drug development. Frits Koning, Professor of Immunology at Leiden University Medical Center in the Netherlands is leading mass cytometry and Imaging Mass Cytometry analysis of the human mucosal immune system in patients with inflammatory bowel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-1035685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publications:</w:t>
      </w:r>
    </w:p>
    <w:p>
      <w:pPr>
        <w:spacing w:after="0" w:line="206" w:lineRule="exact"/>
        <w:rPr>
          <w:sz w:val="20"/>
          <w:szCs w:val="20"/>
          <w:color w:val="auto"/>
        </w:rPr>
      </w:pPr>
    </w:p>
    <w:p>
      <w:pPr>
        <w:ind w:left="540" w:right="260"/>
        <w:spacing w:after="0" w:line="246"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Nature Immunology</w:t>
      </w:r>
      <w:r>
        <w:rPr>
          <w:rFonts w:ascii="Times New Roman" w:cs="Times New Roman" w:eastAsia="Times New Roman" w:hAnsi="Times New Roman"/>
          <w:sz w:val="22"/>
          <w:szCs w:val="22"/>
          <w:color w:val="auto"/>
        </w:rPr>
        <w:t xml:space="preserve"> paper published January 21 by Frits Koning and colleagues from Leiden University Medical Center characterized the development of CD4+ T cells in the human fetal intestine using mass cytometry and Imaging Mass Cytometry along with sequencing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Cell Metabolism</w:t>
      </w:r>
      <w:r>
        <w:rPr>
          <w:rFonts w:ascii="Times New Roman" w:cs="Times New Roman" w:eastAsia="Times New Roman" w:hAnsi="Times New Roman"/>
          <w:sz w:val="22"/>
          <w:szCs w:val="22"/>
          <w:color w:val="auto"/>
        </w:rPr>
        <w:t xml:space="preserve"> paper that was published on January 31 by Bernd Bodenmiller from the University of Zurich and researchers in Geneva and the US, used Imaging Mass Cytometry to map Human Type 1 Diabetes Progression at a single cell and spatial level. This work opens up new avenues, not available using traditional approaches to explore Type 1 Diabetes pancreas pathology as a starting point to understand the importance of the immune system in this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product innovation and partnership agreements:</w:t>
      </w:r>
    </w:p>
    <w:p>
      <w:pPr>
        <w:spacing w:after="0" w:line="204" w:lineRule="exact"/>
        <w:rPr>
          <w:sz w:val="20"/>
          <w:szCs w:val="20"/>
          <w:color w:val="auto"/>
        </w:rPr>
      </w:pPr>
    </w:p>
    <w:p>
      <w:pPr>
        <w:ind w:left="540" w:right="50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Agreement with Indica Labs to expand and simplify imaging mass cytometry data analysis: </w:t>
      </w:r>
      <w:r>
        <w:rPr>
          <w:rFonts w:ascii="Times New Roman" w:cs="Times New Roman" w:eastAsia="Times New Roman" w:hAnsi="Times New Roman"/>
          <w:sz w:val="22"/>
          <w:szCs w:val="22"/>
          <w:color w:val="auto"/>
        </w:rPr>
        <w:t>Fluidigm and Indica Labs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announced a co-marketing agreement to provide another new solution to streamline image analysis for Imaging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-426720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1"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REAP-seq for multi-omic single-cell analysis for the C1 system</w:t>
      </w:r>
      <w:r>
        <w:rPr>
          <w:rFonts w:ascii="Times New Roman" w:cs="Times New Roman" w:eastAsia="Times New Roman" w:hAnsi="Times New Roman"/>
          <w:sz w:val="22"/>
          <w:szCs w:val="22"/>
          <w:color w:val="auto"/>
        </w:rPr>
        <w:t>: In January, Fluidigm announced the introduction of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REAP-seq (RNA expression and protein sequencing) protocol for use with the C1. REAP-seq was developed in collaboration with Merck for co-detection of both cellular protein and RNA using microfluidics technology. This protocol is published in </w:t>
      </w:r>
      <w:r>
        <w:rPr>
          <w:rFonts w:ascii="Times New Roman" w:cs="Times New Roman" w:eastAsia="Times New Roman" w:hAnsi="Times New Roman"/>
          <w:sz w:val="22"/>
          <w:szCs w:val="22"/>
          <w:i w:val="1"/>
          <w:iCs w:val="1"/>
          <w:color w:val="auto"/>
        </w:rPr>
        <w:t>Nature Biotechnology.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-575945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2018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Revenue by category: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80" w:type="dxa"/>
            <w:vAlign w:val="bottom"/>
            <w:tcBorders>
              <w:top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b w:val="1"/>
                <w:bCs w:val="1"/>
                <w:color w:val="auto"/>
              </w:rPr>
              <w:t>Category</w:t>
            </w:r>
          </w:p>
        </w:tc>
        <w:tc>
          <w:tcPr>
            <w:tcW w:w="3960" w:type="dxa"/>
            <w:vAlign w:val="bottom"/>
            <w:tcBorders>
              <w:top w:val="single" w:sz="8" w:color="auto"/>
            </w:tcBorders>
          </w:tcPr>
          <w:p>
            <w:pPr>
              <w:jc w:val="center"/>
              <w:ind w:left="112"/>
              <w:spacing w:after="0" w:line="239" w:lineRule="exact"/>
              <w:rPr>
                <w:sz w:val="20"/>
                <w:szCs w:val="20"/>
                <w:color w:val="auto"/>
              </w:rPr>
            </w:pPr>
            <w:r>
              <w:rPr>
                <w:rFonts w:ascii="Times New Roman" w:cs="Times New Roman" w:eastAsia="Times New Roman" w:hAnsi="Times New Roman"/>
                <w:sz w:val="22"/>
                <w:szCs w:val="22"/>
                <w:b w:val="1"/>
                <w:bCs w:val="1"/>
                <w:color w:val="auto"/>
                <w:w w:val="98"/>
              </w:rPr>
              <w:t>Revenue by Category</w:t>
            </w:r>
          </w:p>
        </w:tc>
        <w:tc>
          <w:tcPr>
            <w:tcW w:w="2940" w:type="dxa"/>
            <w:vAlign w:val="bottom"/>
            <w:tcBorders>
              <w:top w:val="single" w:sz="8" w:color="auto"/>
            </w:tcBorders>
          </w:tcPr>
          <w:p>
            <w:pPr>
              <w:jc w:val="right"/>
              <w:ind w:right="572"/>
              <w:spacing w:after="0" w:line="239" w:lineRule="exact"/>
              <w:rPr>
                <w:sz w:val="20"/>
                <w:szCs w:val="20"/>
                <w:color w:val="auto"/>
              </w:rPr>
            </w:pPr>
            <w:r>
              <w:rPr>
                <w:rFonts w:ascii="Times New Roman" w:cs="Times New Roman" w:eastAsia="Times New Roman" w:hAnsi="Times New Roman"/>
                <w:sz w:val="22"/>
                <w:szCs w:val="22"/>
                <w:b w:val="1"/>
                <w:bCs w:val="1"/>
                <w:color w:val="auto"/>
              </w:rPr>
              <w:t>Year-over-Year</w:t>
            </w:r>
          </w:p>
        </w:tc>
        <w:tc>
          <w:tcPr>
            <w:tcW w:w="2240" w:type="dxa"/>
            <w:vAlign w:val="bottom"/>
            <w:tcBorders>
              <w:top w:val="single" w:sz="8" w:color="auto"/>
            </w:tcBorders>
          </w:tcPr>
          <w:p>
            <w:pPr>
              <w:ind w:left="660"/>
              <w:spacing w:after="0" w:line="239" w:lineRule="exact"/>
              <w:rPr>
                <w:sz w:val="20"/>
                <w:szCs w:val="20"/>
                <w:color w:val="auto"/>
              </w:rPr>
            </w:pPr>
            <w:r>
              <w:rPr>
                <w:rFonts w:ascii="Times New Roman" w:cs="Times New Roman" w:eastAsia="Times New Roman" w:hAnsi="Times New Roman"/>
                <w:sz w:val="22"/>
                <w:szCs w:val="22"/>
                <w:b w:val="1"/>
                <w:bCs w:val="1"/>
                <w:color w:val="auto"/>
              </w:rPr>
              <w:t>% of Total</w:t>
            </w:r>
          </w:p>
        </w:tc>
      </w:tr>
      <w:tr>
        <w:trPr>
          <w:trHeight w:val="287"/>
        </w:trPr>
        <w:tc>
          <w:tcPr>
            <w:tcW w:w="2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24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0"/>
        </w:trPr>
        <w:tc>
          <w:tcPr>
            <w:tcW w:w="22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Instruments</w:t>
            </w:r>
          </w:p>
        </w:tc>
        <w:tc>
          <w:tcPr>
            <w:tcW w:w="3960" w:type="dxa"/>
            <w:vAlign w:val="bottom"/>
          </w:tcPr>
          <w:p>
            <w:pPr>
              <w:jc w:val="center"/>
              <w:ind w:left="112"/>
              <w:spacing w:after="0" w:line="250" w:lineRule="exact"/>
              <w:rPr>
                <w:sz w:val="20"/>
                <w:szCs w:val="20"/>
                <w:color w:val="auto"/>
              </w:rPr>
            </w:pPr>
            <w:r>
              <w:rPr>
                <w:rFonts w:ascii="Times New Roman" w:cs="Times New Roman" w:eastAsia="Times New Roman" w:hAnsi="Times New Roman"/>
                <w:sz w:val="22"/>
                <w:szCs w:val="22"/>
                <w:color w:val="auto"/>
                <w:w w:val="99"/>
              </w:rPr>
              <w:t>$45.5 million</w:t>
            </w:r>
          </w:p>
        </w:tc>
        <w:tc>
          <w:tcPr>
            <w:tcW w:w="2940" w:type="dxa"/>
            <w:vAlign w:val="bottom"/>
          </w:tcPr>
          <w:p>
            <w:pPr>
              <w:jc w:val="right"/>
              <w:ind w:right="992"/>
              <w:spacing w:after="0" w:line="250" w:lineRule="exact"/>
              <w:rPr>
                <w:sz w:val="20"/>
                <w:szCs w:val="20"/>
                <w:color w:val="auto"/>
              </w:rPr>
            </w:pPr>
            <w:r>
              <w:rPr>
                <w:rFonts w:ascii="Times New Roman" w:cs="Times New Roman" w:eastAsia="Times New Roman" w:hAnsi="Times New Roman"/>
                <w:sz w:val="22"/>
                <w:szCs w:val="22"/>
                <w:color w:val="auto"/>
              </w:rPr>
              <w:t>7%</w:t>
            </w:r>
          </w:p>
        </w:tc>
        <w:tc>
          <w:tcPr>
            <w:tcW w:w="2240" w:type="dxa"/>
            <w:vAlign w:val="bottom"/>
          </w:tcPr>
          <w:p>
            <w:pPr>
              <w:jc w:val="center"/>
              <w:ind w:left="52"/>
              <w:spacing w:after="0" w:line="250" w:lineRule="exact"/>
              <w:rPr>
                <w:sz w:val="20"/>
                <w:szCs w:val="20"/>
                <w:color w:val="auto"/>
              </w:rPr>
            </w:pPr>
            <w:r>
              <w:rPr>
                <w:rFonts w:ascii="Times New Roman" w:cs="Times New Roman" w:eastAsia="Times New Roman" w:hAnsi="Times New Roman"/>
                <w:sz w:val="22"/>
                <w:szCs w:val="22"/>
                <w:color w:val="auto"/>
                <w:w w:val="99"/>
              </w:rPr>
              <w:t>40%</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Consumables</w:t>
            </w:r>
          </w:p>
        </w:tc>
        <w:tc>
          <w:tcPr>
            <w:tcW w:w="39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$48.2 million</w:t>
            </w:r>
          </w:p>
        </w:tc>
        <w:tc>
          <w:tcPr>
            <w:tcW w:w="29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15%</w:t>
            </w:r>
          </w:p>
        </w:tc>
        <w:tc>
          <w:tcPr>
            <w:tcW w:w="22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9"/>
              </w:rPr>
              <w:t>43%</w:t>
            </w:r>
          </w:p>
        </w:tc>
      </w:tr>
      <w:tr>
        <w:trPr>
          <w:trHeight w:val="28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Service</w:t>
            </w:r>
          </w:p>
        </w:tc>
        <w:tc>
          <w:tcPr>
            <w:tcW w:w="39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$19.3 million</w:t>
            </w:r>
          </w:p>
        </w:tc>
        <w:tc>
          <w:tcPr>
            <w:tcW w:w="294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11%</w:t>
            </w:r>
          </w:p>
        </w:tc>
        <w:tc>
          <w:tcPr>
            <w:tcW w:w="22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9"/>
              </w:rPr>
              <w:t>17%</w:t>
            </w:r>
          </w:p>
        </w:tc>
      </w:tr>
    </w:tbl>
    <w:p>
      <w:pPr>
        <w:sectPr>
          <w:pgSz w:w="11900" w:h="16838" w:orient="portrait"/>
          <w:cols w:equalWidth="0" w:num="1">
            <w:col w:w="11420"/>
          </w:cols>
          <w:pgMar w:left="240" w:top="98" w:right="2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color w:val="auto"/>
        </w:rPr>
        <w:t>Revenue by market:</w:t>
      </w:r>
    </w:p>
    <w:p>
      <w:pPr>
        <w:spacing w:after="0" w:line="209" w:lineRule="exact"/>
        <w:rPr>
          <w:sz w:val="20"/>
          <w:szCs w:val="20"/>
          <w:color w:val="auto"/>
        </w:rPr>
      </w:pPr>
    </w:p>
    <w:p>
      <w:pPr>
        <w:jc w:val="both"/>
        <w:ind w:left="540" w:right="420"/>
        <w:spacing w:after="0" w:line="244" w:lineRule="auto"/>
        <w:rPr>
          <w:sz w:val="20"/>
          <w:szCs w:val="20"/>
          <w:color w:val="auto"/>
        </w:rPr>
      </w:pPr>
      <w:r>
        <w:rPr>
          <w:rFonts w:ascii="Times New Roman" w:cs="Times New Roman" w:eastAsia="Times New Roman" w:hAnsi="Times New Roman"/>
          <w:sz w:val="22"/>
          <w:szCs w:val="22"/>
          <w:color w:val="auto"/>
        </w:rPr>
        <w:t>Mass cytometry revenue, comprising instruments, consumables, and service, increased 27 percent to $59.6 million from $46.8 million in the prior year period. Mass cytometry product revenue increased 25 percent to $49.3 million from $39.6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right="40"/>
        <w:spacing w:after="0" w:line="239" w:lineRule="auto"/>
        <w:rPr>
          <w:sz w:val="20"/>
          <w:szCs w:val="20"/>
          <w:color w:val="auto"/>
        </w:rPr>
      </w:pPr>
      <w:r>
        <w:rPr>
          <w:rFonts w:ascii="Times New Roman" w:cs="Times New Roman" w:eastAsia="Times New Roman" w:hAnsi="Times New Roman"/>
          <w:sz w:val="22"/>
          <w:szCs w:val="22"/>
          <w:color w:val="auto"/>
        </w:rPr>
        <w:t>Microfluidics revenue, comprising instruments, consumables, and service, decreased 3 percent to $53.4 million from $55.2 million in the prior year period. Microfluidics product revenue decreased 1 percent to $44.3 million from $44.8 million in the prior year period due to lower sales of single-cell microfluidics products and high throughput instruments, partially offset by a strong increase in sales of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Total revenue by geographic area: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top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b w:val="1"/>
                <w:bCs w:val="1"/>
                <w:color w:val="auto"/>
              </w:rPr>
              <w:t>Geographic Area</w:t>
            </w:r>
          </w:p>
        </w:tc>
        <w:tc>
          <w:tcPr>
            <w:tcW w:w="3180" w:type="dxa"/>
            <w:vAlign w:val="bottom"/>
            <w:tcBorders>
              <w:top w:val="single" w:sz="8" w:color="auto"/>
            </w:tcBorders>
          </w:tcPr>
          <w:p>
            <w:pPr>
              <w:ind w:left="1280"/>
              <w:spacing w:after="0" w:line="239" w:lineRule="exact"/>
              <w:rPr>
                <w:sz w:val="20"/>
                <w:szCs w:val="20"/>
                <w:color w:val="auto"/>
              </w:rPr>
            </w:pPr>
            <w:r>
              <w:rPr>
                <w:rFonts w:ascii="Times New Roman" w:cs="Times New Roman" w:eastAsia="Times New Roman" w:hAnsi="Times New Roman"/>
                <w:sz w:val="22"/>
                <w:szCs w:val="22"/>
                <w:b w:val="1"/>
                <w:bCs w:val="1"/>
                <w:color w:val="auto"/>
              </w:rPr>
              <w:t>Revenue by</w:t>
            </w:r>
          </w:p>
        </w:tc>
        <w:tc>
          <w:tcPr>
            <w:tcW w:w="2940" w:type="dxa"/>
            <w:vAlign w:val="bottom"/>
            <w:tcBorders>
              <w:top w:val="single" w:sz="8" w:color="auto"/>
            </w:tcBorders>
          </w:tcPr>
          <w:p>
            <w:pPr>
              <w:jc w:val="right"/>
              <w:ind w:right="652"/>
              <w:spacing w:after="0" w:line="239" w:lineRule="exact"/>
              <w:rPr>
                <w:sz w:val="20"/>
                <w:szCs w:val="20"/>
                <w:color w:val="auto"/>
              </w:rPr>
            </w:pPr>
            <w:r>
              <w:rPr>
                <w:rFonts w:ascii="Times New Roman" w:cs="Times New Roman" w:eastAsia="Times New Roman" w:hAnsi="Times New Roman"/>
                <w:sz w:val="22"/>
                <w:szCs w:val="22"/>
                <w:b w:val="1"/>
                <w:bCs w:val="1"/>
                <w:color w:val="auto"/>
              </w:rPr>
              <w:t>Year-over-Year</w:t>
            </w:r>
          </w:p>
        </w:tc>
        <w:tc>
          <w:tcPr>
            <w:tcW w:w="2420" w:type="dxa"/>
            <w:vAlign w:val="bottom"/>
            <w:tcBorders>
              <w:top w:val="single" w:sz="8" w:color="auto"/>
            </w:tcBorders>
          </w:tcPr>
          <w:p>
            <w:pPr>
              <w:ind w:left="760"/>
              <w:spacing w:after="0" w:line="239" w:lineRule="exact"/>
              <w:rPr>
                <w:sz w:val="20"/>
                <w:szCs w:val="20"/>
                <w:color w:val="auto"/>
              </w:rPr>
            </w:pPr>
            <w:r>
              <w:rPr>
                <w:rFonts w:ascii="Times New Roman" w:cs="Times New Roman" w:eastAsia="Times New Roman" w:hAnsi="Times New Roman"/>
                <w:sz w:val="22"/>
                <w:szCs w:val="22"/>
                <w:b w:val="1"/>
                <w:bCs w:val="1"/>
                <w:color w:val="auto"/>
              </w:rPr>
              <w:t>% of Total</w:t>
            </w:r>
          </w:p>
        </w:tc>
      </w:tr>
      <w:tr>
        <w:trPr>
          <w:trHeight w:val="287"/>
        </w:trPr>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22"/>
                <w:szCs w:val="22"/>
                <w:b w:val="1"/>
                <w:bCs w:val="1"/>
                <w:color w:val="auto"/>
              </w:rPr>
              <w:t>Geography</w:t>
            </w:r>
          </w:p>
        </w:tc>
        <w:tc>
          <w:tcPr>
            <w:tcW w:w="294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4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0"/>
        </w:trPr>
        <w:tc>
          <w:tcPr>
            <w:tcW w:w="2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Americas</w:t>
            </w:r>
          </w:p>
        </w:tc>
        <w:tc>
          <w:tcPr>
            <w:tcW w:w="3180" w:type="dxa"/>
            <w:vAlign w:val="bottom"/>
          </w:tcPr>
          <w:p>
            <w:pPr>
              <w:ind w:left="1260"/>
              <w:spacing w:after="0" w:line="250" w:lineRule="exact"/>
              <w:rPr>
                <w:sz w:val="20"/>
                <w:szCs w:val="20"/>
                <w:color w:val="auto"/>
              </w:rPr>
            </w:pPr>
            <w:r>
              <w:rPr>
                <w:rFonts w:ascii="Times New Roman" w:cs="Times New Roman" w:eastAsia="Times New Roman" w:hAnsi="Times New Roman"/>
                <w:sz w:val="22"/>
                <w:szCs w:val="22"/>
                <w:color w:val="auto"/>
              </w:rPr>
              <w:t>$51.2 million</w:t>
            </w:r>
          </w:p>
        </w:tc>
        <w:tc>
          <w:tcPr>
            <w:tcW w:w="2940" w:type="dxa"/>
            <w:vAlign w:val="bottom"/>
          </w:tcPr>
          <w:p>
            <w:pPr>
              <w:jc w:val="right"/>
              <w:ind w:right="1052"/>
              <w:spacing w:after="0" w:line="250" w:lineRule="exact"/>
              <w:rPr>
                <w:sz w:val="20"/>
                <w:szCs w:val="20"/>
                <w:color w:val="auto"/>
              </w:rPr>
            </w:pPr>
            <w:r>
              <w:rPr>
                <w:rFonts w:ascii="Times New Roman" w:cs="Times New Roman" w:eastAsia="Times New Roman" w:hAnsi="Times New Roman"/>
                <w:sz w:val="22"/>
                <w:szCs w:val="22"/>
                <w:color w:val="auto"/>
              </w:rPr>
              <w:t>4%</w:t>
            </w:r>
          </w:p>
        </w:tc>
        <w:tc>
          <w:tcPr>
            <w:tcW w:w="2420" w:type="dxa"/>
            <w:vAlign w:val="bottom"/>
          </w:tcPr>
          <w:p>
            <w:pPr>
              <w:jc w:val="center"/>
              <w:ind w:left="72"/>
              <w:spacing w:after="0" w:line="250" w:lineRule="exact"/>
              <w:rPr>
                <w:sz w:val="20"/>
                <w:szCs w:val="20"/>
                <w:color w:val="auto"/>
              </w:rPr>
            </w:pPr>
            <w:r>
              <w:rPr>
                <w:rFonts w:ascii="Times New Roman" w:cs="Times New Roman" w:eastAsia="Times New Roman" w:hAnsi="Times New Roman"/>
                <w:sz w:val="22"/>
                <w:szCs w:val="22"/>
                <w:color w:val="auto"/>
                <w:w w:val="99"/>
              </w:rPr>
              <w:t>46%</w:t>
            </w:r>
          </w:p>
        </w:tc>
      </w:tr>
      <w:tr>
        <w:trPr>
          <w:trHeight w:val="270"/>
        </w:trPr>
        <w:tc>
          <w:tcPr>
            <w:tcW w:w="2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EMEA</w:t>
            </w:r>
          </w:p>
        </w:tc>
        <w:tc>
          <w:tcPr>
            <w:tcW w:w="31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$36.6 million</w:t>
            </w:r>
          </w:p>
        </w:tc>
        <w:tc>
          <w:tcPr>
            <w:tcW w:w="29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12%</w:t>
            </w:r>
          </w:p>
        </w:tc>
        <w:tc>
          <w:tcPr>
            <w:tcW w:w="24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9"/>
              </w:rPr>
              <w:t>32%</w:t>
            </w:r>
          </w:p>
        </w:tc>
      </w:tr>
      <w:tr>
        <w:trPr>
          <w:trHeight w:val="283"/>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Asia-Pacific</w:t>
            </w:r>
          </w:p>
        </w:tc>
        <w:tc>
          <w:tcPr>
            <w:tcW w:w="31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$25.2 million</w:t>
            </w:r>
          </w:p>
        </w:tc>
        <w:tc>
          <w:tcPr>
            <w:tcW w:w="29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color w:val="auto"/>
              </w:rPr>
              <w:t>26%</w:t>
            </w:r>
          </w:p>
        </w:tc>
        <w:tc>
          <w:tcPr>
            <w:tcW w:w="242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9"/>
              </w:rPr>
              <w:t>22%</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Approximate active installed base at year-end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Active installed base for selected instruments</w:t>
            </w:r>
          </w:p>
        </w:tc>
        <w:tc>
          <w:tcPr>
            <w:tcW w:w="4020" w:type="dxa"/>
            <w:vAlign w:val="bottom"/>
            <w:tcBorders>
              <w:top w:val="single" w:sz="8" w:color="auto"/>
              <w:bottom w:val="single" w:sz="8" w:color="auto"/>
            </w:tcBorders>
          </w:tcPr>
          <w:p>
            <w:pPr>
              <w:jc w:val="center"/>
              <w:ind w:left="2772"/>
              <w:spacing w:after="0"/>
              <w:rPr>
                <w:sz w:val="20"/>
                <w:szCs w:val="20"/>
                <w:color w:val="auto"/>
              </w:rPr>
            </w:pPr>
            <w:r>
              <w:rPr>
                <w:rFonts w:ascii="Times New Roman" w:cs="Times New Roman" w:eastAsia="Times New Roman" w:hAnsi="Times New Roman"/>
                <w:sz w:val="22"/>
                <w:szCs w:val="22"/>
                <w:b w:val="1"/>
                <w:bCs w:val="1"/>
                <w:color w:val="auto"/>
                <w:w w:val="95"/>
              </w:rPr>
              <w:t>2018</w:t>
            </w:r>
          </w:p>
        </w:tc>
      </w:tr>
      <w:tr>
        <w:trPr>
          <w:trHeight w:val="250"/>
        </w:trPr>
        <w:tc>
          <w:tcPr>
            <w:tcW w:w="740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Mass cytometry</w:t>
            </w:r>
          </w:p>
        </w:tc>
        <w:tc>
          <w:tcPr>
            <w:tcW w:w="4020" w:type="dxa"/>
            <w:vAlign w:val="bottom"/>
          </w:tcPr>
          <w:p>
            <w:pPr>
              <w:jc w:val="center"/>
              <w:ind w:left="2792"/>
              <w:spacing w:after="0" w:line="249" w:lineRule="exact"/>
              <w:rPr>
                <w:sz w:val="20"/>
                <w:szCs w:val="20"/>
                <w:color w:val="auto"/>
              </w:rPr>
            </w:pPr>
            <w:r>
              <w:rPr>
                <w:rFonts w:ascii="Times New Roman" w:cs="Times New Roman" w:eastAsia="Times New Roman" w:hAnsi="Times New Roman"/>
                <w:sz w:val="22"/>
                <w:szCs w:val="22"/>
                <w:color w:val="auto"/>
                <w:w w:val="96"/>
              </w:rPr>
              <w:t>240</w:t>
            </w:r>
          </w:p>
        </w:tc>
      </w:tr>
      <w:tr>
        <w:trPr>
          <w:trHeight w:val="270"/>
        </w:trPr>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Biomark™/Biomark HD and EP1™</w:t>
            </w:r>
          </w:p>
        </w:tc>
        <w:tc>
          <w:tcPr>
            <w:tcW w:w="4020" w:type="dxa"/>
            <w:vAlign w:val="bottom"/>
          </w:tcPr>
          <w:p>
            <w:pPr>
              <w:jc w:val="center"/>
              <w:ind w:left="2792"/>
              <w:spacing w:after="0"/>
              <w:rPr>
                <w:sz w:val="20"/>
                <w:szCs w:val="20"/>
                <w:color w:val="auto"/>
              </w:rPr>
            </w:pPr>
            <w:r>
              <w:rPr>
                <w:rFonts w:ascii="Times New Roman" w:cs="Times New Roman" w:eastAsia="Times New Roman" w:hAnsi="Times New Roman"/>
                <w:sz w:val="22"/>
                <w:szCs w:val="22"/>
                <w:color w:val="auto"/>
                <w:w w:val="96"/>
              </w:rPr>
              <w:t>550</w:t>
            </w:r>
          </w:p>
        </w:tc>
      </w:tr>
      <w:tr>
        <w:trPr>
          <w:trHeight w:val="28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Access Array™ and Juno™</w:t>
            </w:r>
          </w:p>
        </w:tc>
        <w:tc>
          <w:tcPr>
            <w:tcW w:w="4020" w:type="dxa"/>
            <w:vAlign w:val="bottom"/>
            <w:tcBorders>
              <w:bottom w:val="single" w:sz="8" w:color="auto"/>
            </w:tcBorders>
          </w:tcPr>
          <w:p>
            <w:pPr>
              <w:jc w:val="center"/>
              <w:ind w:left="2792"/>
              <w:spacing w:after="0"/>
              <w:rPr>
                <w:sz w:val="20"/>
                <w:szCs w:val="20"/>
                <w:color w:val="auto"/>
              </w:rPr>
            </w:pPr>
            <w:r>
              <w:rPr>
                <w:rFonts w:ascii="Times New Roman" w:cs="Times New Roman" w:eastAsia="Times New Roman" w:hAnsi="Times New Roman"/>
                <w:sz w:val="22"/>
                <w:szCs w:val="22"/>
                <w:color w:val="auto"/>
                <w:w w:val="96"/>
              </w:rPr>
              <w:t>200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2019 Guidance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Consumables pull-through</w:t>
            </w:r>
          </w:p>
        </w:tc>
        <w:tc>
          <w:tcPr>
            <w:tcW w:w="5420" w:type="dxa"/>
            <w:vAlign w:val="bottom"/>
            <w:tcBorders>
              <w:top w:val="single" w:sz="8" w:color="auto"/>
              <w:bottom w:val="single" w:sz="8" w:color="auto"/>
            </w:tcBorders>
          </w:tcPr>
          <w:p>
            <w:pPr>
              <w:jc w:val="center"/>
              <w:ind w:left="2052"/>
              <w:spacing w:after="0"/>
              <w:rPr>
                <w:sz w:val="20"/>
                <w:szCs w:val="20"/>
                <w:color w:val="auto"/>
              </w:rPr>
            </w:pPr>
            <w:r>
              <w:rPr>
                <w:rFonts w:ascii="Times New Roman" w:cs="Times New Roman" w:eastAsia="Times New Roman" w:hAnsi="Times New Roman"/>
                <w:sz w:val="22"/>
                <w:szCs w:val="22"/>
                <w:b w:val="1"/>
                <w:bCs w:val="1"/>
                <w:color w:val="auto"/>
                <w:w w:val="97"/>
              </w:rPr>
              <w:t>2019 ($000)</w:t>
            </w:r>
          </w:p>
        </w:tc>
      </w:tr>
      <w:tr>
        <w:trPr>
          <w:trHeight w:val="250"/>
        </w:trPr>
        <w:tc>
          <w:tcPr>
            <w:tcW w:w="600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Mass cytometry</w:t>
            </w:r>
          </w:p>
        </w:tc>
        <w:tc>
          <w:tcPr>
            <w:tcW w:w="5420" w:type="dxa"/>
            <w:vAlign w:val="bottom"/>
          </w:tcPr>
          <w:p>
            <w:pPr>
              <w:jc w:val="center"/>
              <w:ind w:left="2052"/>
              <w:spacing w:after="0" w:line="249" w:lineRule="exact"/>
              <w:rPr>
                <w:sz w:val="20"/>
                <w:szCs w:val="20"/>
                <w:color w:val="auto"/>
              </w:rPr>
            </w:pPr>
            <w:r>
              <w:rPr>
                <w:rFonts w:ascii="Times New Roman" w:cs="Times New Roman" w:eastAsia="Times New Roman" w:hAnsi="Times New Roman"/>
                <w:sz w:val="22"/>
                <w:szCs w:val="22"/>
                <w:color w:val="auto"/>
                <w:w w:val="97"/>
              </w:rPr>
              <w:t>$73 – $78</w:t>
            </w:r>
          </w:p>
        </w:tc>
      </w:tr>
      <w:tr>
        <w:trPr>
          <w:trHeight w:val="270"/>
        </w:trPr>
        <w:tc>
          <w:tcPr>
            <w:tcW w:w="6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Biomark/Biomark HD and EP1</w:t>
            </w:r>
          </w:p>
        </w:tc>
        <w:tc>
          <w:tcPr>
            <w:tcW w:w="5420" w:type="dxa"/>
            <w:vAlign w:val="bottom"/>
          </w:tcPr>
          <w:p>
            <w:pPr>
              <w:jc w:val="center"/>
              <w:ind w:left="2052"/>
              <w:spacing w:after="0"/>
              <w:rPr>
                <w:sz w:val="20"/>
                <w:szCs w:val="20"/>
                <w:color w:val="auto"/>
              </w:rPr>
            </w:pPr>
            <w:r>
              <w:rPr>
                <w:rFonts w:ascii="Times New Roman" w:cs="Times New Roman" w:eastAsia="Times New Roman" w:hAnsi="Times New Roman"/>
                <w:sz w:val="22"/>
                <w:szCs w:val="22"/>
                <w:color w:val="auto"/>
                <w:w w:val="97"/>
              </w:rPr>
              <w:t>$44 - $50</w:t>
            </w:r>
          </w:p>
        </w:tc>
      </w:tr>
      <w:tr>
        <w:trPr>
          <w:trHeight w:val="28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Access Array and Juno</w:t>
            </w:r>
          </w:p>
        </w:tc>
        <w:tc>
          <w:tcPr>
            <w:tcW w:w="5420" w:type="dxa"/>
            <w:vAlign w:val="bottom"/>
            <w:tcBorders>
              <w:bottom w:val="single" w:sz="8" w:color="auto"/>
            </w:tcBorders>
          </w:tcPr>
          <w:p>
            <w:pPr>
              <w:jc w:val="center"/>
              <w:ind w:left="2052"/>
              <w:spacing w:after="0"/>
              <w:rPr>
                <w:sz w:val="20"/>
                <w:szCs w:val="20"/>
                <w:color w:val="auto"/>
              </w:rPr>
            </w:pPr>
            <w:r>
              <w:rPr>
                <w:rFonts w:ascii="Times New Roman" w:cs="Times New Roman" w:eastAsia="Times New Roman" w:hAnsi="Times New Roman"/>
                <w:sz w:val="22"/>
                <w:szCs w:val="22"/>
                <w:color w:val="auto"/>
                <w:w w:val="97"/>
              </w:rPr>
              <w:t>$25 - $30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2019 Guidance</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Total revenue of $28 million to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GAAP operating expenses of $29.5 million to $30.5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Non-GAAP operating expenses of $26.5 million to $27.5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amortization expenses of approximately $2 million and $1 million, respectively.</w:t>
      </w:r>
    </w:p>
    <w:p>
      <w:pPr>
        <w:ind w:left="540" w:right="840"/>
        <w:spacing w:after="0" w:line="237" w:lineRule="auto"/>
        <w:rPr>
          <w:sz w:val="20"/>
          <w:szCs w:val="20"/>
          <w:color w:val="auto"/>
        </w:rPr>
      </w:pPr>
      <w:r>
        <w:rPr>
          <w:rFonts w:ascii="Times New Roman" w:cs="Times New Roman" w:eastAsia="Times New Roman" w:hAnsi="Times New Roman"/>
          <w:sz w:val="22"/>
          <w:szCs w:val="22"/>
          <w:color w:val="auto"/>
        </w:rPr>
        <w:t>Total cash outflow of $20 million to $22 million, including total annual incentive compensation and retention bonus payments of $10.8 million, and a semi-annual interest payment of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Fluidigm will host a conference call today, February 7, 2019, at 2:00 p.m. PT (5:00 p.m. ET) to discuss fourth quarter and full year 2018 financial results and operational progress. Individuals interested in listening to the conference call may do so by dialing (877) 556-5248 for domestic callers, or (720) 545-0029 for international callers. Please reference Conference ID 2891608. A live webcast of the conference call will be available online from the Investor Relations page of the company’s website at http://investors.fluidigm.com/events.cfm. The link will not be active until 1:45 p.m. PT (4:45 p.m. ET) on February 7, 2019.</w:t>
      </w:r>
    </w:p>
    <w:p>
      <w:pPr>
        <w:spacing w:after="0" w:line="17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After the live webcast, the call will be archived on Fluidigm’s Investor Relations page at http://investors.fluidigm.com/. In addition, a telephone replay of the teleconference will be available 90 minutes after the end of the call. The replay dial-in numbers are (855) 859-2056 for domestic callers and (404) 537-3406 for international callers. Please use the conference ID number: 2891608. The telephone replay will be available until February 14.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Regarding Use of Non-GAAP Financial Information</w:t>
      </w:r>
    </w:p>
    <w:p>
      <w:pPr>
        <w:spacing w:after="0" w:line="1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1"/>
          <w:szCs w:val="21"/>
          <w:color w:val="auto"/>
        </w:rPr>
        <w:t>Fluidigm has presented certain financial information in accordance with U.S. GAAP and also on a non-GAAP basis for the three-month periods and years ended December 31, 2018, and December 31, 2017, as well as projected for the first quarter of 2019.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w:t>
      </w:r>
    </w:p>
    <w:p>
      <w:pPr>
        <w:sectPr>
          <w:pgSz w:w="11900" w:h="16838" w:orient="portrait"/>
          <w:cols w:equalWidth="0" w:num="1">
            <w:col w:w="11420"/>
          </w:cols>
          <w:pgMar w:left="240" w:top="110" w:right="239" w:bottom="0" w:gutter="0" w:footer="0" w:header="0"/>
        </w:sectPr>
      </w:pPr>
    </w:p>
    <w:bookmarkStart w:id="6" w:name="page7"/>
    <w:bookmarkEnd w:id="6"/>
    <w:p>
      <w:pPr>
        <w:ind w:right="300"/>
        <w:spacing w:after="0"/>
        <w:rPr>
          <w:sz w:val="20"/>
          <w:szCs w:val="20"/>
          <w:color w:val="auto"/>
        </w:rPr>
      </w:pPr>
      <w:r>
        <w:rPr>
          <w:rFonts w:ascii="Times New Roman" w:cs="Times New Roman" w:eastAsia="Times New Roman" w:hAnsi="Times New Roman"/>
          <w:sz w:val="22"/>
          <w:szCs w:val="22"/>
          <w:color w:val="auto"/>
        </w:rPr>
        <w:t>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Forward-Looking Statements</w:t>
      </w:r>
    </w:p>
    <w:p>
      <w:pPr>
        <w:spacing w:after="0" w:line="18"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including, among others, statements regarding revenue growth in 2019, the execution of product strategies and anticipated effect on our business, anticipated benefits of collaborations and contractual relationships, consumables pull-through for 2019, and projected revenues, expenses, and cash flows for the first quarter of 2019.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the Fluidigm Annual Report on Form 10-K for the year ended December 31, 2017, and in its other filings with the Securities and Exchange Commission, including the Fluidigm Quarterly Report on Form 10-Q for the quarter ended September 30, 2018. These forward-looking statements speak only as of the date hereof. Fluidigm disclaims any obligation to update these forward-looking statements except as may be required by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Fluidigm</w:t>
      </w:r>
    </w:p>
    <w:p>
      <w:pPr>
        <w:spacing w:after="0" w:line="1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2"/>
          <w:szCs w:val="22"/>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8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Fluidigm, the Fluidigm logo, CyTOF, and Access Array, Biomark, C1, EP1, Helios, Hyperion, Imaging Mass Cytometry, and Juno are trademarks and/or registered trademarks of Fluidigm Corporation in the United States and/or other countries. All other trademarks are the sole property of their respective owners. Fluidigm products are provided for Research Use Only. Not for use in diagnostic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Agnes Lee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Fluidigm Corporation</w:t>
      </w:r>
    </w:p>
    <w:p>
      <w:pPr>
        <w:spacing w:after="0" w:line="231" w:lineRule="auto"/>
        <w:rPr>
          <w:sz w:val="20"/>
          <w:szCs w:val="20"/>
          <w:color w:val="auto"/>
        </w:rPr>
      </w:pPr>
      <w:r>
        <w:rPr>
          <w:rFonts w:ascii="Times New Roman" w:cs="Times New Roman" w:eastAsia="Times New Roman" w:hAnsi="Times New Roman"/>
          <w:sz w:val="22"/>
          <w:szCs w:val="22"/>
          <w:color w:val="auto"/>
        </w:rPr>
        <w:t>650 416 7423</w:t>
      </w:r>
    </w:p>
    <w:p>
      <w:pPr>
        <w:spacing w:after="0"/>
        <w:rPr>
          <w:sz w:val="20"/>
          <w:szCs w:val="20"/>
          <w:color w:val="auto"/>
        </w:rPr>
      </w:pPr>
      <w:r>
        <w:rPr>
          <w:rFonts w:ascii="Times New Roman" w:cs="Times New Roman" w:eastAsia="Times New Roman" w:hAnsi="Times New Roman"/>
          <w:sz w:val="22"/>
          <w:szCs w:val="22"/>
          <w:color w:val="auto"/>
        </w:rPr>
        <w:t>agnes.lee@fluidigm.com</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FLUIDIGM CORPORATION</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i w:val="1"/>
          <w:iCs w:val="1"/>
          <w:color w:val="auto"/>
        </w:rPr>
        <w:t>(In thousands, except per share amounts)</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w w:val="98"/>
              </w:rPr>
              <w:t>Twelve Months Ended December</w:t>
            </w:r>
          </w:p>
        </w:tc>
      </w:tr>
      <w:tr>
        <w:trPr>
          <w:trHeight w:val="287"/>
        </w:trPr>
        <w:tc>
          <w:tcPr>
            <w:tcW w:w="5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31,</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auto"/>
            </w:tcBorders>
          </w:tcPr>
          <w:p>
            <w:pPr>
              <w:spacing w:after="0"/>
              <w:rPr>
                <w:sz w:val="24"/>
                <w:szCs w:val="24"/>
                <w:color w:val="auto"/>
              </w:rPr>
            </w:pPr>
          </w:p>
        </w:tc>
      </w:tr>
      <w:tr>
        <w:trPr>
          <w:trHeight w:val="264"/>
        </w:trPr>
        <w:tc>
          <w:tcPr>
            <w:tcW w:w="5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2017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2017</w:t>
            </w:r>
          </w:p>
        </w:tc>
      </w:tr>
      <w:tr>
        <w:trPr>
          <w:trHeight w:val="250"/>
        </w:trPr>
        <w:tc>
          <w:tcPr>
            <w:tcW w:w="50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5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13,660</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11,322</w:t>
            </w:r>
          </w:p>
        </w:tc>
        <w:tc>
          <w:tcPr>
            <w:tcW w:w="80" w:type="dxa"/>
            <w:vAlign w:val="bottom"/>
          </w:tcPr>
          <w:p>
            <w:pPr>
              <w:spacing w:after="0"/>
              <w:rPr>
                <w:sz w:val="23"/>
                <w:szCs w:val="23"/>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45,491</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42,505</w:t>
            </w:r>
          </w:p>
        </w:tc>
      </w:tr>
      <w:tr>
        <w:trPr>
          <w:trHeight w:val="283"/>
        </w:trPr>
        <w:tc>
          <w:tcPr>
            <w:tcW w:w="5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Consumables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13,494</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11,694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48,159</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41,894</w:t>
            </w:r>
          </w:p>
        </w:tc>
      </w:tr>
      <w:tr>
        <w:trPr>
          <w:trHeight w:val="251"/>
        </w:trPr>
        <w:tc>
          <w:tcPr>
            <w:tcW w:w="502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Product revenue</w:t>
            </w:r>
          </w:p>
        </w:tc>
        <w:tc>
          <w:tcPr>
            <w:tcW w:w="3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27,154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23,016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93,650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rPr>
              <w:t>84,399</w:t>
            </w:r>
          </w:p>
        </w:tc>
      </w:tr>
      <w:tr>
        <w:trPr>
          <w:trHeight w:val="270"/>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revenue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4,729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17,348</w:t>
            </w:r>
          </w:p>
        </w:tc>
      </w:tr>
      <w:tr>
        <w:trPr>
          <w:trHeight w:val="283"/>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190</w:t>
            </w:r>
          </w:p>
        </w:tc>
      </w:tr>
      <w:tr>
        <w:trPr>
          <w:trHeight w:val="251"/>
        </w:trPr>
        <w:tc>
          <w:tcPr>
            <w:tcW w:w="50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revenue</w:t>
            </w:r>
          </w:p>
        </w:tc>
        <w:tc>
          <w:tcPr>
            <w:tcW w:w="3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32,325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27,745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112,964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rPr>
              <w:t>101,937</w:t>
            </w: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Cost of revenue:</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product revenue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11,979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45,039</w:t>
            </w:r>
          </w:p>
        </w:tc>
      </w:tr>
      <w:tr>
        <w:trPr>
          <w:trHeight w:val="283"/>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service revenue</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1,479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6,454</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4,916</w:t>
            </w:r>
          </w:p>
        </w:tc>
      </w:tr>
      <w:tr>
        <w:trPr>
          <w:trHeight w:val="265"/>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Total cost of revenue</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13,514</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13,458</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51,315</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49,955</w:t>
            </w:r>
          </w:p>
        </w:tc>
      </w:tr>
    </w:tbl>
    <w:p>
      <w:pPr>
        <w:sectPr>
          <w:pgSz w:w="11900" w:h="16838" w:orient="portrait"/>
          <w:cols w:equalWidth="0" w:num="1">
            <w:col w:w="11420"/>
          </w:cols>
          <w:pgMar w:left="240" w:top="111" w:right="239" w:bottom="0" w:gutter="0" w:footer="0" w:header="0"/>
        </w:sectPr>
      </w:pPr>
    </w:p>
    <w:bookmarkStart w:id="7" w:name="page8"/>
    <w:bookmarkEnd w:id="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71"/>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4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18,811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14,287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61,649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51,982</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4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7,958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7,158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30,030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30,826</w:t>
            </w:r>
          </w:p>
        </w:tc>
        <w:tc>
          <w:tcPr>
            <w:tcW w:w="0" w:type="dxa"/>
            <w:vAlign w:val="bottom"/>
          </w:tcPr>
          <w:p>
            <w:pPr>
              <w:spacing w:after="0"/>
              <w:rPr>
                <w:sz w:val="1"/>
                <w:szCs w:val="1"/>
                <w:color w:val="auto"/>
              </w:rPr>
            </w:pPr>
          </w:p>
        </w:tc>
      </w:tr>
      <w:tr>
        <w:trPr>
          <w:trHeight w:val="283"/>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21,971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15,863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79,783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79,516</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29,929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23,021</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109,813</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110,342</w:t>
            </w:r>
          </w:p>
        </w:tc>
        <w:tc>
          <w:tcPr>
            <w:tcW w:w="0" w:type="dxa"/>
            <w:vAlign w:val="bottom"/>
          </w:tcPr>
          <w:p>
            <w:pPr>
              <w:spacing w:after="0"/>
              <w:rPr>
                <w:sz w:val="1"/>
                <w:szCs w:val="1"/>
                <w:color w:val="auto"/>
              </w:rPr>
            </w:pPr>
          </w:p>
        </w:tc>
      </w:tr>
      <w:tr>
        <w:trPr>
          <w:trHeight w:val="250"/>
        </w:trPr>
        <w:tc>
          <w:tcPr>
            <w:tcW w:w="50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Loss from operations</w:t>
            </w:r>
          </w:p>
        </w:tc>
        <w:tc>
          <w:tcPr>
            <w:tcW w:w="400" w:type="dxa"/>
            <w:vAlign w:val="bottom"/>
          </w:tcPr>
          <w:p>
            <w:pPr>
              <w:spacing w:after="0"/>
              <w:rPr>
                <w:sz w:val="21"/>
                <w:szCs w:val="21"/>
                <w:color w:val="auto"/>
              </w:rPr>
            </w:pP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(11,118)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(8,734)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(48,164)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(58,360)</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(5,824)</w:t>
            </w:r>
          </w:p>
        </w:tc>
        <w:tc>
          <w:tcPr>
            <w:tcW w:w="0" w:type="dxa"/>
            <w:vAlign w:val="bottom"/>
          </w:tcPr>
          <w:p>
            <w:pPr>
              <w:spacing w:after="0"/>
              <w:rPr>
                <w:sz w:val="1"/>
                <w:szCs w:val="1"/>
                <w:color w:val="auto"/>
              </w:rPr>
            </w:pPr>
          </w:p>
        </w:tc>
      </w:tr>
      <w:tr>
        <w:trPr>
          <w:trHeight w:val="283"/>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(loss), net</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172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637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385</w:t>
            </w:r>
          </w:p>
        </w:tc>
        <w:tc>
          <w:tcPr>
            <w:tcW w:w="0" w:type="dxa"/>
            <w:vAlign w:val="bottom"/>
          </w:tcPr>
          <w:p>
            <w:pPr>
              <w:spacing w:after="0"/>
              <w:rPr>
                <w:sz w:val="1"/>
                <w:szCs w:val="1"/>
                <w:color w:val="auto"/>
              </w:rPr>
            </w:pPr>
          </w:p>
        </w:tc>
      </w:tr>
      <w:tr>
        <w:trPr>
          <w:trHeight w:val="251"/>
        </w:trPr>
        <w:tc>
          <w:tcPr>
            <w:tcW w:w="50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Loss before income taxes</w:t>
            </w:r>
          </w:p>
        </w:tc>
        <w:tc>
          <w:tcPr>
            <w:tcW w:w="40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(10,377)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(61,420)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(63,799)</w:t>
            </w:r>
          </w:p>
        </w:tc>
        <w:tc>
          <w:tcPr>
            <w:tcW w:w="0" w:type="dxa"/>
            <w:vAlign w:val="bottom"/>
          </w:tcPr>
          <w:p>
            <w:pPr>
              <w:spacing w:after="0"/>
              <w:rPr>
                <w:sz w:val="1"/>
                <w:szCs w:val="1"/>
                <w:color w:val="auto"/>
              </w:rPr>
            </w:pPr>
          </w:p>
        </w:tc>
      </w:tr>
      <w:tr>
        <w:trPr>
          <w:trHeight w:val="283"/>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 (loss)</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240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2,407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3,264</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(14,775)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(10,456)</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(59,013)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(60,535)</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basic and diluted</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(0.36)</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(0.27)</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in computing net loss per share, basic and</w:t>
            </w: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41,489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38,704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39,652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32,980</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diluted</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FLUIDIGM CORPORATION</w:t>
      </w:r>
    </w:p>
    <w:p>
      <w:pPr>
        <w:spacing w:after="0" w:line="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i w:val="1"/>
          <w:i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91"/>
        </w:trPr>
        <w:tc>
          <w:tcPr>
            <w:tcW w:w="6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December 31, 2018</w:t>
            </w:r>
          </w:p>
        </w:tc>
        <w:tc>
          <w:tcPr>
            <w:tcW w:w="320" w:type="dxa"/>
            <w:vAlign w:val="bottom"/>
          </w:tcPr>
          <w:p>
            <w:pPr>
              <w:spacing w:after="0"/>
              <w:rPr>
                <w:sz w:val="24"/>
                <w:szCs w:val="24"/>
                <w:color w:val="auto"/>
              </w:rPr>
            </w:pPr>
          </w:p>
        </w:tc>
        <w:tc>
          <w:tcPr>
            <w:tcW w:w="23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4"/>
              </w:rPr>
              <w:t xml:space="preserve">December 31, 2017 </w:t>
            </w:r>
            <w:r>
              <w:rPr>
                <w:rFonts w:ascii="Times New Roman" w:cs="Times New Roman" w:eastAsia="Times New Roman" w:hAnsi="Times New Roman"/>
                <w:sz w:val="36"/>
                <w:szCs w:val="36"/>
                <w:b w:val="1"/>
                <w:bCs w:val="1"/>
                <w:color w:val="auto"/>
                <w:w w:val="94"/>
                <w:vertAlign w:val="subscript"/>
              </w:rPr>
              <w:t>(1)</w:t>
            </w:r>
          </w:p>
        </w:tc>
        <w:tc>
          <w:tcPr>
            <w:tcW w:w="0" w:type="dxa"/>
            <w:vAlign w:val="bottom"/>
          </w:tcPr>
          <w:p>
            <w:pPr>
              <w:spacing w:after="0"/>
              <w:rPr>
                <w:sz w:val="1"/>
                <w:szCs w:val="1"/>
                <w:color w:val="auto"/>
              </w:rPr>
            </w:pPr>
          </w:p>
        </w:tc>
      </w:tr>
      <w:tr>
        <w:trPr>
          <w:trHeight w:val="521"/>
        </w:trPr>
        <w:tc>
          <w:tcPr>
            <w:tcW w:w="6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95,401</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58,056</w:t>
            </w: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Short-term investments</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5,080</w:t>
            </w: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Accounts receivable, net</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15,049</w:t>
            </w: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Inventories</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15,088</w:t>
            </w:r>
          </w:p>
        </w:tc>
        <w:tc>
          <w:tcPr>
            <w:tcW w:w="0" w:type="dxa"/>
            <w:vAlign w:val="bottom"/>
          </w:tcPr>
          <w:p>
            <w:pPr>
              <w:spacing w:after="0"/>
              <w:rPr>
                <w:sz w:val="1"/>
                <w:szCs w:val="1"/>
                <w:color w:val="auto"/>
              </w:rPr>
            </w:pPr>
          </w:p>
        </w:tc>
      </w:tr>
      <w:tr>
        <w:trPr>
          <w:trHeight w:val="283"/>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1,528</w:t>
            </w:r>
          </w:p>
        </w:tc>
        <w:tc>
          <w:tcPr>
            <w:tcW w:w="0" w:type="dxa"/>
            <w:vAlign w:val="bottom"/>
          </w:tcPr>
          <w:p>
            <w:pPr>
              <w:spacing w:after="0"/>
              <w:rPr>
                <w:sz w:val="1"/>
                <w:szCs w:val="1"/>
                <w:color w:val="auto"/>
              </w:rPr>
            </w:pPr>
          </w:p>
        </w:tc>
      </w:tr>
      <w:tr>
        <w:trPr>
          <w:trHeight w:val="251"/>
        </w:trPr>
        <w:tc>
          <w:tcPr>
            <w:tcW w:w="62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280" w:type="dxa"/>
            <w:vAlign w:val="bottom"/>
          </w:tcPr>
          <w:p>
            <w:pPr>
              <w:spacing w:after="0"/>
              <w:rPr>
                <w:sz w:val="21"/>
                <w:szCs w:val="21"/>
                <w:color w:val="auto"/>
              </w:rPr>
            </w:pPr>
          </w:p>
        </w:tc>
        <w:tc>
          <w:tcPr>
            <w:tcW w:w="2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127,106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94,801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12,301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Other non-current assets</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Developed technology, net</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57,400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68,600</w:t>
            </w:r>
          </w:p>
        </w:tc>
        <w:tc>
          <w:tcPr>
            <w:tcW w:w="0" w:type="dxa"/>
            <w:vAlign w:val="bottom"/>
          </w:tcPr>
          <w:p>
            <w:pPr>
              <w:spacing w:after="0"/>
              <w:rPr>
                <w:sz w:val="1"/>
                <w:szCs w:val="1"/>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104,108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104,108</w:t>
            </w:r>
          </w:p>
        </w:tc>
        <w:tc>
          <w:tcPr>
            <w:tcW w:w="0" w:type="dxa"/>
            <w:vAlign w:val="bottom"/>
          </w:tcPr>
          <w:p>
            <w:pPr>
              <w:spacing w:after="0"/>
              <w:rPr>
                <w:sz w:val="1"/>
                <w:szCs w:val="1"/>
                <w:color w:val="auto"/>
              </w:rPr>
            </w:pPr>
          </w:p>
        </w:tc>
      </w:tr>
      <w:tr>
        <w:trPr>
          <w:trHeight w:val="264"/>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303,647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287,351</w:t>
            </w:r>
          </w:p>
        </w:tc>
        <w:tc>
          <w:tcPr>
            <w:tcW w:w="0" w:type="dxa"/>
            <w:vAlign w:val="bottom"/>
          </w:tcPr>
          <w:p>
            <w:pPr>
              <w:spacing w:after="0"/>
              <w:rPr>
                <w:sz w:val="1"/>
                <w:szCs w:val="1"/>
                <w:color w:val="auto"/>
              </w:rPr>
            </w:pPr>
          </w:p>
        </w:tc>
      </w:tr>
      <w:tr>
        <w:trPr>
          <w:trHeight w:val="21"/>
        </w:trPr>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Accounts payable</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4,027</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4,211</w:t>
            </w: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Accrued compensation and related benefits</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10,535</w:t>
            </w:r>
          </w:p>
        </w:tc>
        <w:tc>
          <w:tcPr>
            <w:tcW w:w="0" w:type="dxa"/>
            <w:vAlign w:val="bottom"/>
          </w:tcPr>
          <w:p>
            <w:pPr>
              <w:spacing w:after="0"/>
              <w:rPr>
                <w:sz w:val="1"/>
                <w:szCs w:val="1"/>
                <w:color w:val="auto"/>
              </w:rPr>
            </w:pPr>
          </w:p>
        </w:tc>
      </w:tr>
      <w:tr>
        <w:trPr>
          <w:trHeight w:val="270"/>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 accrued liabilities</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8,490</w:t>
            </w:r>
          </w:p>
        </w:tc>
        <w:tc>
          <w:tcPr>
            <w:tcW w:w="0" w:type="dxa"/>
            <w:vAlign w:val="bottom"/>
          </w:tcPr>
          <w:p>
            <w:pPr>
              <w:spacing w:after="0"/>
              <w:rPr>
                <w:sz w:val="1"/>
                <w:szCs w:val="1"/>
                <w:color w:val="auto"/>
              </w:rPr>
            </w:pPr>
          </w:p>
        </w:tc>
      </w:tr>
      <w:tr>
        <w:trPr>
          <w:trHeight w:val="283"/>
        </w:trPr>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Deferred revenue, current portion</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11,464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10,238</w:t>
            </w:r>
          </w:p>
        </w:tc>
        <w:tc>
          <w:tcPr>
            <w:tcW w:w="0" w:type="dxa"/>
            <w:vAlign w:val="bottom"/>
          </w:tcPr>
          <w:p>
            <w:pPr>
              <w:spacing w:after="0"/>
              <w:rPr>
                <w:sz w:val="1"/>
                <w:szCs w:val="1"/>
                <w:color w:val="auto"/>
              </w:rPr>
            </w:pPr>
          </w:p>
        </w:tc>
      </w:tr>
      <w:tr>
        <w:trPr>
          <w:trHeight w:val="251"/>
        </w:trPr>
        <w:tc>
          <w:tcPr>
            <w:tcW w:w="62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280" w:type="dxa"/>
            <w:vAlign w:val="bottom"/>
          </w:tcPr>
          <w:p>
            <w:pPr>
              <w:spacing w:after="0"/>
              <w:rPr>
                <w:sz w:val="21"/>
                <w:szCs w:val="21"/>
                <w:color w:val="auto"/>
              </w:rPr>
            </w:pPr>
          </w:p>
        </w:tc>
        <w:tc>
          <w:tcPr>
            <w:tcW w:w="2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33,474</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Convertible notes, net</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172,058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195,238</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 net</w:t>
            </w: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16,919</w:t>
            </w:r>
          </w:p>
        </w:tc>
        <w:tc>
          <w:tcPr>
            <w:tcW w:w="0" w:type="dxa"/>
            <w:vAlign w:val="bottom"/>
          </w:tcPr>
          <w:p>
            <w:pPr>
              <w:spacing w:after="0"/>
              <w:rPr>
                <w:sz w:val="1"/>
                <w:szCs w:val="1"/>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8,177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10,785</w:t>
            </w:r>
          </w:p>
        </w:tc>
        <w:tc>
          <w:tcPr>
            <w:tcW w:w="0" w:type="dxa"/>
            <w:vAlign w:val="bottom"/>
          </w:tcPr>
          <w:p>
            <w:pPr>
              <w:spacing w:after="0"/>
              <w:rPr>
                <w:sz w:val="1"/>
                <w:szCs w:val="1"/>
                <w:color w:val="auto"/>
              </w:rPr>
            </w:pPr>
          </w:p>
        </w:tc>
      </w:tr>
      <w:tr>
        <w:trPr>
          <w:trHeight w:val="251"/>
        </w:trPr>
        <w:tc>
          <w:tcPr>
            <w:tcW w:w="62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liabilities</w:t>
            </w:r>
          </w:p>
        </w:tc>
        <w:tc>
          <w:tcPr>
            <w:tcW w:w="280" w:type="dxa"/>
            <w:vAlign w:val="bottom"/>
          </w:tcPr>
          <w:p>
            <w:pPr>
              <w:spacing w:after="0"/>
              <w:rPr>
                <w:sz w:val="21"/>
                <w:szCs w:val="21"/>
                <w:color w:val="auto"/>
              </w:rPr>
            </w:pPr>
          </w:p>
        </w:tc>
        <w:tc>
          <w:tcPr>
            <w:tcW w:w="2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231,531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256,416</w:t>
            </w:r>
          </w:p>
        </w:tc>
        <w:tc>
          <w:tcPr>
            <w:tcW w:w="0" w:type="dxa"/>
            <w:vAlign w:val="bottom"/>
          </w:tcPr>
          <w:p>
            <w:pPr>
              <w:spacing w:after="0"/>
              <w:rPr>
                <w:sz w:val="1"/>
                <w:szCs w:val="1"/>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30,935</w:t>
            </w:r>
          </w:p>
        </w:tc>
        <w:tc>
          <w:tcPr>
            <w:tcW w:w="0" w:type="dxa"/>
            <w:vAlign w:val="bottom"/>
          </w:tcPr>
          <w:p>
            <w:pPr>
              <w:spacing w:after="0"/>
              <w:rPr>
                <w:sz w:val="1"/>
                <w:szCs w:val="1"/>
                <w:color w:val="auto"/>
              </w:rPr>
            </w:pPr>
          </w:p>
        </w:tc>
      </w:tr>
      <w:tr>
        <w:trPr>
          <w:trHeight w:val="264"/>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303,647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287,351</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Derived from audited consolidated financial statements</w:t>
      </w:r>
    </w:p>
    <w:p>
      <w:pPr>
        <w:sectPr>
          <w:pgSz w:w="11900" w:h="16838" w:orient="portrait"/>
          <w:cols w:equalWidth="0" w:num="1">
            <w:col w:w="11400"/>
          </w:cols>
          <w:pgMar w:left="260" w:top="111" w:right="239" w:bottom="783"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FLUIDIGM CORPORATION</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w w:val="98"/>
              </w:rPr>
              <w:t>Twelve Months Ended December 31,</w:t>
            </w:r>
          </w:p>
        </w:tc>
        <w:tc>
          <w:tcPr>
            <w:tcW w:w="0" w:type="dxa"/>
            <w:vAlign w:val="bottom"/>
          </w:tcPr>
          <w:p>
            <w:pPr>
              <w:spacing w:after="0"/>
              <w:rPr>
                <w:sz w:val="1"/>
                <w:szCs w:val="1"/>
                <w:color w:val="auto"/>
              </w:rPr>
            </w:pPr>
          </w:p>
        </w:tc>
      </w:tr>
      <w:tr>
        <w:trPr>
          <w:trHeight w:val="264"/>
        </w:trPr>
        <w:tc>
          <w:tcPr>
            <w:tcW w:w="7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2017</w:t>
            </w:r>
          </w:p>
        </w:tc>
        <w:tc>
          <w:tcPr>
            <w:tcW w:w="0" w:type="dxa"/>
            <w:vAlign w:val="bottom"/>
          </w:tcPr>
          <w:p>
            <w:pPr>
              <w:spacing w:after="0"/>
              <w:rPr>
                <w:sz w:val="1"/>
                <w:szCs w:val="1"/>
                <w:color w:val="auto"/>
              </w:rPr>
            </w:pPr>
          </w:p>
        </w:tc>
      </w:tr>
      <w:tr>
        <w:trPr>
          <w:trHeight w:val="250"/>
        </w:trPr>
        <w:tc>
          <w:tcPr>
            <w:tcW w:w="7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(59,013)</w:t>
            </w:r>
          </w:p>
        </w:tc>
        <w:tc>
          <w:tcPr>
            <w:tcW w:w="140" w:type="dxa"/>
            <w:vAlign w:val="bottom"/>
          </w:tcPr>
          <w:p>
            <w:pPr>
              <w:spacing w:after="0"/>
              <w:rPr>
                <w:sz w:val="23"/>
                <w:szCs w:val="23"/>
                <w:color w:val="auto"/>
              </w:rPr>
            </w:pP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(60,535)</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5,372</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7,409</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11,023</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9,092</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11,200</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11,200</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debt discounts, premiums and issuance costs</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8,379</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287</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141</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Other non-cash items</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175</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(890)</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Changes in assets and liabilities, net</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(2,478)</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9,204</w:t>
            </w:r>
          </w:p>
        </w:tc>
        <w:tc>
          <w:tcPr>
            <w:tcW w:w="0" w:type="dxa"/>
            <w:vAlign w:val="bottom"/>
          </w:tcPr>
          <w:p>
            <w:pPr>
              <w:spacing w:after="0"/>
              <w:rPr>
                <w:sz w:val="1"/>
                <w:szCs w:val="1"/>
                <w:color w:val="auto"/>
              </w:rPr>
            </w:pPr>
          </w:p>
        </w:tc>
      </w:tr>
      <w:tr>
        <w:trPr>
          <w:trHeight w:val="278"/>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(24,098)</w:t>
            </w:r>
          </w:p>
        </w:tc>
        <w:tc>
          <w:tcPr>
            <w:tcW w:w="0" w:type="dxa"/>
            <w:vAlign w:val="bottom"/>
          </w:tcPr>
          <w:p>
            <w:pPr>
              <w:spacing w:after="0"/>
              <w:rPr>
                <w:sz w:val="1"/>
                <w:szCs w:val="1"/>
                <w:color w:val="auto"/>
              </w:rPr>
            </w:pPr>
          </w:p>
        </w:tc>
      </w:tr>
      <w:tr>
        <w:trPr>
          <w:trHeight w:val="51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Investing activities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(1,450)</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(6,276)</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Proceeds from sales and maturities of investments</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6,541</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25,550</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Purchases of intangible assets</w:t>
            </w:r>
          </w:p>
        </w:tc>
        <w:tc>
          <w:tcPr>
            <w:tcW w:w="260" w:type="dxa"/>
            <w:vAlign w:val="bottom"/>
          </w:tcPr>
          <w:p>
            <w:pPr>
              <w:spacing w:after="0"/>
              <w:rPr>
                <w:sz w:val="23"/>
                <w:szCs w:val="23"/>
                <w:color w:val="auto"/>
              </w:rPr>
            </w:pP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Purchases of property and equipment</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(372)</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(1,566)</w:t>
            </w:r>
          </w:p>
        </w:tc>
        <w:tc>
          <w:tcPr>
            <w:tcW w:w="0" w:type="dxa"/>
            <w:vAlign w:val="bottom"/>
          </w:tcPr>
          <w:p>
            <w:pPr>
              <w:spacing w:after="0"/>
              <w:rPr>
                <w:sz w:val="1"/>
                <w:szCs w:val="1"/>
                <w:color w:val="auto"/>
              </w:rPr>
            </w:pPr>
          </w:p>
        </w:tc>
      </w:tr>
      <w:tr>
        <w:trPr>
          <w:trHeight w:val="278"/>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investing activities</w:t>
            </w:r>
          </w:p>
        </w:tc>
        <w:tc>
          <w:tcPr>
            <w:tcW w:w="26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4,719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17,658</w:t>
            </w:r>
          </w:p>
        </w:tc>
        <w:tc>
          <w:tcPr>
            <w:tcW w:w="0" w:type="dxa"/>
            <w:vAlign w:val="bottom"/>
          </w:tcPr>
          <w:p>
            <w:pPr>
              <w:spacing w:after="0"/>
              <w:rPr>
                <w:sz w:val="1"/>
                <w:szCs w:val="1"/>
                <w:color w:val="auto"/>
              </w:rPr>
            </w:pPr>
          </w:p>
        </w:tc>
      </w:tr>
      <w:tr>
        <w:trPr>
          <w:trHeight w:val="51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Payment of debt and equity issuance costs</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(2,862)</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Proceeds from issuance of common stock</w:t>
            </w:r>
          </w:p>
        </w:tc>
        <w:tc>
          <w:tcPr>
            <w:tcW w:w="26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59,469</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28,793</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Proceeds from employee equity programs, net</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1,053</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204</w:t>
            </w:r>
          </w:p>
        </w:tc>
        <w:tc>
          <w:tcPr>
            <w:tcW w:w="0" w:type="dxa"/>
            <w:vAlign w:val="bottom"/>
          </w:tcPr>
          <w:p>
            <w:pPr>
              <w:spacing w:after="0"/>
              <w:rPr>
                <w:sz w:val="1"/>
                <w:szCs w:val="1"/>
                <w:color w:val="auto"/>
              </w:rPr>
            </w:pPr>
          </w:p>
        </w:tc>
      </w:tr>
      <w:tr>
        <w:trPr>
          <w:trHeight w:val="278"/>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26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57,660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28,997</w:t>
            </w:r>
          </w:p>
        </w:tc>
        <w:tc>
          <w:tcPr>
            <w:tcW w:w="0" w:type="dxa"/>
            <w:vAlign w:val="bottom"/>
          </w:tcPr>
          <w:p>
            <w:pPr>
              <w:spacing w:after="0"/>
              <w:rPr>
                <w:sz w:val="1"/>
                <w:szCs w:val="1"/>
                <w:color w:val="auto"/>
              </w:rPr>
            </w:pPr>
          </w:p>
        </w:tc>
      </w:tr>
      <w:tr>
        <w:trPr>
          <w:trHeight w:val="526"/>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fluctuations on cash and cash equivalents</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167</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454</w:t>
            </w:r>
          </w:p>
        </w:tc>
        <w:tc>
          <w:tcPr>
            <w:tcW w:w="0" w:type="dxa"/>
            <w:vAlign w:val="bottom"/>
          </w:tcPr>
          <w:p>
            <w:pPr>
              <w:spacing w:after="0"/>
              <w:rPr>
                <w:sz w:val="1"/>
                <w:szCs w:val="1"/>
                <w:color w:val="auto"/>
              </w:rPr>
            </w:pPr>
          </w:p>
        </w:tc>
      </w:tr>
      <w:tr>
        <w:trPr>
          <w:trHeight w:val="251"/>
        </w:trPr>
        <w:tc>
          <w:tcPr>
            <w:tcW w:w="7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increase in cash and cash equivalents</w:t>
            </w:r>
          </w:p>
        </w:tc>
        <w:tc>
          <w:tcPr>
            <w:tcW w:w="260" w:type="dxa"/>
            <w:vAlign w:val="bottom"/>
          </w:tcPr>
          <w:p>
            <w:pPr>
              <w:spacing w:after="0"/>
              <w:rPr>
                <w:sz w:val="21"/>
                <w:szCs w:val="21"/>
                <w:color w:val="auto"/>
              </w:rPr>
            </w:pPr>
          </w:p>
        </w:tc>
        <w:tc>
          <w:tcPr>
            <w:tcW w:w="1640" w:type="dxa"/>
            <w:vAlign w:val="bottom"/>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rPr>
              <w:t>37,345</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23,011</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58,056</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35,045</w:t>
            </w:r>
          </w:p>
        </w:tc>
        <w:tc>
          <w:tcPr>
            <w:tcW w:w="0" w:type="dxa"/>
            <w:vAlign w:val="bottom"/>
          </w:tcPr>
          <w:p>
            <w:pPr>
              <w:spacing w:after="0"/>
              <w:rPr>
                <w:sz w:val="1"/>
                <w:szCs w:val="1"/>
                <w:color w:val="auto"/>
              </w:rPr>
            </w:pPr>
          </w:p>
        </w:tc>
      </w:tr>
      <w:tr>
        <w:trPr>
          <w:trHeight w:val="264"/>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95,401</w:t>
            </w: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58,056</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FLUIDIGM CORPORATION</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324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rPr>
              <w:t>Twelve Months Ended December</w:t>
            </w:r>
          </w:p>
        </w:tc>
        <w:tc>
          <w:tcPr>
            <w:tcW w:w="0" w:type="dxa"/>
            <w:vAlign w:val="bottom"/>
          </w:tcPr>
          <w:p>
            <w:pPr>
              <w:spacing w:after="0"/>
              <w:rPr>
                <w:sz w:val="1"/>
                <w:szCs w:val="1"/>
                <w:color w:val="auto"/>
              </w:rPr>
            </w:pPr>
          </w:p>
        </w:tc>
      </w:tr>
      <w:tr>
        <w:trPr>
          <w:trHeight w:val="287"/>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4"/>
              </w:rPr>
              <w:t>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c>
          <w:tcPr>
            <w:tcW w:w="0" w:type="dxa"/>
            <w:vAlign w:val="bottom"/>
          </w:tcPr>
          <w:p>
            <w:pPr>
              <w:spacing w:after="0"/>
              <w:rPr>
                <w:sz w:val="1"/>
                <w:szCs w:val="1"/>
                <w:color w:val="auto"/>
              </w:rPr>
            </w:pPr>
          </w:p>
        </w:tc>
      </w:tr>
      <w:tr>
        <w:trPr>
          <w:trHeight w:val="52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Net loss (GAAP)</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(14,775)</w:t>
            </w:r>
          </w:p>
        </w:tc>
        <w:tc>
          <w:tcPr>
            <w:tcW w:w="580" w:type="dxa"/>
            <w:vAlign w:val="bottom"/>
            <w:gridSpan w:val="3"/>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(10,456)</w:t>
            </w:r>
          </w:p>
        </w:tc>
        <w:tc>
          <w:tcPr>
            <w:tcW w:w="12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(59,013)</w:t>
            </w:r>
          </w:p>
        </w:tc>
        <w:tc>
          <w:tcPr>
            <w:tcW w:w="620" w:type="dxa"/>
            <w:vAlign w:val="bottom"/>
            <w:gridSpan w:val="3"/>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(60,535)</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9,092</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11,200</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5,824</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(b)</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7,091</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Benefit from acquisition related income taxes (c)</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(2,968)</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134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Net loss (Non-GAAP)</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(2,386)</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(2,989)</w:t>
            </w:r>
          </w:p>
        </w:tc>
        <w:tc>
          <w:tcPr>
            <w:tcW w:w="120" w:type="dxa"/>
            <w:vAlign w:val="bottom"/>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(20,744)</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(30,161)</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in net loss per share calculation -</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8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41,489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38,704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39,652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32,980</w:t>
            </w:r>
          </w:p>
        </w:tc>
        <w:tc>
          <w:tcPr>
            <w:tcW w:w="0" w:type="dxa"/>
            <w:vAlign w:val="bottom"/>
          </w:tcPr>
          <w:p>
            <w:pPr>
              <w:spacing w:after="0"/>
              <w:rPr>
                <w:sz w:val="1"/>
                <w:szCs w:val="1"/>
                <w:color w:val="auto"/>
              </w:rPr>
            </w:pPr>
          </w:p>
        </w:tc>
      </w:tr>
      <w:tr>
        <w:trPr>
          <w:trHeight w:val="272"/>
        </w:trPr>
        <w:tc>
          <w:tcPr>
            <w:tcW w:w="4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 and diluted (GAAP and Non-GAAP)</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 basic and diluted (GAAP)</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(0.36)</w:t>
            </w:r>
          </w:p>
        </w:tc>
        <w:tc>
          <w:tcPr>
            <w:tcW w:w="580" w:type="dxa"/>
            <w:vAlign w:val="bottom"/>
            <w:gridSpan w:val="3"/>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(0.27)</w:t>
            </w:r>
          </w:p>
        </w:tc>
        <w:tc>
          <w:tcPr>
            <w:tcW w:w="12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c>
          <w:tcPr>
            <w:tcW w:w="620" w:type="dxa"/>
            <w:vAlign w:val="bottom"/>
            <w:gridSpan w:val="3"/>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(1.84)</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60" w:top="108" w:right="339" w:bottom="0" w:gutter="0" w:footer="0" w:header="0"/>
        </w:sectPr>
      </w:pPr>
    </w:p>
    <w:bookmarkStart w:id="9" w:name="page10"/>
    <w:bookmarkEnd w:id="9"/>
    <w:p>
      <w:pPr>
        <w:spacing w:after="0"/>
        <w:tabs>
          <w:tab w:leader="none" w:pos="4820" w:val="left"/>
          <w:tab w:leader="none" w:pos="5620" w:val="left"/>
          <w:tab w:leader="none" w:pos="6460" w:val="left"/>
          <w:tab w:leader="none" w:pos="7260" w:val="left"/>
          <w:tab w:leader="none" w:pos="8140" w:val="left"/>
          <w:tab w:leader="none" w:pos="8940" w:val="left"/>
          <w:tab w:leader="none" w:pos="9820" w:val="left"/>
          <w:tab w:leader="none" w:pos="10600" w:val="left"/>
        </w:tabs>
        <w:rPr>
          <w:sz w:val="20"/>
          <w:szCs w:val="20"/>
          <w:color w:val="auto"/>
        </w:rPr>
      </w:pPr>
      <w:r>
        <w:rPr>
          <w:rFonts w:ascii="Times New Roman" w:cs="Times New Roman" w:eastAsia="Times New Roman" w:hAnsi="Times New Roman"/>
          <w:sz w:val="22"/>
          <w:szCs w:val="22"/>
          <w:color w:val="auto"/>
        </w:rPr>
        <w:t>Net loss per share - basic and diluted (Non-GAAP)</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(0.06)</w:t>
        <w:tab/>
        <w:t>$</w:t>
      </w:r>
      <w:r>
        <w:rPr>
          <w:sz w:val="20"/>
          <w:szCs w:val="20"/>
          <w:color w:val="auto"/>
        </w:rPr>
        <w:tab/>
      </w:r>
      <w:r>
        <w:rPr>
          <w:rFonts w:ascii="Times New Roman" w:cs="Times New Roman" w:eastAsia="Times New Roman" w:hAnsi="Times New Roman"/>
          <w:sz w:val="22"/>
          <w:szCs w:val="22"/>
          <w:color w:val="auto"/>
        </w:rPr>
        <w:t>(0.08)</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(0.52)</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20320</wp:posOffset>
            </wp:positionV>
            <wp:extent cx="411670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67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PRODUCT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2"/>
                <w:szCs w:val="22"/>
                <w:color w:val="auto"/>
              </w:rPr>
            </w:pPr>
          </w:p>
        </w:tc>
        <w:tc>
          <w:tcPr>
            <w:tcW w:w="3260" w:type="dxa"/>
            <w:vAlign w:val="bottom"/>
            <w:gridSpan w:val="7"/>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Three Months Ended December</w:t>
            </w:r>
          </w:p>
        </w:tc>
        <w:tc>
          <w:tcPr>
            <w:tcW w:w="324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rPr>
              <w:t>Twelve Months Ended December</w:t>
            </w:r>
          </w:p>
        </w:tc>
      </w:tr>
      <w:tr>
        <w:trPr>
          <w:trHeight w:val="287"/>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31,</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w w:val="99"/>
              </w:rPr>
              <w:t>2017</w:t>
            </w:r>
          </w:p>
        </w:tc>
      </w:tr>
      <w:tr>
        <w:trPr>
          <w:trHeight w:val="250"/>
        </w:trPr>
        <w:tc>
          <w:tcPr>
            <w:tcW w:w="48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Product margin (GAAP)</w:t>
            </w: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15,310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11,037</w:t>
            </w:r>
          </w:p>
        </w:tc>
        <w:tc>
          <w:tcPr>
            <w:tcW w:w="120" w:type="dxa"/>
            <w:vAlign w:val="bottom"/>
          </w:tcPr>
          <w:p>
            <w:pPr>
              <w:spacing w:after="0"/>
              <w:rPr>
                <w:sz w:val="21"/>
                <w:szCs w:val="21"/>
                <w:color w:val="auto"/>
              </w:rPr>
            </w:pPr>
          </w:p>
        </w:tc>
        <w:tc>
          <w:tcPr>
            <w:tcW w:w="38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48,789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1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39,360</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11,200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11,200</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2,165</w:t>
            </w: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 (d)</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303</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223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853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1,077</w:t>
            </w: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Product margin (Non-GAAP)</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18,901</w:t>
            </w:r>
          </w:p>
        </w:tc>
        <w:tc>
          <w:tcPr>
            <w:tcW w:w="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14,598</w:t>
            </w:r>
          </w:p>
        </w:tc>
        <w:tc>
          <w:tcPr>
            <w:tcW w:w="120" w:type="dxa"/>
            <w:vAlign w:val="bottom"/>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62,821</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53,802</w:t>
            </w:r>
          </w:p>
        </w:tc>
      </w:tr>
      <w:tr>
        <w:trPr>
          <w:trHeight w:val="21"/>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Product margin percentage (GAAP)</w:t>
            </w: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w:t>
            </w: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Product margin percentage (Non-GAAP)</w:t>
            </w: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69.6%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63.7%</w:t>
            </w:r>
          </w:p>
        </w:tc>
      </w:tr>
      <w:tr>
        <w:trPr>
          <w:trHeight w:val="810"/>
        </w:trPr>
        <w:tc>
          <w:tcPr>
            <w:tcW w:w="10260" w:type="dxa"/>
            <w:vAlign w:val="bottom"/>
            <w:gridSpan w:val="13"/>
          </w:tcPr>
          <w:p>
            <w:pPr>
              <w:ind w:left="1060"/>
              <w:spacing w:after="0"/>
              <w:rPr>
                <w:sz w:val="20"/>
                <w:szCs w:val="20"/>
                <w:color w:val="auto"/>
              </w:rPr>
            </w:pPr>
            <w:r>
              <w:rPr>
                <w:rFonts w:ascii="Times New Roman" w:cs="Times New Roman" w:eastAsia="Times New Roman" w:hAnsi="Times New Roman"/>
                <w:sz w:val="22"/>
                <w:szCs w:val="22"/>
                <w:b w:val="1"/>
                <w:bCs w:val="1"/>
                <w:color w:val="auto"/>
                <w:w w:val="97"/>
              </w:rPr>
              <w:t>ITEMIZED RECONCILIATION BETWEEN GAAP AND NON-GAAP OPERATING EXPENSES</w:t>
            </w:r>
          </w:p>
        </w:tc>
        <w:tc>
          <w:tcPr>
            <w:tcW w:w="1040" w:type="dxa"/>
            <w:vAlign w:val="bottom"/>
          </w:tcPr>
          <w:p>
            <w:pPr>
              <w:spacing w:after="0"/>
              <w:rPr>
                <w:sz w:val="24"/>
                <w:szCs w:val="24"/>
                <w:color w:val="auto"/>
              </w:rPr>
            </w:pPr>
          </w:p>
        </w:tc>
      </w:tr>
      <w:tr>
        <w:trPr>
          <w:trHeight w:val="497"/>
        </w:trPr>
        <w:tc>
          <w:tcPr>
            <w:tcW w:w="4800" w:type="dxa"/>
            <w:vAlign w:val="bottom"/>
          </w:tcPr>
          <w:p>
            <w:pPr>
              <w:spacing w:after="0"/>
              <w:rPr>
                <w:sz w:val="24"/>
                <w:szCs w:val="24"/>
                <w:color w:val="auto"/>
              </w:rPr>
            </w:pPr>
          </w:p>
        </w:tc>
        <w:tc>
          <w:tcPr>
            <w:tcW w:w="3260" w:type="dxa"/>
            <w:vAlign w:val="bottom"/>
            <w:gridSpan w:val="7"/>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Three Months Ended December</w:t>
            </w:r>
          </w:p>
        </w:tc>
        <w:tc>
          <w:tcPr>
            <w:tcW w:w="324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rPr>
              <w:t>Twelve Months Ended December</w:t>
            </w:r>
          </w:p>
        </w:tc>
      </w:tr>
      <w:tr>
        <w:trPr>
          <w:trHeight w:val="287"/>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31,</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w w:val="99"/>
              </w:rPr>
              <w:t>2017</w:t>
            </w:r>
          </w:p>
        </w:tc>
      </w:tr>
      <w:tr>
        <w:trPr>
          <w:trHeight w:val="250"/>
        </w:trPr>
        <w:tc>
          <w:tcPr>
            <w:tcW w:w="48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expenses (GAAP)</w:t>
            </w: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29,929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23,021</w:t>
            </w:r>
          </w:p>
        </w:tc>
        <w:tc>
          <w:tcPr>
            <w:tcW w:w="120" w:type="dxa"/>
            <w:vAlign w:val="bottom"/>
          </w:tcPr>
          <w:p>
            <w:pPr>
              <w:spacing w:after="0"/>
              <w:rPr>
                <w:sz w:val="21"/>
                <w:szCs w:val="21"/>
                <w:color w:val="auto"/>
              </w:rPr>
            </w:pPr>
          </w:p>
        </w:tc>
        <w:tc>
          <w:tcPr>
            <w:tcW w:w="38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109,813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1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110,342</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 (e)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(1,772)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(10,170)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(8,015)</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(3,393)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(4,926)</w:t>
            </w: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 (e)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(134)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(141)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(135)</w:t>
            </w: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 (Non-GAAP)</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24,365</w:t>
            </w:r>
          </w:p>
        </w:tc>
        <w:tc>
          <w:tcPr>
            <w:tcW w:w="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20,139</w:t>
            </w:r>
          </w:p>
        </w:tc>
        <w:tc>
          <w:tcPr>
            <w:tcW w:w="120" w:type="dxa"/>
            <w:vAlign w:val="bottom"/>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96,109</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97,266</w:t>
            </w:r>
          </w:p>
        </w:tc>
      </w:tr>
      <w:tr>
        <w:trPr>
          <w:trHeight w:val="21"/>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324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rPr>
              <w:t>Twelve Months Ended December</w:t>
            </w:r>
          </w:p>
        </w:tc>
      </w:tr>
      <w:tr>
        <w:trPr>
          <w:trHeight w:val="287"/>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4"/>
              </w:rPr>
              <w:t>31,</w:t>
            </w:r>
          </w:p>
        </w:tc>
        <w:tc>
          <w:tcPr>
            <w:tcW w:w="118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2017</w:t>
            </w:r>
          </w:p>
        </w:tc>
      </w:tr>
      <w:tr>
        <w:trPr>
          <w:trHeight w:val="250"/>
        </w:trPr>
        <w:tc>
          <w:tcPr>
            <w:tcW w:w="48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Loss from operations (GAAP)</w:t>
            </w: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(11,118)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(8,734)</w:t>
            </w:r>
          </w:p>
        </w:tc>
        <w:tc>
          <w:tcPr>
            <w:tcW w:w="120" w:type="dxa"/>
            <w:vAlign w:val="bottom"/>
          </w:tcPr>
          <w:p>
            <w:pPr>
              <w:spacing w:after="0"/>
              <w:rPr>
                <w:sz w:val="21"/>
                <w:szCs w:val="21"/>
                <w:color w:val="auto"/>
              </w:rPr>
            </w:pPr>
          </w:p>
        </w:tc>
        <w:tc>
          <w:tcPr>
            <w:tcW w:w="38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(48,164)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52"/>
              <w:spacing w:after="0" w:line="249" w:lineRule="exact"/>
              <w:rPr>
                <w:sz w:val="20"/>
                <w:szCs w:val="20"/>
                <w:color w:val="auto"/>
              </w:rPr>
            </w:pPr>
            <w:r>
              <w:rPr>
                <w:rFonts w:ascii="Times New Roman" w:cs="Times New Roman" w:eastAsia="Times New Roman" w:hAnsi="Times New Roman"/>
                <w:sz w:val="22"/>
                <w:szCs w:val="22"/>
                <w:color w:val="auto"/>
              </w:rPr>
              <w:t>(58,360)</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9,092</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11,200</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7,091</w:t>
            </w: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 (e)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134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135</w:t>
            </w: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Loss from operations (Non-GAAP)</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(1,963)</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(2,291)</w:t>
            </w:r>
          </w:p>
        </w:tc>
        <w:tc>
          <w:tcPr>
            <w:tcW w:w="120" w:type="dxa"/>
            <w:vAlign w:val="bottom"/>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(20,427)</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(30,842)</w:t>
            </w:r>
          </w:p>
        </w:tc>
      </w:tr>
      <w:tr>
        <w:trPr>
          <w:trHeight w:val="21"/>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560" w:firstLine="2"/>
        <w:spacing w:after="0" w:line="249" w:lineRule="auto"/>
        <w:tabs>
          <w:tab w:leader="none" w:pos="29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amortization of developed technology in connection with the DVS acquisition</w:t>
      </w:r>
    </w:p>
    <w:p>
      <w:pPr>
        <w:ind w:right="7500" w:firstLine="2"/>
        <w:spacing w:after="0" w:line="243" w:lineRule="auto"/>
        <w:tabs>
          <w:tab w:leader="none" w:pos="30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interest expense, primarily on convertible debt</w:t>
      </w:r>
    </w:p>
    <w:p>
      <w:pPr>
        <w:ind w:right="5500" w:firstLine="2"/>
        <w:spacing w:after="0" w:line="243" w:lineRule="auto"/>
        <w:tabs>
          <w:tab w:leader="none" w:pos="29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tax impact on the purchase of intangible assets in connection with the DVS acquisition</w:t>
      </w:r>
    </w:p>
    <w:p>
      <w:pPr>
        <w:ind w:left="300" w:hanging="298"/>
        <w:spacing w:after="0"/>
        <w:tabs>
          <w:tab w:leader="none" w:pos="3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expense associated with cost of product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w:t>
      </w:r>
    </w:p>
    <w:p>
      <w:pPr>
        <w:spacing w:after="0" w:line="6" w:lineRule="exact"/>
        <w:rPr>
          <w:sz w:val="20"/>
          <w:szCs w:val="20"/>
          <w:color w:val="auto"/>
        </w:rPr>
      </w:pPr>
    </w:p>
    <w:p>
      <w:pPr>
        <w:ind w:right="5640" w:firstLine="2"/>
        <w:spacing w:after="0" w:line="246"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expense associated with research and development, selling, general and administrative activities</w:t>
      </w:r>
    </w:p>
    <w:sectPr>
      <w:pgSz w:w="11900" w:h="16838" w:orient="portrait"/>
      <w:cols w:equalWidth="0" w:num="1">
        <w:col w:w="11300"/>
      </w:cols>
      <w:pgMar w:left="26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2019-12-28T16:52:43Z</dcterms:created>
  <dcterms:modified xsi:type="dcterms:W3CDTF">2019-12-28T16:52:43Z</dcterms:modified>
</cp:coreProperties>
</file>