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with the Securities and Exchange Commission on February 7,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333-170965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5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FLUIDIGM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3826</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77-0513190</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Gajus V. Worthington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tbl>
      <w:tblPr>
        <w:tblLayout w:type="fixed"/>
        <w:tblInd w:w="48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3620" w:type="dxa"/>
            <w:vAlign w:val="bottom"/>
          </w:tcPr>
          <w:p>
            <w:pPr>
              <w:ind w:left="1320"/>
              <w:spacing w:after="0"/>
              <w:rPr>
                <w:sz w:val="20"/>
                <w:szCs w:val="20"/>
                <w:color w:val="auto"/>
              </w:rPr>
            </w:pPr>
            <w:r>
              <w:rPr>
                <w:rFonts w:ascii="Arial" w:cs="Arial" w:eastAsia="Arial" w:hAnsi="Arial"/>
                <w:sz w:val="18"/>
                <w:szCs w:val="18"/>
                <w:i w:val="1"/>
                <w:iCs w:val="1"/>
                <w:color w:val="auto"/>
              </w:rPr>
              <w:t>Copies to:</w:t>
            </w:r>
          </w:p>
        </w:tc>
        <w:tc>
          <w:tcPr>
            <w:tcW w:w="3240" w:type="dxa"/>
            <w:vAlign w:val="bottom"/>
          </w:tcPr>
          <w:p>
            <w:pPr>
              <w:spacing w:after="0"/>
              <w:rPr>
                <w:sz w:val="19"/>
                <w:szCs w:val="19"/>
                <w:color w:val="auto"/>
              </w:rPr>
            </w:pPr>
          </w:p>
        </w:tc>
      </w:tr>
      <w:tr>
        <w:trPr>
          <w:trHeight w:val="285"/>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David J. Segre</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William M. Smith</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9"/>
              </w:rPr>
              <w:t>Charles K. Ruck</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Robert F. Kornegay</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8"/>
              </w:rPr>
              <w:t>Vice President, Legal Affairs</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8"/>
              </w:rPr>
              <w:t>B. Shayne Kennedy</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92"/>
              </w:rPr>
              <w:t>Asaf H. Kharal</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and General Counsel</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94"/>
              </w:rPr>
              <w:t>Latham &amp; Watkins LLP</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8"/>
              </w:rPr>
              <w:t>Wilson Sonsini Goodrich &amp; Rosati P.C.</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7000 Shoreline Court, Suite 100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650 Town Center Drive, 20th Floor</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650 Page Mill Road</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South San Francisco, CA 94080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8"/>
              </w:rPr>
              <w:t>Costa Mesa, CA 92626</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9"/>
              </w:rPr>
              <w:t>Palo Alto, CA 94304</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Telephone: (650) 266-6000</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7"/>
              </w:rPr>
              <w:t>Telephone: (714) 540-1235</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Telephone: (650) 493-9300</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Telecopy: (650) 871-7152</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7"/>
              </w:rPr>
              <w:t>Telecopy: (714) 755-8290</w:t>
            </w:r>
          </w:p>
        </w:tc>
      </w:tr>
      <w:tr>
        <w:trPr>
          <w:trHeight w:val="228"/>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7"/>
              </w:rPr>
              <w:t>Telecopy: (650) 493-6811</w:t>
            </w:r>
          </w:p>
        </w:tc>
        <w:tc>
          <w:tcPr>
            <w:tcW w:w="3620" w:type="dxa"/>
            <w:vAlign w:val="bottom"/>
          </w:tcPr>
          <w:p>
            <w:pPr>
              <w:spacing w:after="0"/>
              <w:rPr>
                <w:sz w:val="19"/>
                <w:szCs w:val="19"/>
                <w:color w:val="auto"/>
              </w:rPr>
            </w:pPr>
          </w:p>
        </w:tc>
        <w:tc>
          <w:tcPr>
            <w:tcW w:w="3240" w:type="dxa"/>
            <w:vAlign w:val="bottom"/>
          </w:tcPr>
          <w:p>
            <w:pPr>
              <w:spacing w:after="0"/>
              <w:rPr>
                <w:sz w:val="19"/>
                <w:szCs w:val="19"/>
                <w:color w:val="auto"/>
              </w:rPr>
            </w:pPr>
          </w:p>
        </w:tc>
      </w:tr>
    </w:tbl>
    <w:p>
      <w:pPr>
        <w:spacing w:after="0" w:line="82"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the effective date of this Registration Statement.</w:t>
      </w:r>
    </w:p>
    <w:p>
      <w:pPr>
        <w:spacing w:after="0" w:line="119" w:lineRule="exact"/>
        <w:rPr>
          <w:sz w:val="24"/>
          <w:szCs w:val="24"/>
          <w:color w:val="auto"/>
        </w:rPr>
      </w:pPr>
    </w:p>
    <w:p>
      <w:pPr>
        <w:ind w:right="380" w:firstLine="342"/>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as amended,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16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2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20"/>
            <w:col w:w="6580" w:space="720"/>
            <w:col w:w="144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00" w:space="300"/>
            <w:col w:w="160" w:space="60"/>
            <w:col w:w="6360" w:space="720"/>
            <w:col w:w="1920" w:space="240"/>
            <w:col w:w="160"/>
          </w:cols>
          <w:pgMar w:left="240" w:top="230" w:right="239" w:bottom="1440" w:gutter="0" w:footer="0" w:header="0"/>
          <w:type w:val="continuous"/>
        </w:sectPr>
      </w:pPr>
    </w:p>
    <w:p>
      <w:pPr>
        <w:ind w:right="16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CC062A"/>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it is not soliciting an offer to buy these securities in any state where the offer or sale is not permitted.</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CC062A"/>
        </w:rPr>
        <w:t>Subject to Completion, Dated February 7,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5,172,414 Shares</w:t>
      </w:r>
    </w:p>
    <w:p>
      <w:pPr>
        <w:spacing w:after="0" w:line="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1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is the initial public offering of Fluidigm Corporation. We are offering 5,172,414 shares of our common stock. We anticipate that the initial public offering price will be between $13.50 and $15.50 per share. Our common stock has been approved for listing on The NASDAQ Global Market under the symbol “FLDM.”</w:t>
      </w:r>
    </w:p>
    <w:p>
      <w:pPr>
        <w:spacing w:after="0" w:line="121"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8"/>
              </w:rPr>
              <w:t>Per Share</w:t>
            </w:r>
          </w:p>
        </w:tc>
        <w:tc>
          <w:tcPr>
            <w:tcW w:w="4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6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Fluidigm Corporation</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right="2220" w:firstLine="8"/>
        <w:spacing w:after="0" w:line="526" w:lineRule="auto"/>
        <w:tabs>
          <w:tab w:leader="none" w:pos="446"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refer you to “Underwriting” beginning on page 139 for additional information regarding total underwriter compensation. We have granted the underwriters the right to purchase up to 775,862 additional shares of common stock to cover over-allotments.</w:t>
      </w: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20"/>
                <w:szCs w:val="20"/>
                <w:color w:val="auto"/>
              </w:rPr>
            </w:pPr>
            <w:r>
              <w:rPr>
                <w:rFonts w:ascii="Arial" w:cs="Arial" w:eastAsia="Arial" w:hAnsi="Arial"/>
                <w:sz w:val="18"/>
                <w:szCs w:val="18"/>
                <w:color w:val="auto"/>
                <w:w w:val="93"/>
              </w:rPr>
              <w:t>The underwriters expect to deliver the shares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Piper Jaffray</w:t>
      </w:r>
    </w:p>
    <w:p>
      <w:pPr>
        <w:spacing w:after="0" w:line="200" w:lineRule="exact"/>
        <w:rPr>
          <w:sz w:val="20"/>
          <w:szCs w:val="20"/>
          <w:color w:val="auto"/>
        </w:rPr>
      </w:pPr>
    </w:p>
    <w:p>
      <w:pPr>
        <w:sectPr>
          <w:pgSz w:w="11900" w:h="16838" w:orient="portrait"/>
          <w:cols w:equalWidth="0" w:num="2">
            <w:col w:w="8860" w:space="720"/>
            <w:col w:w="1840"/>
          </w:cols>
          <w:pgMar w:left="240" w:top="459"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Cowen and Company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Leerink Swann</w:t>
      </w:r>
    </w:p>
    <w:p>
      <w:pPr>
        <w:spacing w:after="0" w:line="200" w:lineRule="exact"/>
        <w:rPr>
          <w:sz w:val="20"/>
          <w:szCs w:val="20"/>
          <w:color w:val="auto"/>
        </w:rPr>
      </w:pPr>
    </w:p>
    <w:p>
      <w:pPr>
        <w:sectPr>
          <w:pgSz w:w="11900" w:h="16838" w:orient="portrait"/>
          <w:cols w:equalWidth="0" w:num="2">
            <w:col w:w="8580" w:space="720"/>
            <w:col w:w="2120"/>
          </w:cols>
          <w:pgMar w:left="240" w:top="459"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date of this prospectus is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 2011</w:t>
      </w:r>
    </w:p>
    <w:p>
      <w:pPr>
        <w:sectPr>
          <w:pgSz w:w="11900" w:h="16838" w:orient="portrait"/>
          <w:cols w:equalWidth="0" w:num="2">
            <w:col w:w="2260" w:space="720"/>
            <w:col w:w="844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34355" cy="7289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34355"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tcPr>
          <w:p>
            <w:pPr>
              <w:ind w:left="9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500" w:type="dxa"/>
            <w:vAlign w:val="bottom"/>
            <w:gridSpan w:val="11"/>
            <w:vMerge w:val="restart"/>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9500" w:type="dxa"/>
            <w:vAlign w:val="bottom"/>
            <w:gridSpan w:val="11"/>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11"/>
            <w:vMerge w:val="continue"/>
          </w:tcPr>
          <w:p>
            <w:pPr>
              <w:spacing w:after="0"/>
              <w:rPr>
                <w:sz w:val="14"/>
                <w:szCs w:val="14"/>
                <w:color w:val="auto"/>
              </w:rPr>
            </w:pPr>
          </w:p>
        </w:tc>
        <w:tc>
          <w:tcPr>
            <w:tcW w:w="9500" w:type="dxa"/>
            <w:vAlign w:val="bottom"/>
            <w:gridSpan w:val="11"/>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1010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Special Note Regarding Forward-Looking Statements</w:t>
              </w:r>
            </w:hyperlink>
          </w:p>
        </w:tc>
        <w:tc>
          <w:tcPr>
            <w:tcW w:w="7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Dividend Policy</w:t>
              </w:r>
            </w:hyperlink>
          </w:p>
        </w:tc>
        <w:tc>
          <w:tcPr>
            <w:tcW w:w="98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Capitalization</w:t>
              </w:r>
            </w:hyperlink>
          </w:p>
        </w:tc>
        <w:tc>
          <w:tcPr>
            <w:tcW w:w="100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Dilution</w:t>
              </w:r>
            </w:hyperlink>
          </w:p>
        </w:tc>
        <w:tc>
          <w:tcPr>
            <w:tcW w:w="104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69">
              <w:r>
                <w:rPr>
                  <w:rFonts w:ascii="Arial" w:cs="Arial" w:eastAsia="Arial" w:hAnsi="Arial"/>
                  <w:sz w:val="18"/>
                  <w:szCs w:val="18"/>
                  <w:color w:val="0000EE"/>
                  <w:w w:val="84"/>
                </w:rPr>
                <w:t>Business</w:t>
              </w:r>
            </w:hyperlink>
          </w:p>
        </w:tc>
        <w:tc>
          <w:tcPr>
            <w:tcW w:w="5660" w:type="dxa"/>
            <w:vAlign w:val="bottom"/>
            <w:tcBorders>
              <w:top w:val="single" w:sz="8" w:color="0000EE"/>
            </w:tcBorders>
            <w:gridSpan w:val="17"/>
          </w:tcPr>
          <w:p>
            <w:pPr>
              <w:spacing w:after="0"/>
              <w:rPr>
                <w:sz w:val="17"/>
                <w:szCs w:val="17"/>
                <w:color w:val="auto"/>
              </w:rPr>
            </w:pPr>
          </w:p>
        </w:tc>
        <w:tc>
          <w:tcPr>
            <w:tcW w:w="4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25">
              <w:r>
                <w:rPr>
                  <w:rFonts w:ascii="Arial" w:cs="Arial" w:eastAsia="Arial" w:hAnsi="Arial"/>
                  <w:sz w:val="18"/>
                  <w:szCs w:val="18"/>
                  <w:color w:val="0000EE"/>
                  <w:w w:val="87"/>
                </w:rPr>
                <w:t>Certain Relationships and Related Party Transactions</w:t>
              </w:r>
            </w:hyperlink>
          </w:p>
        </w:tc>
        <w:tc>
          <w:tcPr>
            <w:tcW w:w="72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Description of Capital Stock</w:t>
              </w:r>
            </w:hyperlink>
          </w:p>
        </w:tc>
        <w:tc>
          <w:tcPr>
            <w:tcW w:w="89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41">
              <w:r>
                <w:rPr>
                  <w:rFonts w:ascii="Arial" w:cs="Arial" w:eastAsia="Arial" w:hAnsi="Arial"/>
                  <w:sz w:val="18"/>
                  <w:szCs w:val="18"/>
                  <w:color w:val="0000EE"/>
                  <w:w w:val="87"/>
                </w:rPr>
                <w:t>Shares Eligible For Future Sale</w:t>
              </w:r>
            </w:hyperlink>
          </w:p>
        </w:tc>
        <w:tc>
          <w:tcPr>
            <w:tcW w:w="87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Material United States Federal Income and Estate Tax Consequences to Non-U.S.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Underwriting</w:t>
              </w:r>
            </w:hyperlink>
          </w:p>
        </w:tc>
        <w:tc>
          <w:tcPr>
            <w:tcW w:w="5380" w:type="dxa"/>
            <w:vAlign w:val="bottom"/>
            <w:tcBorders>
              <w:top w:val="single" w:sz="8" w:color="0000EE"/>
            </w:tcBorders>
            <w:gridSpan w:val="15"/>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Experts</w:t>
              </w:r>
            </w:hyperlink>
          </w:p>
        </w:tc>
        <w:tc>
          <w:tcPr>
            <w:tcW w:w="1002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51">
              <w:r>
                <w:rPr>
                  <w:rFonts w:ascii="Arial" w:cs="Arial" w:eastAsia="Arial" w:hAnsi="Arial"/>
                  <w:sz w:val="18"/>
                  <w:szCs w:val="18"/>
                  <w:color w:val="0000EE"/>
                  <w:w w:val="91"/>
                </w:rPr>
                <w:t>Where You Can Find Additional Information</w:t>
              </w:r>
            </w:hyperlink>
          </w:p>
        </w:tc>
        <w:tc>
          <w:tcPr>
            <w:tcW w:w="78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52">
              <w:r>
                <w:rPr>
                  <w:rFonts w:ascii="Arial" w:cs="Arial" w:eastAsia="Arial" w:hAnsi="Arial"/>
                  <w:sz w:val="18"/>
                  <w:szCs w:val="18"/>
                  <w:color w:val="0000EE"/>
                  <w:w w:val="88"/>
                </w:rPr>
                <w:t>Index to Consolidated Financial Statements</w:t>
              </w:r>
            </w:hyperlink>
          </w:p>
        </w:tc>
        <w:tc>
          <w:tcPr>
            <w:tcW w:w="79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171"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2011 (the 25th day after the date of this prospectus), all dealers effecting transactions in these securities,</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jc w:val="both"/>
        <w:ind w:left="200" w:right="120" w:firstLine="443"/>
        <w:spacing w:after="0" w:line="298"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may not contain all the information that you should consider before investing in our common stock. You should read the entire prospectus carefully, including “Risk Factors” beginning on page 10 and our consolidated financial statements and related notes included elsewhere in this prospectus, before making an investment decision. Unless otherwise indicated, the terms “Fluidigm,” “we,” “us” and “our” refer to Fluidigm Corporation and its subsidiaries.</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increased throughput and simpler workflows at decreased costs. Our microfluidic systems are designed to overcome many of the limitations of conventional laboratory systems by integrating an increasing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11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have successfully commercialized our BioMark and EP1 systems for genetic analysis and our Access Array system for next generation DNA sequencing sample preparation. Researchers and clinicians have successfully employed our products to help achieve breakthroughs in a variety of fields, including genetic variation, cellular function and structural biology. These include using our microfluidic systems to help detect life-threatening mutations in patients’ cancer cells, discover cancer associated biomarkers, analyze the genetic composition of individual stem cells, identify fetal chromosomal abnormalities and assess the quality of agricultural seed products. We believe our Access Array system resolves a critical workflow bottleneck that exists in all commercial next generation DNA sequencing platforms. We expect that the versatility of our microfluidic technology will enable us to develop additional applications across a wide variety of markets.</w:t>
      </w:r>
    </w:p>
    <w:p>
      <w:pPr>
        <w:spacing w:after="0" w:line="118"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We have grown our revenue from $6.4 million in 2006, to $25.4 million in 2009 and $23.2 million in the nine months ended September 30, 2010, during which time our product margin has increased from 30% in 2006, to 51% in 2009 and to 62% for the nine months ended September 30, 2010. We have incurred significant net losses since our inception, including net losses of $23.6 million in 2006, $19.1 million in 2009 and $13.8 million during the nine months ended September 30, 2010, with an accumulated deficit of $196.2 million as of September 30, 2010.</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attribute our success and continued growth prospects to the following:</w:t>
      </w:r>
    </w:p>
    <w:p>
      <w:pPr>
        <w:spacing w:after="0" w:line="90" w:lineRule="exact"/>
        <w:rPr>
          <w:sz w:val="20"/>
          <w:szCs w:val="20"/>
          <w:color w:val="auto"/>
        </w:rPr>
      </w:pPr>
    </w:p>
    <w:p>
      <w:pPr>
        <w:ind w:left="960" w:right="120" w:hanging="331"/>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Disruptive and Enabling Technology</w:t>
      </w:r>
      <w:r>
        <w:rPr>
          <w:rFonts w:ascii="Arial" w:cs="Arial" w:eastAsia="Arial" w:hAnsi="Arial"/>
          <w:sz w:val="18"/>
          <w:szCs w:val="18"/>
          <w:color w:val="auto"/>
        </w:rPr>
        <w:t>. Our microfluidic systems, which are broadly compatible with existing lab equipment and chemistries,</w:t>
      </w:r>
      <w:r>
        <w:rPr>
          <w:rFonts w:ascii="Arial" w:cs="Arial" w:eastAsia="Arial" w:hAnsi="Arial"/>
          <w:sz w:val="18"/>
          <w:szCs w:val="18"/>
          <w:i w:val="1"/>
          <w:iCs w:val="1"/>
          <w:color w:val="auto"/>
        </w:rPr>
        <w:t xml:space="preserve"> </w:t>
      </w:r>
      <w:r>
        <w:rPr>
          <w:rFonts w:ascii="Arial" w:cs="Arial" w:eastAsia="Arial" w:hAnsi="Arial"/>
          <w:sz w:val="18"/>
          <w:szCs w:val="18"/>
          <w:color w:val="auto"/>
        </w:rPr>
        <w:t>enable users to perform 24 times more gene expression experiments than conventional microplate systems, at one time and in nanoliter volumes, delivering</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right="80"/>
        <w:spacing w:after="0" w:line="306" w:lineRule="auto"/>
        <w:rPr>
          <w:sz w:val="20"/>
          <w:szCs w:val="20"/>
          <w:color w:val="auto"/>
        </w:rPr>
      </w:pPr>
      <w:r>
        <w:rPr>
          <w:rFonts w:ascii="Arial" w:cs="Arial" w:eastAsia="Arial" w:hAnsi="Arial"/>
          <w:sz w:val="16"/>
          <w:szCs w:val="16"/>
          <w:color w:val="auto"/>
        </w:rPr>
        <w:t>meaningful improvements in cost, capability, time and accuracy over conventional methods of laboratory and industrial research. In addition, our technology enables scientists to perform experiments that we believe are impractical using conventional systems, such as digital PCR experiments, where our systems enable users to perform 36,960 simultaneous reactions on a single chip.</w:t>
      </w:r>
    </w:p>
    <w:p>
      <w:pPr>
        <w:spacing w:after="0" w:line="26" w:lineRule="exact"/>
        <w:rPr>
          <w:sz w:val="20"/>
          <w:szCs w:val="20"/>
          <w:color w:val="auto"/>
        </w:rPr>
      </w:pPr>
    </w:p>
    <w:p>
      <w:pPr>
        <w:jc w:val="both"/>
        <w:ind w:left="960" w:hanging="331"/>
        <w:spacing w:after="0" w:line="306"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Commercially Validated High Margin Business Model</w:t>
      </w:r>
      <w:r>
        <w:rPr>
          <w:rFonts w:ascii="Arial" w:cs="Arial" w:eastAsia="Arial" w:hAnsi="Arial"/>
          <w:sz w:val="16"/>
          <w:szCs w:val="16"/>
          <w:color w:val="auto"/>
        </w:rPr>
        <w:t>. We have an installed base of over 250 instruments which generate high margin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consumables, including chips and reagents. Our product margins are supported by our highly efficient manufacturing operations that are based in Singapore and take advantage of the skilled workforce, supplier and partner networks and government support available there.</w:t>
      </w:r>
    </w:p>
    <w:p>
      <w:pPr>
        <w:spacing w:after="0" w:line="25" w:lineRule="exact"/>
        <w:rPr>
          <w:rFonts w:ascii="Arial" w:cs="Arial" w:eastAsia="Arial" w:hAnsi="Arial"/>
          <w:sz w:val="16"/>
          <w:szCs w:val="16"/>
          <w:color w:val="auto"/>
        </w:rPr>
      </w:pPr>
    </w:p>
    <w:p>
      <w:pPr>
        <w:ind w:left="960" w:right="140" w:hanging="331"/>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Leadership Positions in Multiple High Growth Markets</w:t>
      </w:r>
      <w:r>
        <w:rPr>
          <w:rFonts w:ascii="Arial" w:cs="Arial" w:eastAsia="Arial" w:hAnsi="Arial"/>
          <w:sz w:val="18"/>
          <w:szCs w:val="18"/>
          <w:color w:val="auto"/>
        </w:rPr>
        <w:t>. We believe our microfluidic systems are well positioned to address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the life science and Ag-Bio markets, including single cell genomics, digital PCR, agricultural genotyping and sample preparation for next generation DNA sequencing.</w:t>
      </w:r>
    </w:p>
    <w:p>
      <w:pPr>
        <w:spacing w:after="0" w:line="59" w:lineRule="exact"/>
        <w:rPr>
          <w:rFonts w:ascii="Arial" w:cs="Arial" w:eastAsia="Arial" w:hAnsi="Arial"/>
          <w:sz w:val="18"/>
          <w:szCs w:val="18"/>
          <w:color w:val="auto"/>
        </w:rPr>
      </w:pPr>
    </w:p>
    <w:p>
      <w:pPr>
        <w:ind w:left="960" w:right="80" w:hanging="331"/>
        <w:spacing w:after="0" w:line="294"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Significant Growth Opportunities in Additional Markets</w:t>
      </w:r>
      <w:r>
        <w:rPr>
          <w:rFonts w:ascii="Arial" w:cs="Arial" w:eastAsia="Arial" w:hAnsi="Arial"/>
          <w:sz w:val="16"/>
          <w:szCs w:val="16"/>
          <w:color w:val="auto"/>
        </w:rPr>
        <w:t>. Researchers have successfully used our microfluidic systems in such diverse fields as</w:t>
      </w:r>
      <w:r>
        <w:rPr>
          <w:rFonts w:ascii="Arial" w:cs="Arial" w:eastAsia="Arial" w:hAnsi="Arial"/>
          <w:sz w:val="16"/>
          <w:szCs w:val="16"/>
          <w:i w:val="1"/>
          <w:iCs w:val="1"/>
          <w:color w:val="auto"/>
        </w:rPr>
        <w:t xml:space="preserve"> </w:t>
      </w:r>
      <w:r>
        <w:rPr>
          <w:rFonts w:ascii="Arial" w:cs="Arial" w:eastAsia="Arial" w:hAnsi="Arial"/>
          <w:sz w:val="16"/>
          <w:szCs w:val="16"/>
          <w:color w:val="auto"/>
        </w:rPr>
        <w:t>immunoassays, high throughput drug screening, chemical synthesis, pharmacogenomics, systems biology, synthetic biology, stem cell research, cell culture and cellular assays. Our proprietary technology is broadly applicable to biotechnology automation and could be further developed for a wide variety of additional applications, including molecular diagnostics. Through further expansion of our assay and reagent offerings, we intend to provide more comprehensive solutions across all of our target markets.</w:t>
      </w:r>
    </w:p>
    <w:p>
      <w:pPr>
        <w:spacing w:after="0" w:line="34" w:lineRule="exact"/>
        <w:rPr>
          <w:rFonts w:ascii="Arial" w:cs="Arial" w:eastAsia="Arial" w:hAnsi="Arial"/>
          <w:sz w:val="16"/>
          <w:szCs w:val="16"/>
          <w:color w:val="auto"/>
        </w:rPr>
      </w:pPr>
    </w:p>
    <w:p>
      <w:pPr>
        <w:ind w:left="960" w:right="20" w:hanging="331"/>
        <w:spacing w:after="0" w:line="25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Strong Research and Development Capabilities and Intellectual Property Position</w:t>
      </w:r>
      <w:r>
        <w:rPr>
          <w:rFonts w:ascii="Arial" w:cs="Arial" w:eastAsia="Arial" w:hAnsi="Arial"/>
          <w:sz w:val="18"/>
          <w:szCs w:val="18"/>
          <w:color w:val="auto"/>
        </w:rPr>
        <w:t>. We are a pioneer in the development of microfluidic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have a demonstrated ability to advance systems from concept through commercialization. We have developed an extensive portfolio of intellectual property, including more than 110 issued U.S. patents and 220 patent applications pending worldwide either owned by or licensed to us.</w:t>
      </w:r>
    </w:p>
    <w:p>
      <w:pPr>
        <w:spacing w:after="0" w:line="62" w:lineRule="exact"/>
        <w:rPr>
          <w:rFonts w:ascii="Arial" w:cs="Arial" w:eastAsia="Arial" w:hAnsi="Arial"/>
          <w:sz w:val="18"/>
          <w:szCs w:val="18"/>
          <w:color w:val="auto"/>
        </w:rPr>
      </w:pPr>
    </w:p>
    <w:p>
      <w:pPr>
        <w:ind w:left="960" w:hanging="331"/>
        <w:spacing w:after="0" w:line="335" w:lineRule="auto"/>
        <w:tabs>
          <w:tab w:leader="none" w:pos="96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Well-Published and Loyal Customer Base that Expands Market Awareness of our Products. </w:t>
      </w:r>
      <w:r>
        <w:rPr>
          <w:rFonts w:ascii="Arial" w:cs="Arial" w:eastAsia="Arial" w:hAnsi="Arial"/>
          <w:sz w:val="15"/>
          <w:szCs w:val="15"/>
          <w:color w:val="auto"/>
        </w:rPr>
        <w:t>Since January 2009, users of our systems have</w:t>
      </w:r>
      <w:r>
        <w:rPr>
          <w:rFonts w:ascii="Arial" w:cs="Arial" w:eastAsia="Arial" w:hAnsi="Arial"/>
          <w:sz w:val="15"/>
          <w:szCs w:val="15"/>
          <w:i w:val="1"/>
          <w:iCs w:val="1"/>
          <w:color w:val="auto"/>
        </w:rPr>
        <w:t xml:space="preserve"> </w:t>
      </w:r>
      <w:r>
        <w:rPr>
          <w:rFonts w:ascii="Arial" w:cs="Arial" w:eastAsia="Arial" w:hAnsi="Arial"/>
          <w:sz w:val="15"/>
          <w:szCs w:val="15"/>
          <w:color w:val="auto"/>
        </w:rPr>
        <w:t>published over 60 peer-reviewed articles regarding experiments using our technology. We actively market our products to thought leaders in their respective fields and have found references from existing customers to be an important factor in marketing our solutions to prospective customers.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left="200" w:right="260" w:firstLine="443"/>
        <w:spacing w:after="0" w:line="370" w:lineRule="auto"/>
        <w:rPr>
          <w:sz w:val="20"/>
          <w:szCs w:val="20"/>
          <w:color w:val="auto"/>
        </w:rPr>
      </w:pPr>
      <w:r>
        <w:rPr>
          <w:rFonts w:ascii="Arial" w:cs="Arial" w:eastAsia="Arial" w:hAnsi="Arial"/>
          <w:sz w:val="15"/>
          <w:szCs w:val="15"/>
          <w:color w:val="auto"/>
        </w:rPr>
        <w:t>The current markets for our products include life science research and Ag-Bio. Total expenditures in the life science research and Ag-Bio markets described below are projected to exceed $4.3 billion by 2015. In addition, we are developing products for use in molecular diagnostics and other markets.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Our primary area of focus within life science research is genomics, the study of genes and their functions. Gene expression and genotyping are studied through a combination of various technology platforms that characterize gene function and genetic variation. These platforms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 We are currently focused on the following applications:</w:t>
      </w:r>
    </w:p>
    <w:p>
      <w:pPr>
        <w:spacing w:after="0" w:line="62" w:lineRule="exact"/>
        <w:rPr>
          <w:sz w:val="20"/>
          <w:szCs w:val="20"/>
          <w:color w:val="auto"/>
        </w:rPr>
      </w:pPr>
    </w:p>
    <w:p>
      <w:pPr>
        <w:ind w:left="960" w:right="420" w:hanging="331"/>
        <w:spacing w:after="0" w:line="268"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 Expression Analysis</w:t>
      </w:r>
      <w:r>
        <w:rPr>
          <w:rFonts w:ascii="Arial" w:cs="Arial" w:eastAsia="Arial" w:hAnsi="Arial"/>
          <w:sz w:val="18"/>
          <w:szCs w:val="18"/>
          <w:color w:val="auto"/>
        </w:rPr>
        <w:t>. Measures the activity of genes to identify genetic variations that may correspond to predisposition of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therapeutics;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right="240" w:hanging="331"/>
        <w:spacing w:after="0" w:line="26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Genotyping</w:t>
      </w:r>
      <w:r>
        <w:rPr>
          <w:rFonts w:ascii="Arial" w:cs="Arial" w:eastAsia="Arial" w:hAnsi="Arial"/>
          <w:sz w:val="18"/>
          <w:szCs w:val="18"/>
          <w:color w:val="auto"/>
        </w:rPr>
        <w:t>. Determines DNA sequence variants, such as single nucleotide polymorphisms, or SNPs, across individual genomes to assess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correlation of specific genotypes to physical traits of interest;</w:t>
      </w:r>
    </w:p>
    <w:p>
      <w:pPr>
        <w:spacing w:after="0" w:line="50" w:lineRule="exact"/>
        <w:rPr>
          <w:rFonts w:ascii="Arial" w:cs="Arial" w:eastAsia="Arial" w:hAnsi="Arial"/>
          <w:sz w:val="18"/>
          <w:szCs w:val="18"/>
          <w:color w:val="auto"/>
        </w:rPr>
      </w:pPr>
    </w:p>
    <w:p>
      <w:pPr>
        <w:ind w:left="960" w:right="40" w:hanging="331"/>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Digital PCR</w:t>
      </w:r>
      <w:r>
        <w:rPr>
          <w:rFonts w:ascii="Arial" w:cs="Arial" w:eastAsia="Arial" w:hAnsi="Arial"/>
          <w:sz w:val="18"/>
          <w:szCs w:val="18"/>
          <w:color w:val="auto"/>
        </w:rPr>
        <w:t>. Discretely quantifies the amount of nucleic acid present in a sample, facilitating assays that require much greater precision than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provided by conventional PCR techniques, including measuring variations in the number of copies of a gene found in a genome, or copy number variation;</w:t>
      </w:r>
    </w:p>
    <w:p>
      <w:pPr>
        <w:spacing w:after="0" w:line="59" w:lineRule="exact"/>
        <w:rPr>
          <w:rFonts w:ascii="Arial" w:cs="Arial" w:eastAsia="Arial" w:hAnsi="Arial"/>
          <w:sz w:val="18"/>
          <w:szCs w:val="18"/>
          <w:color w:val="auto"/>
        </w:rPr>
      </w:pPr>
    </w:p>
    <w:p>
      <w:pPr>
        <w:ind w:left="960" w:right="440" w:hanging="331"/>
        <w:spacing w:after="0" w:line="26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Performs gene expression analysis on single cells to further understand how biological systems operate at the cellular</w:t>
      </w:r>
      <w:r>
        <w:rPr>
          <w:rFonts w:ascii="Arial" w:cs="Arial" w:eastAsia="Arial" w:hAnsi="Arial"/>
          <w:sz w:val="18"/>
          <w:szCs w:val="18"/>
          <w:i w:val="1"/>
          <w:iCs w:val="1"/>
          <w:color w:val="auto"/>
        </w:rPr>
        <w:t xml:space="preserve"> </w:t>
      </w:r>
      <w:r>
        <w:rPr>
          <w:rFonts w:ascii="Arial" w:cs="Arial" w:eastAsia="Arial" w:hAnsi="Arial"/>
          <w:sz w:val="18"/>
          <w:szCs w:val="18"/>
          <w:color w:val="auto"/>
        </w:rPr>
        <w:t>level; and</w:t>
      </w:r>
    </w:p>
    <w:p>
      <w:pPr>
        <w:spacing w:after="0" w:line="50" w:lineRule="exact"/>
        <w:rPr>
          <w:rFonts w:ascii="Arial" w:cs="Arial" w:eastAsia="Arial" w:hAnsi="Arial"/>
          <w:sz w:val="18"/>
          <w:szCs w:val="18"/>
          <w:color w:val="auto"/>
        </w:rPr>
      </w:pPr>
    </w:p>
    <w:p>
      <w:pPr>
        <w:ind w:left="960" w:right="660" w:hanging="331"/>
        <w:spacing w:after="0" w:line="33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Isolates, amplifies and tags target molecules to simplify library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the efficiency of next generation DNA sequencing platforms for applications such as targeted resequencing.</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left="200" w:right="320" w:firstLine="443"/>
        <w:spacing w:after="0" w:line="259" w:lineRule="auto"/>
        <w:rPr>
          <w:sz w:val="20"/>
          <w:szCs w:val="20"/>
          <w:color w:val="auto"/>
        </w:rPr>
      </w:pPr>
      <w:r>
        <w:rPr>
          <w:rFonts w:ascii="Arial" w:cs="Arial" w:eastAsia="Arial" w:hAnsi="Arial"/>
          <w:sz w:val="18"/>
          <w:szCs w:val="18"/>
          <w:color w:val="auto"/>
        </w:rPr>
        <w:t>Industrial customers in Ag-Bio typically analyze the genomes of tens of thousands to hundreds of thousands of seeds or livestock annually in cost-sensitive production environments. Commercially viable genetic analysis tools in Ag-Bio must be inexpensive, easy to use and provide extremely high throughput.</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left="200" w:right="100" w:firstLine="443"/>
        <w:spacing w:after="0" w:line="294" w:lineRule="auto"/>
        <w:rPr>
          <w:sz w:val="20"/>
          <w:szCs w:val="20"/>
          <w:color w:val="auto"/>
        </w:rPr>
      </w:pPr>
      <w:r>
        <w:rPr>
          <w:rFonts w:ascii="Arial" w:cs="Arial" w:eastAsia="Arial" w:hAnsi="Arial"/>
          <w:sz w:val="16"/>
          <w:szCs w:val="16"/>
          <w:color w:val="auto"/>
        </w:rPr>
        <w:t>Molecular diagnostic tests are used in clinical practice to diagnose, classify or monitor a disease; determine a patient’s susceptibility to a disease; or monitor a patient’s response to therapy, by detecting one or more biomarkers in a patient sample. Within molecular diagnostics, our initial area of focus is in non-invasive prenatal diagnostics, or NIPD, for fetal aneuploidies, for which the most reliable diagnostic tests currently available are invasive and carry significant risks to the fetus. In collaboration with Novartis Vaccines &amp; Diagnostics, Inc., or Novartis V&amp;D, we are developing a microfluidic system to target this application. This system is in its early stage of development and, prior to commercialization, FDA approval or clearance may be required.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 with a combination of speed and accuracy that we believe cannot be achieved with other systems. Our systems deliver these advantages through the integration of sophisticated nanoliter fluid handling in an easy-to-use format that is compatible with most existing laboratory workflows and chemistries. Our systems are used in existing and emerging life science research and Ag-Bio markets, and we believe our systems and technology may be suitable for applications in additional markets. A significant portion of our research and development efforts are currently focused on potential applications of our technology in molecular diagnostics and we expect such development focus to continue.</w:t>
      </w:r>
    </w:p>
    <w:p>
      <w:pPr>
        <w:spacing w:after="0" w:line="118"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We believe that our microfluidic systems have a number of compelling advantages over conventional microplate systems and other competing platforms including:</w:t>
      </w:r>
    </w:p>
    <w:p>
      <w:pPr>
        <w:spacing w:after="0" w:line="51" w:lineRule="exact"/>
        <w:rPr>
          <w:sz w:val="20"/>
          <w:szCs w:val="20"/>
          <w:color w:val="auto"/>
        </w:rPr>
      </w:pPr>
    </w:p>
    <w:p>
      <w:pPr>
        <w:jc w:val="both"/>
        <w:ind w:left="960" w:right="160" w:hanging="331"/>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w:t>
      </w:r>
      <w:r>
        <w:rPr>
          <w:rFonts w:ascii="Arial" w:cs="Arial" w:eastAsia="Arial" w:hAnsi="Arial"/>
          <w:sz w:val="18"/>
          <w:szCs w:val="18"/>
          <w:i w:val="1"/>
          <w:iCs w:val="1"/>
          <w:color w:val="auto"/>
        </w:rPr>
        <w:t xml:space="preserve"> </w:t>
      </w:r>
      <w:r>
        <w:rPr>
          <w:rFonts w:ascii="Arial" w:cs="Arial" w:eastAsia="Arial" w:hAnsi="Arial"/>
          <w:sz w:val="18"/>
          <w:szCs w:val="18"/>
          <w:color w:val="auto"/>
        </w:rPr>
        <w:t>and call accuracy. For gene expression, our systems achieve 6 orders of magnitude of dynamic range with inter- and intra-chip reproducibility at correlation coefficients greater than 0.99.</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3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8373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hanging="331"/>
        <w:spacing w:after="0" w:line="294"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Improved Throughput</w:t>
      </w:r>
      <w:r>
        <w:rPr>
          <w:rFonts w:ascii="Arial" w:cs="Arial" w:eastAsia="Arial" w:hAnsi="Arial"/>
          <w:sz w:val="16"/>
          <w:szCs w:val="16"/>
          <w:color w:val="auto"/>
        </w:rPr>
        <w:t>. Our base BioMark system can generate over 27,000 gene expression data points per day and high throughput</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configurations of our system can generate over 110,000 data points per day, with a time to first result measured in hours. Some competing systems may offer comparable data points per day, but may take up to a week for first results. Other systems offer comparable time to first result, but produce fewer data points per day, often with lower data quality. Our improved throughput reduces the time and cost associated with complex experiments and expands the number and range of experiments that may be conducted.</w:t>
      </w:r>
    </w:p>
    <w:p>
      <w:pPr>
        <w:spacing w:after="0" w:line="34" w:lineRule="exact"/>
        <w:rPr>
          <w:rFonts w:ascii="Arial" w:cs="Arial" w:eastAsia="Arial" w:hAnsi="Arial"/>
          <w:sz w:val="16"/>
          <w:szCs w:val="16"/>
          <w:color w:val="auto"/>
        </w:rPr>
      </w:pPr>
    </w:p>
    <w:p>
      <w:pPr>
        <w:ind w:left="960" w:right="240" w:hanging="331"/>
        <w:spacing w:after="0" w:line="25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Ease of Use</w:t>
      </w:r>
      <w:r>
        <w:rPr>
          <w:rFonts w:ascii="Arial" w:cs="Arial" w:eastAsia="Arial" w:hAnsi="Arial"/>
          <w:sz w:val="18"/>
          <w:szCs w:val="18"/>
          <w:color w:val="auto"/>
        </w:rPr>
        <w:t>. Loading our 96.96 Dynamic Array chip requires 192 pipetting steps as compared to 18,432 steps required to load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384 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62" w:lineRule="exact"/>
        <w:rPr>
          <w:rFonts w:ascii="Arial" w:cs="Arial" w:eastAsia="Arial" w:hAnsi="Arial"/>
          <w:sz w:val="18"/>
          <w:szCs w:val="18"/>
          <w:color w:val="auto"/>
        </w:rPr>
      </w:pPr>
    </w:p>
    <w:p>
      <w:pPr>
        <w:ind w:left="960" w:right="160" w:hanging="331"/>
        <w:spacing w:after="0" w:line="298"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w:t>
      </w:r>
      <w:r>
        <w:rPr>
          <w:rFonts w:ascii="Arial" w:cs="Arial" w:eastAsia="Arial" w:hAnsi="Arial"/>
          <w:sz w:val="16"/>
          <w:szCs w:val="16"/>
          <w:i w:val="1"/>
          <w:iCs w:val="1"/>
          <w:color w:val="auto"/>
        </w:rPr>
        <w:t xml:space="preserve"> </w:t>
      </w:r>
      <w:r>
        <w:rPr>
          <w:rFonts w:ascii="Arial" w:cs="Arial" w:eastAsia="Arial" w:hAnsi="Arial"/>
          <w:sz w:val="16"/>
          <w:szCs w:val="16"/>
          <w:color w:val="auto"/>
        </w:rPr>
        <w:t>pipetting systems, bar code readers, plate handling systems and other equipment. Our chips are also designed to work with standard chemistries, including TaqMan and other reagents.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960" w:right="400" w:hanging="331"/>
        <w:spacing w:after="0" w:line="306"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 cell analysis.</w:t>
      </w:r>
    </w:p>
    <w:p>
      <w:pPr>
        <w:spacing w:after="0" w:line="25" w:lineRule="exact"/>
        <w:rPr>
          <w:rFonts w:ascii="Arial" w:cs="Arial" w:eastAsia="Arial" w:hAnsi="Arial"/>
          <w:sz w:val="16"/>
          <w:szCs w:val="16"/>
          <w:color w:val="auto"/>
        </w:rPr>
      </w:pPr>
    </w:p>
    <w:p>
      <w:pPr>
        <w:ind w:left="960" w:right="100" w:hanging="331"/>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Cost Effectiveness</w:t>
      </w:r>
      <w:r>
        <w:rPr>
          <w:rFonts w:ascii="Arial" w:cs="Arial" w:eastAsia="Arial" w:hAnsi="Arial"/>
          <w:sz w:val="18"/>
          <w:szCs w:val="18"/>
          <w:color w:val="auto"/>
        </w:rPr>
        <w:t>. We believe our high throughput systems offer a compelling cost benefit for high volume users. Our systems consume</w:t>
      </w:r>
      <w:r>
        <w:rPr>
          <w:rFonts w:ascii="Arial" w:cs="Arial" w:eastAsia="Arial" w:hAnsi="Arial"/>
          <w:sz w:val="18"/>
          <w:szCs w:val="18"/>
          <w:i w:val="1"/>
          <w:iCs w:val="1"/>
          <w:color w:val="auto"/>
        </w:rPr>
        <w:t xml:space="preserve"> </w:t>
      </w:r>
      <w:r>
        <w:rPr>
          <w:rFonts w:ascii="Arial" w:cs="Arial" w:eastAsia="Arial" w:hAnsi="Arial"/>
          <w:sz w:val="18"/>
          <w:szCs w:val="18"/>
          <w:color w:val="auto"/>
        </w:rPr>
        <w:t>reagents in nanoliter volumes, have the ability to conduct thousands of parallel experiments on one chip and offer customers the flexibility to use lower cost reagents as needed.</w:t>
      </w:r>
    </w:p>
    <w:p>
      <w:pPr>
        <w:spacing w:after="0" w:line="140"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other tools, such as microarrays, that have the ability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We provide complete microfluidic systems consisting of instruments and consumables, including chips and reagents. Our systems are easily incorporated into our customers’ laboratory environments and analysis workflow. For example, our chips are the same size and shape as standard 384 microplates and other chip consumables, which facilitates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4100" w:type="dxa"/>
            <w:vAlign w:val="bottom"/>
          </w:tcPr>
          <w:p>
            <w:pPr>
              <w:ind w:left="176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3860" w:type="dxa"/>
            <w:vAlign w:val="bottom"/>
            <w:gridSpan w:val="2"/>
          </w:tcPr>
          <w:p>
            <w:pPr>
              <w:ind w:left="1120"/>
              <w:spacing w:after="0"/>
              <w:rPr>
                <w:sz w:val="20"/>
                <w:szCs w:val="20"/>
                <w:color w:val="auto"/>
              </w:rPr>
            </w:pPr>
            <w:r>
              <w:rPr>
                <w:rFonts w:ascii="Arial" w:cs="Arial" w:eastAsia="Arial" w:hAnsi="Arial"/>
                <w:sz w:val="18"/>
                <w:szCs w:val="18"/>
                <w:b w:val="1"/>
                <w:bCs w:val="1"/>
                <w:color w:val="auto"/>
              </w:rPr>
              <w:t>Product Description</w:t>
            </w:r>
          </w:p>
        </w:tc>
        <w:tc>
          <w:tcPr>
            <w:tcW w:w="2980" w:type="dxa"/>
            <w:vAlign w:val="bottom"/>
          </w:tcPr>
          <w:p>
            <w:pPr>
              <w:ind w:left="1020"/>
              <w:spacing w:after="0"/>
              <w:rPr>
                <w:sz w:val="20"/>
                <w:szCs w:val="20"/>
                <w:color w:val="auto"/>
              </w:rPr>
            </w:pPr>
            <w:r>
              <w:rPr>
                <w:rFonts w:ascii="Arial" w:cs="Arial" w:eastAsia="Arial" w:hAnsi="Arial"/>
                <w:sz w:val="18"/>
                <w:szCs w:val="18"/>
                <w:b w:val="1"/>
                <w:bCs w:val="1"/>
                <w:color w:val="auto"/>
              </w:rPr>
              <w:t>Applications</w:t>
            </w:r>
          </w:p>
        </w:tc>
      </w:tr>
      <w:tr>
        <w:trPr>
          <w:trHeight w:val="208"/>
        </w:trPr>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BioMark System</w:t>
            </w: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Real-time qPCR instrument, bundled analysis</w:t>
            </w:r>
          </w:p>
        </w:tc>
        <w:tc>
          <w:tcPr>
            <w:tcW w:w="2980" w:type="dxa"/>
            <w:vAlign w:val="bottom"/>
          </w:tcPr>
          <w:p>
            <w:pPr>
              <w:spacing w:after="0"/>
              <w:rPr>
                <w:sz w:val="20"/>
                <w:szCs w:val="20"/>
                <w:color w:val="auto"/>
              </w:rPr>
            </w:pPr>
            <w:r>
              <w:rPr>
                <w:rFonts w:ascii="Arial" w:cs="Arial" w:eastAsia="Arial" w:hAnsi="Arial"/>
                <w:sz w:val="18"/>
                <w:szCs w:val="18"/>
                <w:color w:val="auto"/>
              </w:rPr>
              <w:t>Digital PCR, SNP Genotyping, Gene</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2980" w:type="dxa"/>
            <w:vAlign w:val="bottom"/>
          </w:tcPr>
          <w:p>
            <w:pPr>
              <w:spacing w:after="0"/>
              <w:rPr>
                <w:sz w:val="20"/>
                <w:szCs w:val="20"/>
                <w:color w:val="auto"/>
              </w:rPr>
            </w:pPr>
            <w:r>
              <w:rPr>
                <w:rFonts w:ascii="Arial" w:cs="Arial" w:eastAsia="Arial" w:hAnsi="Arial"/>
                <w:sz w:val="18"/>
                <w:szCs w:val="18"/>
                <w:color w:val="auto"/>
              </w:rPr>
              <w:t>Expression</w:t>
            </w: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EP1 System</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Real-time qPCR instrument, bundled analysis</w:t>
            </w:r>
          </w:p>
        </w:tc>
        <w:tc>
          <w:tcPr>
            <w:tcW w:w="29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Access Array System</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6"/>
              </w:rPr>
              <w:t>Sample preparation system that facilitates parallel</w:t>
            </w:r>
          </w:p>
        </w:tc>
        <w:tc>
          <w:tcPr>
            <w:tcW w:w="2980" w:type="dxa"/>
            <w:vAlign w:val="bottom"/>
          </w:tcPr>
          <w:p>
            <w:pPr>
              <w:spacing w:after="0"/>
              <w:rPr>
                <w:sz w:val="20"/>
                <w:szCs w:val="20"/>
                <w:color w:val="auto"/>
              </w:rPr>
            </w:pPr>
            <w:r>
              <w:rPr>
                <w:rFonts w:ascii="Arial" w:cs="Arial" w:eastAsia="Arial" w:hAnsi="Arial"/>
                <w:sz w:val="18"/>
                <w:szCs w:val="18"/>
                <w:color w:val="auto"/>
              </w:rPr>
              <w:t>Next Generation DNA Sequencing</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amplification of 48 unique samples</w:t>
            </w:r>
          </w:p>
        </w:tc>
        <w:tc>
          <w:tcPr>
            <w:tcW w:w="29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b w:val="1"/>
                <w:bCs w:val="1"/>
                <w:color w:val="auto"/>
              </w:rPr>
              <w:t>Consumables</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Dynamic Array Chips</w:t>
            </w: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Microfluidic chip based on matrix architecture</w:t>
            </w:r>
          </w:p>
        </w:tc>
        <w:tc>
          <w:tcPr>
            <w:tcW w:w="2980" w:type="dxa"/>
            <w:vAlign w:val="bottom"/>
          </w:tcPr>
          <w:p>
            <w:pPr>
              <w:spacing w:after="0"/>
              <w:rPr>
                <w:sz w:val="20"/>
                <w:szCs w:val="20"/>
                <w:color w:val="auto"/>
              </w:rPr>
            </w:pPr>
            <w:r>
              <w:rPr>
                <w:rFonts w:ascii="Arial" w:cs="Arial" w:eastAsia="Arial" w:hAnsi="Arial"/>
                <w:sz w:val="18"/>
                <w:szCs w:val="18"/>
                <w:color w:val="auto"/>
                <w:w w:val="90"/>
              </w:rPr>
              <w:t>Real-time qPCR, SNP Genotyping, Gene</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(where each sample is paired with each assay),</w:t>
            </w:r>
          </w:p>
        </w:tc>
        <w:tc>
          <w:tcPr>
            <w:tcW w:w="2980" w:type="dxa"/>
            <w:vAlign w:val="bottom"/>
          </w:tcPr>
          <w:p>
            <w:pPr>
              <w:spacing w:after="0"/>
              <w:rPr>
                <w:sz w:val="20"/>
                <w:szCs w:val="20"/>
                <w:color w:val="auto"/>
              </w:rPr>
            </w:pPr>
            <w:r>
              <w:rPr>
                <w:rFonts w:ascii="Arial" w:cs="Arial" w:eastAsia="Arial" w:hAnsi="Arial"/>
                <w:sz w:val="18"/>
                <w:szCs w:val="18"/>
                <w:color w:val="auto"/>
              </w:rPr>
              <w:t>Expression</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allowing users to generate up to 9,216 real-time</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qPCR reactions simultaneously</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Digital Array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5"/>
              </w:rPr>
              <w:t>Microfluidic chip based on partitioning architecture,</w:t>
            </w:r>
          </w:p>
        </w:tc>
        <w:tc>
          <w:tcPr>
            <w:tcW w:w="2980" w:type="dxa"/>
            <w:vAlign w:val="bottom"/>
          </w:tcPr>
          <w:p>
            <w:pPr>
              <w:spacing w:after="0"/>
              <w:rPr>
                <w:sz w:val="20"/>
                <w:szCs w:val="20"/>
                <w:color w:val="auto"/>
              </w:rPr>
            </w:pPr>
            <w:r>
              <w:rPr>
                <w:rFonts w:ascii="Arial" w:cs="Arial" w:eastAsia="Arial" w:hAnsi="Arial"/>
                <w:sz w:val="18"/>
                <w:szCs w:val="18"/>
                <w:color w:val="auto"/>
              </w:rPr>
              <w:t>Digital PCR, Gene Expression, Copy</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89"/>
              </w:rPr>
              <w:t>allowing users to divide 48 separate samples into 770</w:t>
            </w:r>
          </w:p>
        </w:tc>
        <w:tc>
          <w:tcPr>
            <w:tcW w:w="2980" w:type="dxa"/>
            <w:vAlign w:val="bottom"/>
          </w:tcPr>
          <w:p>
            <w:pPr>
              <w:spacing w:after="0"/>
              <w:rPr>
                <w:sz w:val="20"/>
                <w:szCs w:val="20"/>
                <w:color w:val="auto"/>
              </w:rPr>
            </w:pPr>
            <w:r>
              <w:rPr>
                <w:rFonts w:ascii="Arial" w:cs="Arial" w:eastAsia="Arial" w:hAnsi="Arial"/>
                <w:sz w:val="18"/>
                <w:szCs w:val="18"/>
                <w:color w:val="auto"/>
                <w:w w:val="98"/>
              </w:rPr>
              <w:t>Number Variation, Mutation Detection</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smaller samples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Access Array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Microfluidic chip that facilitates parallel</w:t>
            </w:r>
          </w:p>
        </w:tc>
        <w:tc>
          <w:tcPr>
            <w:tcW w:w="2980" w:type="dxa"/>
            <w:vAlign w:val="bottom"/>
          </w:tcPr>
          <w:p>
            <w:pPr>
              <w:spacing w:after="0"/>
              <w:rPr>
                <w:sz w:val="20"/>
                <w:szCs w:val="20"/>
                <w:color w:val="auto"/>
              </w:rPr>
            </w:pPr>
            <w:r>
              <w:rPr>
                <w:rFonts w:ascii="Arial" w:cs="Arial" w:eastAsia="Arial" w:hAnsi="Arial"/>
                <w:sz w:val="18"/>
                <w:szCs w:val="18"/>
                <w:color w:val="auto"/>
              </w:rPr>
              <w:t>Next Generation DNA Sequencing</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amplification, barcoding and tagging of 48 unique</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samples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Multi-use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Reusable microfluidic chip that can be used up to</w:t>
            </w:r>
          </w:p>
        </w:tc>
        <w:tc>
          <w:tcPr>
            <w:tcW w:w="2980" w:type="dxa"/>
            <w:vAlign w:val="bottom"/>
          </w:tcPr>
          <w:p>
            <w:pPr>
              <w:spacing w:after="0"/>
              <w:rPr>
                <w:sz w:val="20"/>
                <w:szCs w:val="20"/>
                <w:color w:val="auto"/>
              </w:rPr>
            </w:pPr>
            <w:r>
              <w:rPr>
                <w:rFonts w:ascii="Arial" w:cs="Arial" w:eastAsia="Arial" w:hAnsi="Arial"/>
                <w:sz w:val="18"/>
                <w:szCs w:val="18"/>
                <w:color w:val="auto"/>
              </w:rPr>
              <w:t>SNP Genotyping</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five times and is able to produce up to 11,520</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genotypes over its lifespan</w:t>
            </w:r>
          </w:p>
        </w:tc>
        <w:tc>
          <w:tcPr>
            <w:tcW w:w="2980" w:type="dxa"/>
            <w:vAlign w:val="bottom"/>
          </w:tcPr>
          <w:p>
            <w:pPr>
              <w:spacing w:after="0"/>
              <w:rPr>
                <w:sz w:val="19"/>
                <w:szCs w:val="19"/>
                <w:color w:val="auto"/>
              </w:rPr>
            </w:pPr>
          </w:p>
        </w:tc>
      </w:tr>
    </w:tbl>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left="200" w:right="380" w:firstLine="443"/>
        <w:spacing w:after="0" w:line="268" w:lineRule="auto"/>
        <w:rPr>
          <w:sz w:val="20"/>
          <w:szCs w:val="20"/>
          <w:color w:val="auto"/>
        </w:rPr>
      </w:pPr>
      <w:r>
        <w:rPr>
          <w:rFonts w:ascii="Arial" w:cs="Arial" w:eastAsia="Arial" w:hAnsi="Arial"/>
          <w:sz w:val="18"/>
          <w:szCs w:val="18"/>
          <w:color w:val="auto"/>
        </w:rPr>
        <w:t>We intend to continue growing as a global leader in providing microfluidic systems to the life science research and Ag-Bio markets. Our business strategy includes the following elements:</w:t>
      </w:r>
    </w:p>
    <w:p>
      <w:pPr>
        <w:spacing w:after="0" w:line="51" w:lineRule="exact"/>
        <w:rPr>
          <w:sz w:val="20"/>
          <w:szCs w:val="20"/>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market penetration of our microfluidic systems;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recurring consumables revenue through instrument sales and product innovation;</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assays and design services that leverage our system strengths in key application areas;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expanded offerings that complement and support our core technology offerings;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our proprietary technology to address new markets;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superior customer service;</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 chip manufacturing efficiency;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our technology and intellectual property position.</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96" w:lineRule="exact"/>
        <w:rPr>
          <w:sz w:val="20"/>
          <w:szCs w:val="20"/>
          <w:color w:val="auto"/>
        </w:rPr>
      </w:pPr>
    </w:p>
    <w:p>
      <w:pPr>
        <w:ind w:left="200" w:right="460" w:firstLine="443"/>
        <w:spacing w:after="0" w:line="268" w:lineRule="auto"/>
        <w:rPr>
          <w:sz w:val="20"/>
          <w:szCs w:val="20"/>
          <w:color w:val="auto"/>
        </w:rPr>
      </w:pPr>
      <w:r>
        <w:rPr>
          <w:rFonts w:ascii="Arial" w:cs="Arial" w:eastAsia="Arial" w:hAnsi="Arial"/>
          <w:sz w:val="18"/>
          <w:szCs w:val="18"/>
          <w:color w:val="auto"/>
        </w:rPr>
        <w:t>Our business is subject to numerous risks, as more fully described in the section entitled “Risk Factors” immediately following this prospectus summary, including the following:</w:t>
      </w:r>
    </w:p>
    <w:p>
      <w:pPr>
        <w:spacing w:after="0" w:line="51" w:lineRule="exact"/>
        <w:rPr>
          <w:sz w:val="20"/>
          <w:szCs w:val="20"/>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losses since inception, and we expect to continue to incur substantial losses for the foreseeable future;</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products fail to achieve and sustain sufficient market acceptance, our revenue will be adversely affected;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financial results may vary significantly from quarter-to-quarter due to a number of factors, which may lead to volatility in our stock price;</w:t>
      </w:r>
    </w:p>
    <w:p>
      <w:pPr>
        <w:spacing w:after="0" w:line="113" w:lineRule="exact"/>
        <w:rPr>
          <w:rFonts w:ascii="Arial" w:cs="Arial" w:eastAsia="Arial" w:hAnsi="Arial"/>
          <w:sz w:val="16"/>
          <w:szCs w:val="16"/>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expand our customer base and introduce new applications;</w:t>
      </w:r>
    </w:p>
    <w:p>
      <w:pPr>
        <w:spacing w:after="0" w:line="90" w:lineRule="exact"/>
        <w:rPr>
          <w:rFonts w:ascii="Arial" w:cs="Arial" w:eastAsia="Arial" w:hAnsi="Arial"/>
          <w:sz w:val="18"/>
          <w:szCs w:val="18"/>
          <w:color w:val="auto"/>
        </w:rPr>
      </w:pPr>
    </w:p>
    <w:p>
      <w:pPr>
        <w:ind w:left="960" w:right="44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life science research and Ag-Bio markets are highly competitive and subject to rapid technological change, and we may not be able to successfully compete;</w:t>
      </w:r>
    </w:p>
    <w:p>
      <w:pPr>
        <w:spacing w:after="0" w:line="50" w:lineRule="exact"/>
        <w:rPr>
          <w:rFonts w:ascii="Arial" w:cs="Arial" w:eastAsia="Arial" w:hAnsi="Arial"/>
          <w:sz w:val="18"/>
          <w:szCs w:val="18"/>
          <w:color w:val="auto"/>
        </w:rPr>
      </w:pPr>
    </w:p>
    <w:p>
      <w:pPr>
        <w:ind w:left="960" w:right="36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need to expand our resources for marketing, selling and distributing our products and we may not be able to expand our direct sales and marketing force or distribution capabilities to adequately address our customers’ needs;</w:t>
      </w:r>
    </w:p>
    <w:p>
      <w:pPr>
        <w:spacing w:after="0" w:line="5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proprietary technology through patents and other means is uncertain; and</w:t>
      </w:r>
    </w:p>
    <w:p>
      <w:pPr>
        <w:spacing w:after="0" w:line="90" w:lineRule="exact"/>
        <w:rPr>
          <w:rFonts w:ascii="Arial" w:cs="Arial" w:eastAsia="Arial" w:hAnsi="Arial"/>
          <w:sz w:val="18"/>
          <w:szCs w:val="18"/>
          <w:color w:val="auto"/>
        </w:rPr>
      </w:pPr>
    </w:p>
    <w:p>
      <w:pPr>
        <w:ind w:left="960" w:right="36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and proprietary rights and to determine the scope, coverage and validity of others’ proprietary rights.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2011 Option Grants to Officers and Directors</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In January 2011, we granted options to purchase shares of our common stock to our directors and executive officers. All of these grants had an exercise price of $8.37 per share, which our board of directors determined to be the fair value of our common stock at the time of grant. The grants to our directors were standard annual director grants, in this case for service during 2011. Each director received an option to purchase 8,670 shares. The grants to our executive officers featured performance based vesting and represent the equity component of our 2010 compensation program for executive officers. Each executive officer received two options to purchase a total of 11,560 shares. Based on the difference between the exercise price of the options and $14.50, the mid-point of the range set forth on the cover page of this prospectus, multiplied by the number shares granted, the current value of the option granted to each director would be $53,119 and the current value of the option granted to each executive officer would be $70,825.</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96" w:lineRule="exact"/>
        <w:rPr>
          <w:sz w:val="20"/>
          <w:szCs w:val="20"/>
          <w:color w:val="auto"/>
        </w:rPr>
      </w:pPr>
    </w:p>
    <w:p>
      <w:pPr>
        <w:ind w:left="200" w:right="640" w:firstLine="443"/>
        <w:spacing w:after="0" w:line="268" w:lineRule="auto"/>
        <w:rPr>
          <w:sz w:val="20"/>
          <w:szCs w:val="20"/>
          <w:color w:val="auto"/>
        </w:rPr>
      </w:pPr>
      <w:r>
        <w:rPr>
          <w:rFonts w:ascii="Arial" w:cs="Arial" w:eastAsia="Arial" w:hAnsi="Arial"/>
          <w:sz w:val="18"/>
          <w:szCs w:val="18"/>
          <w:color w:val="auto"/>
        </w:rPr>
        <w:t>We were incorporated in California in May 1999 as Mycometrix Corporation, changed our name to Fluidigm Corporation in April 2001 and reincorporated in Delaware in July 2007. Our principal executive offices</w:t>
      </w:r>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62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11620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are located at 7000 Shoreline Court, Suite 100, South San Francisco, California 94080. Our telephone number is (650) 266-6000. Our website address is www.fluidigm.com. Information contained on our website is not incorporated by reference into this prospectus, and should not be considered to be part of this prospectus.</w:t>
      </w:r>
    </w:p>
    <w:p>
      <w:pPr>
        <w:spacing w:after="0" w:line="14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“Fluidigm,” the Fluidigm logo, “BioMark,” “ Dynamic Array,” “Digital Array,” “Access Array,” “EP1,” “FC1,” “TOPAZ,” “FLUIDLINE,” “AutoInspeX,” “MSL” and “NanoFlex” are trademarks or registered trademarks of Fluidigm. Other service marks, trademarks and trade names referred to in this prospectus are the property of their respective owners.</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58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5,172,414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18,589,649 shares (or 19,365,511 if the underwriters exercise their over-allotment option)</w:t>
      </w:r>
    </w:p>
    <w:p>
      <w:pPr>
        <w:spacing w:after="0" w:line="211" w:lineRule="exact"/>
        <w:rPr>
          <w:sz w:val="20"/>
          <w:szCs w:val="20"/>
          <w:color w:val="auto"/>
        </w:rPr>
      </w:pPr>
    </w:p>
    <w:p>
      <w:pPr>
        <w:sectPr>
          <w:pgSz w:w="11900" w:h="16838" w:orient="portrait"/>
          <w:cols w:equalWidth="0" w:num="2">
            <w:col w:w="3780" w:space="6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intend to use the net proceeds from this offering for sales and marketing activities, including expansion of our sales force to support the ongoing commercialization of our products; for research and product development activities; for facilities improvements and purchase of manufacturing and other equipment; and for working capital and other general corporate purposes. We also intend to use a portion of the proceeds of this offering to repay approximately $5.0 million in principal plus accrued interest on promissory notes issued by us in January 2011, of which, notes with an aggregate principal amount of approximately $1.77 million are held by entities affiliated with certain of our directors, executive officers and holders of more than 5% of a class of our voting stock. See “Certain Relationships and Related Party Transactions—2011 Note Financing.” We may also use a portion of our net proceeds to acquire and invest in complementary products, technologies or businesses; however, we currently have no agreements or commitments to complete any such transaction. See “Use of Proceeds.”</w:t>
      </w:r>
    </w:p>
    <w:p>
      <w:pPr>
        <w:spacing w:after="0" w:line="165"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FLDM</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The number of shares of our common stock to be outstanding following this offering is based on 13,417,235 shares of our common stock outstanding as of January 11, 2011 and excludes:</w:t>
      </w:r>
    </w:p>
    <w:p>
      <w:pPr>
        <w:spacing w:after="0" w:line="51" w:lineRule="exact"/>
        <w:rPr>
          <w:sz w:val="20"/>
          <w:szCs w:val="20"/>
          <w:color w:val="auto"/>
        </w:rPr>
      </w:pPr>
    </w:p>
    <w:p>
      <w:pPr>
        <w:ind w:left="960" w:right="160" w:hanging="331"/>
        <w:spacing w:after="0" w:line="26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2,183,537 shares of common stock issuable upon exercise of options outstanding as of January 11, 2011, at a weighted average exercise price of $5.00 per share;</w:t>
      </w:r>
    </w:p>
    <w:p>
      <w:pPr>
        <w:spacing w:after="0" w:line="50" w:lineRule="exact"/>
        <w:rPr>
          <w:rFonts w:ascii="Arial" w:cs="Arial" w:eastAsia="Arial" w:hAnsi="Arial"/>
          <w:sz w:val="18"/>
          <w:szCs w:val="18"/>
          <w:color w:val="auto"/>
        </w:rPr>
      </w:pPr>
    </w:p>
    <w:p>
      <w:pPr>
        <w:ind w:left="960" w:right="140" w:hanging="331"/>
        <w:spacing w:after="0" w:line="26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538,759 shares of common stock issuable upon the exercise of warrants outstanding as of January 11, 2011, at a weighted average exercise price of $12.46 per share, after conversion of our convertible preferred stock;</w:t>
      </w:r>
    </w:p>
    <w:p>
      <w:pPr>
        <w:spacing w:after="0" w:line="50" w:lineRule="exact"/>
        <w:rPr>
          <w:rFonts w:ascii="Arial" w:cs="Arial" w:eastAsia="Arial" w:hAnsi="Arial"/>
          <w:sz w:val="18"/>
          <w:szCs w:val="18"/>
          <w:color w:val="auto"/>
        </w:rPr>
      </w:pPr>
    </w:p>
    <w:p>
      <w:pPr>
        <w:ind w:left="960" w:hanging="331"/>
        <w:spacing w:after="0" w:line="323" w:lineRule="auto"/>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1,306,629 shares of common stock reserved for future issuance under our stock-based compensation plans, including 1,250,000 shares of common stock reserved for issuance under our 2011 Equity Incentive Plan, which will become effective on the date of this prospectus, and any future automatic increase in shares reserved for issuance under such plan, and 56,629 shares of common stock reserved for issuance under our 2009 Equity Incentive Plan as of January 11, 2011, which shares will be added to our 2011 Equity Incentive Plan upon effectiveness of such plan; and</w:t>
      </w:r>
    </w:p>
    <w:p>
      <w:pPr>
        <w:spacing w:after="0" w:line="16" w:lineRule="exact"/>
        <w:rPr>
          <w:rFonts w:ascii="Arial" w:cs="Arial" w:eastAsia="Arial" w:hAnsi="Arial"/>
          <w:sz w:val="15"/>
          <w:szCs w:val="15"/>
          <w:color w:val="auto"/>
        </w:rPr>
      </w:pPr>
    </w:p>
    <w:p>
      <w:pPr>
        <w:ind w:left="960" w:right="340" w:hanging="331"/>
        <w:spacing w:after="0" w:line="33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172 shares of common stock that were issued and outstanding but would not be included in stockholders’ deficit January 11, 2011 pursuant to accounting principles generally accepted in the United States, as these shares were subject to a right of repurchase by us.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90" w:lineRule="exact"/>
        <w:rPr>
          <w:sz w:val="20"/>
          <w:szCs w:val="20"/>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1-for-1.73 reverse stock split of our outstanding stock;</w:t>
      </w:r>
    </w:p>
    <w:p>
      <w:pPr>
        <w:spacing w:after="0" w:line="90" w:lineRule="exact"/>
        <w:rPr>
          <w:rFonts w:ascii="Arial" w:cs="Arial" w:eastAsia="Arial" w:hAnsi="Arial"/>
          <w:sz w:val="18"/>
          <w:szCs w:val="18"/>
          <w:color w:val="auto"/>
        </w:rPr>
      </w:pPr>
    </w:p>
    <w:p>
      <w:pPr>
        <w:ind w:left="960" w:right="420" w:hanging="331"/>
        <w:spacing w:after="0" w:line="268"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an aggregate of 11,480,406 shares of common stock upon the closing of this offering;</w:t>
      </w:r>
    </w:p>
    <w:p>
      <w:pPr>
        <w:spacing w:after="0" w:line="50" w:lineRule="exact"/>
        <w:rPr>
          <w:rFonts w:ascii="Arial" w:cs="Arial" w:eastAsia="Arial" w:hAnsi="Arial"/>
          <w:sz w:val="18"/>
          <w:szCs w:val="18"/>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of our eighth amended and restated certificate of incorporation immediately upon the closing of this offering;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the underwriters of their over-allotment option.</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derived the summary consolidated statement of operations data for the years ended December 29, 2007, December 27, 2008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December 31, 2009 from our audited consolidated financial statements included elsewhere in this prospectus. The report of our independent registered public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accounting firm on our consolidated financial statements for the year ended December 31, 2009, which appears elsewhere in this prospectus, includes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explanatory paragraph that describes an uncertainty about our ability to continue as a going concern. We have derived the summary consolidated statement of</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operations data for the nine months ended September 30, 2009 and 2010, and the consolidated balance sheet data as of September 30, 2010 from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unaudited consolidated financial statements included elsewhere in this prospectus. Our historical results are not necessarily indicative of the results that may</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expected in the future. The following summary consolidated financial data should be read in conjunction with “Management’s Discussion and Analysis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Financial Condition and Results of Operations” and our consolidated financial statements and related notes included elsewhere in this prospectus.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3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13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580" w:type="dxa"/>
            <w:vAlign w:val="bottom"/>
          </w:tcPr>
          <w:p>
            <w:pPr>
              <w:spacing w:after="0"/>
              <w:rPr>
                <w:sz w:val="11"/>
                <w:szCs w:val="11"/>
                <w:color w:val="auto"/>
              </w:rPr>
            </w:pPr>
          </w:p>
        </w:tc>
        <w:tc>
          <w:tcPr>
            <w:tcW w:w="14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gridSpan w:val="6"/>
          </w:tcPr>
          <w:p>
            <w:pPr>
              <w:ind w:left="580"/>
              <w:spacing w:after="0" w:line="155" w:lineRule="exact"/>
              <w:rPr>
                <w:sz w:val="20"/>
                <w:szCs w:val="20"/>
                <w:color w:val="auto"/>
              </w:rPr>
            </w:pPr>
            <w:r>
              <w:rPr>
                <w:rFonts w:ascii="Arial" w:cs="Arial" w:eastAsia="Arial" w:hAnsi="Arial"/>
                <w:sz w:val="14"/>
                <w:szCs w:val="14"/>
                <w:b w:val="1"/>
                <w:bCs w:val="1"/>
                <w:color w:val="auto"/>
                <w:w w:val="87"/>
              </w:rPr>
              <w:t>(in thousands, except per share data)</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Product 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4,451</w:t>
            </w: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13,364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23,599</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16,369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20,883</w:t>
            </w: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Collaboration revenue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460</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Grant revenue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2,364</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1,913</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1,813</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1,420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86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7,275</w:t>
            </w:r>
          </w:p>
        </w:tc>
        <w:tc>
          <w:tcPr>
            <w:tcW w:w="180" w:type="dxa"/>
            <w:vAlign w:val="bottom"/>
          </w:tcPr>
          <w:p>
            <w:pPr>
              <w:spacing w:after="0"/>
              <w:rPr>
                <w:sz w:val="14"/>
                <w:szCs w:val="14"/>
                <w:color w:val="auto"/>
              </w:rPr>
            </w:pPr>
          </w:p>
        </w:tc>
        <w:tc>
          <w:tcPr>
            <w:tcW w:w="12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15,347</w:t>
            </w:r>
          </w:p>
        </w:tc>
        <w:tc>
          <w:tcPr>
            <w:tcW w:w="160" w:type="dxa"/>
            <w:vAlign w:val="bottom"/>
          </w:tcPr>
          <w:p>
            <w:pPr>
              <w:spacing w:after="0"/>
              <w:rPr>
                <w:sz w:val="14"/>
                <w:szCs w:val="14"/>
                <w:color w:val="auto"/>
              </w:rPr>
            </w:pPr>
          </w:p>
        </w:tc>
        <w:tc>
          <w:tcPr>
            <w:tcW w:w="120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25,412</w:t>
            </w:r>
          </w:p>
        </w:tc>
        <w:tc>
          <w:tcPr>
            <w:tcW w:w="220" w:type="dxa"/>
            <w:vAlign w:val="bottom"/>
          </w:tcPr>
          <w:p>
            <w:pPr>
              <w:spacing w:after="0"/>
              <w:rPr>
                <w:sz w:val="14"/>
                <w:szCs w:val="14"/>
                <w:color w:val="auto"/>
              </w:rPr>
            </w:pPr>
          </w:p>
        </w:tc>
        <w:tc>
          <w:tcPr>
            <w:tcW w:w="12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17,789</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23,205</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Cost of product revenue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3,514</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8,364</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11,486</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7,999</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14,389</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14,015</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12,315</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9,249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12,898</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22,511</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19,648</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14,386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17,672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costs and expenses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30,801</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44,890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43,449</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32,039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35,768</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130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(23,526)</w:t>
            </w:r>
          </w:p>
        </w:tc>
        <w:tc>
          <w:tcPr>
            <w:tcW w:w="18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(29,543)</w:t>
            </w:r>
          </w:p>
        </w:tc>
        <w:tc>
          <w:tcPr>
            <w:tcW w:w="16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(18,037)</w:t>
            </w:r>
          </w:p>
        </w:tc>
        <w:tc>
          <w:tcPr>
            <w:tcW w:w="22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(14,250)</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(2,790)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(2,031)</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(2,876)</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38"/>
        </w:trPr>
        <w:tc>
          <w:tcPr>
            <w:tcW w:w="4640" w:type="dxa"/>
            <w:vAlign w:val="bottom"/>
          </w:tcPr>
          <w:p>
            <w:pPr>
              <w:spacing w:after="0" w:line="138" w:lineRule="exact"/>
              <w:rPr>
                <w:sz w:val="20"/>
                <w:szCs w:val="20"/>
                <w:color w:val="auto"/>
              </w:rPr>
            </w:pPr>
            <w:r>
              <w:rPr>
                <w:rFonts w:ascii="Arial" w:cs="Arial" w:eastAsia="Arial" w:hAnsi="Arial"/>
                <w:sz w:val="14"/>
                <w:szCs w:val="14"/>
                <w:color w:val="auto"/>
              </w:rPr>
              <w:t>Gain (loss) from changes in the fair value of convertible preferred stock</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tcPr>
          <w:p>
            <w:pPr>
              <w:ind w:left="220"/>
              <w:spacing w:after="0" w:line="159" w:lineRule="exact"/>
              <w:rPr>
                <w:sz w:val="20"/>
                <w:szCs w:val="20"/>
                <w:color w:val="auto"/>
              </w:rPr>
            </w:pPr>
            <w:r>
              <w:rPr>
                <w:rFonts w:ascii="Arial" w:cs="Arial" w:eastAsia="Arial" w:hAnsi="Arial"/>
                <w:sz w:val="14"/>
                <w:szCs w:val="14"/>
                <w:color w:val="auto"/>
              </w:rPr>
              <w:t>warrants, net</w:t>
            </w: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(245)</w:t>
            </w:r>
          </w:p>
        </w:tc>
        <w:tc>
          <w:tcPr>
            <w:tcW w:w="18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769</w:t>
            </w:r>
          </w:p>
        </w:tc>
        <w:tc>
          <w:tcPr>
            <w:tcW w:w="160" w:type="dxa"/>
            <w:vAlign w:val="bottom"/>
          </w:tcPr>
          <w:p>
            <w:pPr>
              <w:spacing w:after="0"/>
              <w:rPr>
                <w:sz w:val="13"/>
                <w:szCs w:val="13"/>
                <w:color w:val="auto"/>
              </w:rPr>
            </w:pP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(135)</w:t>
            </w:r>
          </w:p>
        </w:tc>
        <w:tc>
          <w:tcPr>
            <w:tcW w:w="22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1,140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766</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393</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1,833</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income taxes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(25,346)</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(29,646)</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(19,178)</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(15,697)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8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(105)</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(25,451)</w:t>
            </w: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(29,499)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(19,128)</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Net loss per share of common stock, basic and diluted(1)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vMerge w:val="continue"/>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(15.93)</w:t>
            </w:r>
          </w:p>
        </w:tc>
        <w:tc>
          <w:tcPr>
            <w:tcW w:w="18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(17.85)</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(11.02)</w:t>
            </w:r>
          </w:p>
        </w:tc>
        <w:tc>
          <w:tcPr>
            <w:tcW w:w="22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40"/>
              <w:spacing w:after="0" w:line="143" w:lineRule="exact"/>
              <w:rPr>
                <w:sz w:val="20"/>
                <w:szCs w:val="20"/>
                <w:color w:val="auto"/>
              </w:rPr>
            </w:pPr>
            <w:r>
              <w:rPr>
                <w:rFonts w:ascii="Arial" w:cs="Arial" w:eastAsia="Arial" w:hAnsi="Arial"/>
                <w:sz w:val="14"/>
                <w:szCs w:val="14"/>
                <w:color w:val="auto"/>
              </w:rPr>
              <w:t>(9.24)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Shares used in computing net loss per share of common stock, basic and</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diluted(1)</w:t>
            </w: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1,598</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1,653</w:t>
            </w: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1,736</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Pro forma net loss per share available to common stockholders, basic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tcPr>
          <w:p>
            <w:pPr>
              <w:ind w:left="220"/>
              <w:spacing w:after="0" w:line="159" w:lineRule="exact"/>
              <w:rPr>
                <w:sz w:val="20"/>
                <w:szCs w:val="20"/>
                <w:color w:val="auto"/>
              </w:rPr>
            </w:pPr>
            <w:r>
              <w:rPr>
                <w:rFonts w:ascii="Arial" w:cs="Arial" w:eastAsia="Arial" w:hAnsi="Arial"/>
                <w:sz w:val="14"/>
                <w:szCs w:val="14"/>
                <w:color w:val="auto"/>
              </w:rPr>
              <w:t>diluted (unaudited)(1)</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(2.60)</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7"/>
              </w:rPr>
              <w:t>Shares used in computing pro forma net loss per share available to common</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stockholders, basic and diluted (unaudited)(1)</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11,496</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12,227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20" w:right="20" w:hanging="423"/>
        <w:spacing w:after="0" w:line="288" w:lineRule="auto"/>
        <w:tabs>
          <w:tab w:leader="none" w:pos="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Please see Note 2 to our audited consolidated financial statements for an explanation of the method used to calculate basic and diluted net loss per share and basic and diluted pro forma net loss per share of common stock for the year ended December 31, 2009. Please see Note 1 to our interim condensed consolidated financial statements for an explanation of the method used to calculate basic and diluted net loss per share and basic and diluted pro forma net loss per share of common stock for the nine months ended September 30, 2010.</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85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28854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September 30, 2010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1"/>
                <w:szCs w:val="11"/>
                <w:color w:val="auto"/>
              </w:rPr>
            </w:pPr>
          </w:p>
        </w:tc>
      </w:tr>
      <w:tr>
        <w:trPr>
          <w:trHeight w:val="161"/>
        </w:trPr>
        <w:tc>
          <w:tcPr>
            <w:tcW w:w="710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Pro Forma(1)</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 Adjusted(2)(3)</w:t>
            </w:r>
          </w:p>
        </w:tc>
      </w:tr>
      <w:tr>
        <w:trPr>
          <w:trHeight w:val="20"/>
        </w:trPr>
        <w:tc>
          <w:tcPr>
            <w:tcW w:w="7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7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   5,083</w:t>
            </w:r>
          </w:p>
        </w:tc>
        <w:tc>
          <w:tcPr>
            <w:tcW w:w="5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10,085</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73,335</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6,817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8,373</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75,466</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22,090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27,092</w:t>
            </w: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90,342</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14,610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14,610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14,610</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Convertible preferred stock warrants</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397</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184,549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72"/>
        </w:trPr>
        <w:tc>
          <w:tcPr>
            <w:tcW w:w="710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(186,395)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color w:val="auto"/>
              </w:rPr>
              <w:t>(290)</w:t>
            </w:r>
          </w:p>
        </w:tc>
        <w:tc>
          <w:tcPr>
            <w:tcW w:w="1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66,803</w:t>
            </w:r>
          </w:p>
        </w:tc>
      </w:tr>
    </w:tbl>
    <w:p>
      <w:pPr>
        <w:spacing w:after="0" w:line="114" w:lineRule="exact"/>
        <w:rPr>
          <w:sz w:val="20"/>
          <w:szCs w:val="20"/>
          <w:color w:val="auto"/>
        </w:rPr>
      </w:pPr>
    </w:p>
    <w:p>
      <w:pPr>
        <w:ind w:left="620" w:hanging="423"/>
        <w:spacing w:after="0" w:line="262"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Reflects on a pro forma basis (i) our issuance and sale in January 2011 of promissory notes in an aggregate principal amount of $5.0 million; (ii) our issuance in January 2011 of warrants to purchase an aggregate of 103,182 shares of our Series E-1 preferred stock at an exercise price of $0.02 per share, the exercise of such warrants and the conversion of such Series E-1 preferred stock into common stock immediately prior to the consummation of this offering; (iii) the filing of our sixth amended and restated certificate of incorporation which adjusted the conversion rate of Series E preferred stock from 1-to-1 to 1-to-1.3; (iv) the conversion of all outstanding shares of convertible preferred stock into common stock; and (v) the reclassification of the convertible preferred stock warrant liabilities to additional paid-in capital, each effective upon the closing of this offering.</w:t>
      </w:r>
    </w:p>
    <w:p>
      <w:pPr>
        <w:spacing w:after="0" w:line="1" w:lineRule="exact"/>
        <w:rPr>
          <w:rFonts w:ascii="Arial" w:cs="Arial" w:eastAsia="Arial" w:hAnsi="Arial"/>
          <w:sz w:val="12"/>
          <w:szCs w:val="12"/>
          <w:color w:val="auto"/>
        </w:rPr>
      </w:pPr>
    </w:p>
    <w:p>
      <w:pPr>
        <w:ind w:left="620" w:right="200" w:hanging="423"/>
        <w:spacing w:after="0" w:line="258"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Reflects (i) the pro forma conversions and reclassifications described above, (ii) the sale of shares of our common stock in this offering at the assumed initial public offering price of $14.50 per share, the midpoint of the range set forth on the cover page of this prospectus, after deducting estimated underwriting discounts and commissions and estimated offering expenses payable by us, and (iii) the repayment of the notes issued by us in January 2011 and the recognition of any related pro forma debt discount.</w:t>
      </w:r>
    </w:p>
    <w:p>
      <w:pPr>
        <w:ind w:left="620" w:right="100" w:hanging="423"/>
        <w:spacing w:after="0" w:line="265"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$1.00 increase (decrease) in the assumed initial public offering price of $14.50 per share, the midpoint of the range set forth on the cover page of this prospectus, would increase (decrease) cash and cash equivalents and each of working capital, total assets and total stockholders’ equity by $4.9 million, after deducting estimated underwriting discounts and commissions and estimated offering expenses payable by us, assuming that the number of shares offered by us, as set forth on the cover page of this prospectus, remains the same. Each increase of 1.0 million shares in the number of shares offered by us would increase cash and cash equivalents and each of working capital, total assets and total stockholders’ equity by approximately $13.6 million. Similarly, each decrease of 1.0 million shares in the number of shares offered by us would decrease cash and cash equivalents and each of working capital, total assets and total stockholders’ equity by approximately $13.6 million. The pro forma as adjusted information discussed above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8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$25.5 million, $29.5 million, $19.1 million and $13.8 million during 2007, 2008, 2009 and the nine months ended September 30, 2010, respectively. As of September 30, 2010, we had an accumulated deficit of $196.2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significant expansion of our sales and marketing capabilities. Additionally, following this offering,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most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Historically, a significant part of our sales and marketing efforts have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11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This variability may lead to volatility in our stock price as research analysts and investors respond to these quarterly fluctuations. These fluctuations are due to numerous factors,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and fluctuations in foreign currency exchange rates. For example, in 2008 and 2009, we experienced higher sales in the fourth quarter than in the first quarter of the next fiscal year as a result of one or more of the factors described above. The foregoing factors are difficult to forecast, and these,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Our results of operations may not meet the expectations of research analysts or investors, in which case the price of our common stock could decrease significantly.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customer base is primarily composed of pharmaceutical, biotechnology and Ag-Bio companies, academic institutions and life science laboratories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In addition, certain new applications that we are considering developing are not commonly performed with conventional techniques and therefore may require additional sales efforts to create customer awareness of the utility of these applications. Any failure to expand our existing customer base or launch new applications would adversely affect our ability to increase our revenues.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for gene expression analysis, genotyping, PCR,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that compete in certain segments of the market in which we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sell our products, including gene expression analysis, genotyping and sequencing. In addition, a number of other companies and academic groups are in the process of developing novel technologies for life science markets.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195"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we need to expand our direct sales and marketing force or distribution capabilities to adequately address our customers’ needs.</w:t>
      </w:r>
    </w:p>
    <w:p>
      <w:pPr>
        <w:spacing w:after="0" w:line="4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We may not be able to market, sell and distribute our products effectively enough to support our planned growth.</w:t>
      </w:r>
    </w:p>
    <w:p>
      <w:pPr>
        <w:spacing w:after="0" w:line="14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14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impact our business operations.</w:t>
      </w:r>
    </w:p>
    <w:p>
      <w:pPr>
        <w:spacing w:after="0" w:line="218" w:lineRule="exact"/>
        <w:rPr>
          <w:sz w:val="20"/>
          <w:szCs w:val="20"/>
          <w:color w:val="auto"/>
        </w:rPr>
      </w:pPr>
    </w:p>
    <w:p>
      <w:pPr>
        <w:ind w:right="80"/>
        <w:spacing w:after="0" w:line="338" w:lineRule="auto"/>
        <w:rPr>
          <w:sz w:val="20"/>
          <w:szCs w:val="20"/>
          <w:color w:val="auto"/>
        </w:rPr>
      </w:pPr>
      <w:r>
        <w:rPr>
          <w:rFonts w:ascii="Arial" w:cs="Arial" w:eastAsia="Arial" w:hAnsi="Arial"/>
          <w:sz w:val="16"/>
          <w:szCs w:val="16"/>
          <w:b w:val="1"/>
          <w:bCs w:val="1"/>
          <w:color w:val="auto"/>
        </w:rPr>
        <w:t>Our business depends on research and development spending levels of pharmaceutical, Ag-Bio and biotechnology companies and academic, clinical and governmental research institutions and any reduction in such spending could limit our ability to sell our products.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and biotechnology, Ag-Bio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expenditures by these customers may result in lower than expected system sales and, similarly, reductions in operating expenditures by these customers could result in lower than expected sales of our microfluidic systems and chips. These reductions and delays may result from factors that are not within our control, such as:</w:t>
      </w:r>
    </w:p>
    <w:p>
      <w:pPr>
        <w:spacing w:after="0" w:line="59"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as a result of the foregoing or other factors could materially and adversely affect our operations or financial condition.</w:t>
      </w:r>
    </w:p>
    <w:p>
      <w:pPr>
        <w:spacing w:after="0" w:line="20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not be able to develop new systems or enhance the capabilities of our existing microfluidic systems to keep pace with rapidly changing technology and customer requirements.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success depends on our ability to develop new applications for our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single cell analyses,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have planned improvements to our BioMark, EP1 and Access Array systems, we may not be able to successfully implement these improvements. If we fail to keep pace with emerging technologies, demand for our systems will not grow and may decline, and our business, revenue, financial condition and operating results could suffer materially.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market opportunities may not develop as quickly as we expect.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application of our technologies to molecular diagnostics, single cell analysis, digital PCR and sample preparation for next generation DNA sequencing are emerging market opportunities. We believe these opportunities will take several years to develop or mature and we cannot be certain that these market opportunities will develop as we expect. Although we believe that there will be applications of our technologies in these markets, there can be no certainty of the technical or commercial success our technologies will achieve in such markets. Our success in the emerging markets of molecular diagnostics, single cell analysis, digital PCR and sample preparation for next generation DNA sequencing may depend to a large extent on our ability to successfully market and sell products using our technologies. In addition, in the case of molecular diagnostics, we will need to obtain regulatory approval for such products in the United States and in overseas markets.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product development efforts may not result in commercially viable products within the timeline anticipated, if at all.</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Our technology is new and complex and the behavior of fluids and surrounding compounds in a nanoscale environment is difficult to predict in advance. Though we have developed design rules for the implementation of our technology, these are frequently revised to reflect new insights we have gained about the technology. In addition, we have discovered that biological or chemical reactions sometimes behave differently when implemented on our systems rather than in a standard laboratory environment. As a result, research and development efforts may be required to transfer certain reactions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cycles are lengthy and variable, which makes it difficult for us to forecast revenue and other operating results.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sales cycles for our systems are lengthy, which makes it difficult for us to accurately forecast revenues in a given period, and may cause revenue and operating results to vary significantly from period to period.</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Due in part to the high up-front cost associated with our systems, potential customers for our systems typically need to commit significant time and resources to evaluate our technology and their decision to purchase our instruments may be further limited by budgetary constraints and several layers of internal review and approval, which are beyond our control. In addition, the novelty and complexity of our products often requires us to spend substantial time and effort assisting potential customers in evaluating our instruments, including providing demonstrations and benchmarking our products against other available technologies.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rely on strategic partnerships for research and development and commercialization purposes.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and may continue to enter into strategic partnerships, including collaborations, joint ventures and alliances with other participants in the life science, Ag-Bio and molecular diagnostics industries. For example, in 2010, we entered into a collaboration agreement in molecular diagnostics and a co-marketing agreement in next generation sequencing. If any of our strategic partners were to change their business strategies or development priorities, or encounter research and development obstacles, they may no longer be willing or able to participate in such strategic partnerships which could have a material adverse effect on our business, financial condition and results of operations. In addition, we may not control the strategic partnerships in which we participate. We may also have certain obligations, including some limited funding obligations or take or pay obligations, with regard to our strategic partnerships, joint ventures and alliances. We may be required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relinquish important rights, including intellectual property rights, and control over the development of our product candidates, assume product or other liabilities associated with the use of our products in diagnostic and other applications, agree to restrictions on the use or applications of our products, or otherwise be subject to terms unfavorable to us.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Under our collaboration agreements with Novartis Vaccines &amp; Diagnostics, Inc., or Novartis V&amp;D,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technical feasibility milestones in 2010 and 2011 and may be terminated by Novartis V&amp;D at any time. At Novartis V&amp;D’s option, these agreements can be extended to encompass further research, development and commercialization of our products in the primary and secondary fields described above, which could take several years or more to complete. The agreements provide that if a test is commercialized, we would supply the required systems and chips for performance of such test.</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agreements and efforts with Novartis V&amp;D are in their early stages and are subject to numerous conditions, contingencies, development challenges, milestones, royalty and license fees, indemnification obligations, termination rights, change of control and default provisions and regulatory approvals. There can be no assurance that this collaboration will lead to technology, products or services, that such technology, products or services will receive market acceptance, that we will realize any material revenue or other benefits from this collaboration or that the benefits will exceed our costs.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our facility becomes inoperable, we will be unable to continue manufacturing our products and as a result, our business will be harmed until we are able to secure a new facility.</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manufacture and assemble all of our products for commercial sale at our facility in Singapore. No other manufacturing or assembly facilities are currently available to us. Our facility and the equipment we use to manufacture our products would be costly to replace and could require substantial lead time to repair or replace. The facility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that the net proceeds from this offering, together with our existing cash and cash equivalents will be sufficient to meet our anticipated cash requirements for at least the next 18 months. However, we may need to raise substantial additional capital to:</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 our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our research and development.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14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covenant relating to a reagent precluded its use with our systems, our ability to sell and market our products could be materially and adversely affected. For example, the current applications of our BioMark system, which represented 52% of our product revenue in 2009, involve real-time polymerase chain reaction, or PCR. Leading suppliers of reagents for PCR reactions include Life Technologies and Roche Applied Science, who are our direct competitors, and their licensees. These PCR reagents are typically sold pursuant to limited licenses or covenants not to sue with respect to patents held by these companies. We do not have any contractual supply agreements for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provide quality technical support, we could lose customers and our operating results could suffer.</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systems, and the loss of any of these suppliers could harm our business.</w:t>
      </w:r>
    </w:p>
    <w:p>
      <w:pPr>
        <w:spacing w:after="0" w:line="4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1" w:lineRule="exact"/>
        <w:rPr>
          <w:sz w:val="20"/>
          <w:szCs w:val="20"/>
          <w:color w:val="auto"/>
        </w:rPr>
      </w:pPr>
    </w:p>
    <w:p>
      <w:pPr>
        <w:jc w:val="both"/>
        <w:ind w:left="78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59"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high resolution camera lenses and other components that are available from a limited number of sources.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systems or cause delays in shipment of our systems; and</w:t>
      </w:r>
    </w:p>
    <w:p>
      <w:pPr>
        <w:spacing w:after="0" w:line="5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11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been manufacturing and assembling our products in significant commercial quantities since 2006, and we may encounter unforeseen situations that would result in delays or shortfalls in our production.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of our commercial products are manufactured at our facility in Singapore. We began commercial production of our chips in Singapore in October 2006 and have transitioned the commercial production of our microfluidic systems to Singapore as well.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Such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82"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Our shipments of products to customers are subject to delays or cancellation due to work stoppages or slowdowns, piracy, damage to shipping facilities caused by weather or terrorism, and congestion due to inadequacy of shipping equipment and other causes.</w:t>
      </w:r>
    </w:p>
    <w:p>
      <w:pPr>
        <w:spacing w:after="0" w:line="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Because all our products are manufactured at our facility in Singapore, we rely on shipping providers to deliver our products to our customers. To the extent that there are disruptions or delays in shipping our products from Singapore or off-loading our products upon arrival at their destination due to labor disputes, tariff or World Trade Organization-related disputes, piracy, physical damage to shipping facilities or equipment caused by severe weather or terrorist incidents, congestion at shipping facilities, inadequate equipment to load, dock and offload our products or energy-related tie-ups or otherwise, or for other reasons, product shipments to our customers will be delayed. Depending on the severity of such consequences, this may have an adverse effect on our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recruit and retain key executives and scientists, we may be unable to achieve our goals.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complex and technical nature of our system and the dynamic market in which we compete, any failure to attract and retain a sufficient number of qualified employees could materially harm our ability to develop and commercialize our technology.</w:t>
      </w:r>
    </w:p>
    <w:p>
      <w:pPr>
        <w:spacing w:after="0" w:line="207"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global economy has been experiencing a significant economic downturn, and global credit and capital markets have experienced substantial volatility and disruption.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anticipated growth effectively.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We have increased the number of our employees from 131 at December 29, 2007 to 198 at September 30, 2010.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commercial manufacturing facility located in Singapore is sufficient to meet our short-term manufacturing needs. The current leases for our manufacturing facility in Singapore expire at various times from October 2011 through July 2013. In order to meet the long-term demand for our microfluidic systems, we believe that we will need to add to our existing manufacturing space in Singapore or move all of our manufacturing facilities to a new location in Singapore in 2012.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for our technology could be reduced by legal, social and ethical concerns surrounding the use of genetic information and biological materials.</w:t>
      </w:r>
    </w:p>
    <w:p>
      <w:pPr>
        <w:spacing w:after="0" w:line="13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agricultural crops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products, although not currently subject to regulation by the U.S. Food and Drug Administration or other regulatory agencies as medical devices, could become subject to regulation in the future.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are currently labeled and sold to biotechnology and pharmaceutical companies, academic institutions, and life sciences laboratories for research purposes only, and not diagnostic procedures. As a research only products, they and are not subject to regulation as medical devices by the U.S. Food and Drug Administration, or FDA, or comparable agencies of other countries. However, if we change the labeling of our products in the future to include diagnostic applications, our products or related applications could be subject to the FDA’s pre- and post-market regulations. For example, if we wish to label and market our products for use in performing clinical diagnostics, we would first need to obtain FDA premarket clearance or approval. Obtaining FDA clearance or approval can be expensive and uncertain,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Further, FDA may expand its jurisdiction over our products or the products of our customers, which could impose restrictions on our ability to market and sell our products. For example, our customers may use our research use only products in their own laboratory developed tests, or LDTs, for clinical diagnostic use.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 If the FDA imposes significant changes to the regulation of LDTs, or modifies its approach to our research use only tests which may be used by our customers for clinical use, it could reduce our revenues or increase our costs and adversely affect our business, prospects, results of operations or financial condition.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Finally, we may be required to proactively achieve compliance with certain FDA regulations as part of our contracts with customers or as part of our collaborations with third parties. In addition, we may voluntarily seek to conform our manufacturing operations to the FDA’s good manufacturing practice regulations for medical devices, known as the Quality System Regulation, or QSR. The QSR is a complex regulatory scheme that governs the methods and documentation covering the design, testing, control, manufacturing, labeling, quality assurance, packaging, storage and shipping of medical device products. The FDA enforces the QSR through periodic unannounced inspections of registered manufacturing facilities.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could have unknown defects or errors, which may give rise to claims against us and adversely affect market adoption of our systems.</w:t>
      </w:r>
    </w:p>
    <w:p>
      <w:pPr>
        <w:spacing w:after="0" w:line="1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While we do not provide express warranties that our microfluidic systems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microfluidic systems. The costs incurred in correcting any defects or errors may be substantial and could adversely affect our operating margins.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4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During 2007, 2008, 2009 and the nine months ended September 30, 2010, approximately 45%, 48%, 46% and 42%, respectively, of our product revenue was generated from sales to customers located outside of the United States. We believe that a significant percentage of our future revenue will come from international sources as we expand our overseas operations and develop opportunities in additional international areas. In addition, all of our commercial products are manufactured in Singapore.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42"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0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use hazardous chemicals and biological materials in our business. Any claims relating to improper handling, storage or disposal of these materials could be time consuming and costly.</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microfluidic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will incur significant increased costs as a result of operating as a public company, and our management will be required to devote substantial time to new compliance initiatives.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never operated as a public company.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19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with respect to our 2011 fiscal year,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of our programs are partially supported by government grants, which may be reduced, withdrawn, delayed or reclaimed.</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Grant agreements currently in place with the Singaporean government are set to expire in May 2011.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agreements with the Singapore Economic Development Board, or EDB, provide that our continued eligibility for incentive grant payments from EDB is subject to our satisfaction of agreed upon targets for increasing levels of research, development and manufacturing activity in Singapore, including the use of local service providers, the hiring of personnel in Singapore, the incurrence of eligible expenses in Singapore, our receipt of new equity investment and our achievement of certain milestones relating to new product development or completion of specific manufacturing process objectives. These agreements further provide EDB with the right to demand repayment of a portion of past grants in the event that we did not meet our obligations under the applicable agreements. Based on correspondence with EDB, we believe that we have satisfied the conditions applicable to our EDB grant revenue through September 30,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independent registered public accounting firm has expressed doubt about our ability to continue as a going concern.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Based on our cash balances as of December 31, 2009 and our projected spending in 2010 and without giving effect to our receipt of the proceeds of this offering, our independent registered public accounting firm has included in their audit opinion for the year ended December 31, 2009 a statement with respect to our ability to continue as a going concern. If we became unable to continue as a going concern, we may have to liquidate our assets and the values we receive for our assets in liquidation or dissolution could be significantly lower than the values reflected in our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in the life science and Ag-Bio industries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3" w:lineRule="exact"/>
        <w:rPr>
          <w:rFonts w:ascii="Arial" w:cs="Arial" w:eastAsia="Arial" w:hAnsi="Arial"/>
          <w:sz w:val="16"/>
          <w:szCs w:val="16"/>
          <w:color w:val="auto"/>
        </w:rPr>
      </w:pPr>
    </w:p>
    <w:p>
      <w:pPr>
        <w:ind w:left="780" w:right="200" w:hanging="326"/>
        <w:spacing w:after="0" w:line="357" w:lineRule="auto"/>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93"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services or impact our stock price.</w:t>
      </w:r>
    </w:p>
    <w:p>
      <w:pPr>
        <w:spacing w:after="0" w:line="2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PCR market and competitors may assert that our products infringe their intellectual property rights as part of a business strategy to impede our successful entry into those markets.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The ‘934 patent is owned by Applied Biosystems, LLC. In response to this letter, we filed suit against Applied Biosystems and Applera in federal district court in the Southern District of New York seeking declaratory judgment of non-infringement and invalidity of the ‘934 patent. Applied Biosystems and Applera answered our complaint and asserted a counterclaim against us, alleging infringement of the ‘934 patent. Pursuant to a joint stipulation, the claims and counterclaims were dismissed on January 13, 2009, without prejudice to the parties’ claims, which can be reasserted.</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There can be no assurance that we will prevail in any suit initiated against us by third parties.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engage in discussions regarding possible commercial, licensing and cross-licensing agreements with third parties from time to time. For example, we have engaged in such discussions with Caliper Life Sciences regarding its microfluidic patent portfolio and we have engaged in such discussions with Life Technologies regarding the ‘934 patent and other patents owned by the parties, including patents in the field of digital PCR.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9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rights to use the technology we license is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84"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As of December 2010, all of our commercial products, including microfluidic systems and chips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expect that our stock price will fluctuate significantly, and you may not be able to resell your shares at or above the initial public offering price.</w:t>
      </w:r>
    </w:p>
    <w:p>
      <w:pPr>
        <w:spacing w:after="0" w:line="11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shares of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of our shares of common stock that you buy. We and the underwriters will determine the initial public offering price of our common stock through negotiation. This price will not necessarily reflect the price at which investors in the market will be willing to buy and sell our shares following this offering. In addition, the trading price of our common stock following this offering may be highly volatile and could be subject to wide fluctuations in response to various factors, some of which are beyond our control. These factors include:</w:t>
      </w:r>
    </w:p>
    <w:p>
      <w:pPr>
        <w:spacing w:after="0" w:line="39"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announcements by us or our competitors of new commercial products, significant contracts, commercial relationships or capital commitments;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or management;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A certain degree of stock price volatility can be attributed to being a newly public company.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company that issued the stock. If any of our stockholders were to bring a lawsuit against us, the defense and disposition of the lawsuit could be costly and divert the time and attention of our management and harm our operating results.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securities or industry analysts do not publish research or publish unfavorable research about our business, our stock price and trading volume could decline.</w:t>
      </w:r>
    </w:p>
    <w:p>
      <w:pPr>
        <w:spacing w:after="0" w:line="4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trading market for our common stock will rely in part on the research and reports that equity research analysts publish about us and our business. We do not currently have and may never obtain research coverage by equity research analysts. Equity research analysts may elect not to provide research coverage of our common stock after the completion of this offering, and such lack of research coverage may adversely affect the market price of our common stock. In the event we obtain equity research analyst coverage,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initial public offering price of our common stock is substantially higher than the net tangible book value per share of our common stock immediately prior to this offering. Therefore, if you purchase our common stock in this offering, you will incur an immediate dilution of $10.93 in pro forma as adjusted net tangible book value per share as of September 30, 2010 from the price you paid, based on an assumed initial public offering price of $14.50 per share, the midpoint of the range set forth on the cover page of this prospectus. In addition, new investors who purchase shares in this offering will contribute approximately 28.5% of the total amount of equity capital raised by us through the date of this offering, but will only own approximately 27.7% of the outstanding share capital and approximately 27.7% of the voting rights. In addition, we have issued options and warrants to acquire common stock at prices below the initial public offering price. To the extent outstanding options and warrants are ultimately exercised, there will be further dilution to investors who purchase shares in this offering. In addition, if the underwriters exercise their over-allotment option or if we issue additional equity securities, investors purchasing shares in this offering will experience additional dilution. For a further description of the dilution that you will experience immediately after this offering, see “Dilution.”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by existing stockholders could cause our stock price to decline.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January 11, 2011, upon completion of this offering, we will have outstanding a total of 18,589,649 shares of common stock, assuming no exercise of the underwriters’ over-allotment option. Of these shares, only the 5,172,414 shares of common stock sold in this offering by us will be freely tradable, without restriction, in the public market immediately after the offering. Each of our directors and officers, and certain of our stockholders, have entered into lock-up agreements with the underwriters that restrict their ability to sell or transfer their shares. The lock-up agreements pertaining to this offering will expire 180 days from the date of this prospectus,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 on shares outstanding as of January 11, 2011, up to an additional 13,417,235 shares of common stock will be eligible for sale in the public market, 3,995,189 of which are held by directors and executive officers and will be subject to volume limitations under Rule 144 under the Securities Act and various vesting agreements. In addition, 909,850 shares of common stock that are subject to outstanding options as of January 11, 2011 will become eligible for sale in the public market to the extent permitted by the provisions of various vesting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agreements, the lock-up agreements and Rules 144 and 701 under the Securities Act. If these additional shares are sold, or if it is perceived that they will be sold, in the public market, the trading price of our common stock could decline.</w:t>
      </w:r>
    </w:p>
    <w:p>
      <w:pPr>
        <w:spacing w:after="0" w:line="20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Our directors and executive officers will continue to have substantial control over us after this offering and could limit your ability to influence the outcome of key transactions, including changes of control.</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Following the completion of this offering, our executive officers, directors and their affiliates will beneficially own or control approximately 26% of the outstanding shares of our common stock, assuming no exercise of the underwriters’ over-allotment option. Accordingly, these executive officers, directors and their affiliates, acting as a group,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our executive officers and directors and their affiliates, see “Principal Stockholders.”</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Provisions in our certificate of incorporation and bylaws, as amended and restated upon the closing of this offering, may have the effect of delaying or preventing a change of control or changes in our management. Our amended and restated certificate of incorporation and amended and restated bylaws to become effective upon completion of this offering include provisions that:</w:t>
      </w:r>
    </w:p>
    <w:p>
      <w:pPr>
        <w:spacing w:after="0" w:line="59"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have broad discretion in the application of the net proceeds from this offering and could spend the proceeds in ways that do not improve our results of operations or enhance the value of our common stock. We intend to use the net proceeds from this offering for sales and marketing activities, including expansion of our sales force to support the ongoing commercialization of our products; for research and product development activities; for facilities improvements and the purchase of manufacturing and other equipment; to repay $5.0 million plus accrued interest in promissory notes issued by us in January 2011 and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You will not have the opportunity to influence our management’s decisions on how to use the net proceeds from this offering, and our failure to apply these funds effectively could have a material adverse effect on our business, delay the development of our product candidates and cause the price of our common stock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your sole source of gain for the foreseeable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or the negative of those expressions or phrases identify forward-looking statements. Although we believe that we have a reasonable basis for each forward-looking statement contained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“Management’s Discussion and Analysis of Financial Condition and Results of Operations” and “Business,” as well as other sections in this prospectus, discuss some of the factors that could contribute to these differences.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contains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actual results may differ from the projections.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We estimate that the net proceeds from the sale of 5,172,414 shares of our common stock that we are selling in this offering will be $68.3 million, based on an assumed initial public offering price of $14.50 per share, the midpoint of the range set forth on the cover page of this prospectus, after deducting estimated underwriting discounts and commissions and estimated offering expenses payable by us. A $1.00 increase (decrease) in the assumed initial public offering price would increase (decrease) the net proceeds to us by $4.9 million, after deducting estimated underwriting discounts and commissions and estimated offering expenses, assuming that the number of shares offered by us, as set forth on the cover page of this prospectus, remains the same. We may also increase or decrease the number of shares we are offering. An increase of 1.0 million shares in the number of shares offered by us would increase the net proceeds to us by</w:t>
      </w:r>
    </w:p>
    <w:p>
      <w:pPr>
        <w:spacing w:after="0" w:line="1"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$13.6 million. Similarly, a decrease of 1.0 million shares in the number of shares offered by us would decrease the net proceeds to us by $13.6 million. If the underwriters’ over-allotment option is exercised in full, we estimate that we will receive additional net proceeds of $10.6 million.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net proceeds that we will receive from this offering, we expect to use approximately:</w:t>
      </w:r>
    </w:p>
    <w:p>
      <w:pPr>
        <w:spacing w:after="0" w:line="90"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$15.0 million for sales and marketing activities, including expansion of our sales force to support the ongoing commercialization of our products;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$12.0 million for research and product development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 million for facility improvements and the purchase of manufacturing and other equipment;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 million for repayment of principal plus accrued interest on promissory notes issued by us in January 2011;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balance for working capital and other general corporate purposes.</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promissory notes bear interest at 8% and mature upon the closing of this offering. Approximately $1.77 million of the promissory notes are held by entities affiliated with certain of our directors, executive officers and holders of more than 5% of our outstanding capital stock. (See “Certain Relationships and Related Party Transactions—2011 Note Financing”).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use a portion of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of the date of this prospectus,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several covenants under our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2010:</w:t>
      </w:r>
    </w:p>
    <w:p>
      <w:pPr>
        <w:spacing w:after="0" w:line="90"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our issuance and sale in January 2011 of promissory notes in an aggregate principal amount of $5,000,000;</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our issuance in January 2011 of warrants to purchase an aggregate of 103,182 shares of our Series E-1 preferred stock at an exercise price of</w:t>
      </w:r>
    </w:p>
    <w:p>
      <w:pPr>
        <w:spacing w:after="0" w:line="38" w:lineRule="exact"/>
        <w:rPr>
          <w:rFonts w:ascii="Arial" w:cs="Arial" w:eastAsia="Arial" w:hAnsi="Arial"/>
          <w:sz w:val="16"/>
          <w:szCs w:val="16"/>
          <w:color w:val="auto"/>
        </w:rPr>
      </w:pPr>
    </w:p>
    <w:p>
      <w:pPr>
        <w:ind w:left="1260" w:right="40"/>
        <w:spacing w:after="0" w:line="261" w:lineRule="auto"/>
        <w:rPr>
          <w:rFonts w:ascii="Arial" w:cs="Arial" w:eastAsia="Arial" w:hAnsi="Arial"/>
          <w:sz w:val="16"/>
          <w:szCs w:val="16"/>
          <w:color w:val="auto"/>
        </w:rPr>
      </w:pPr>
      <w:r>
        <w:rPr>
          <w:rFonts w:ascii="Arial" w:cs="Arial" w:eastAsia="Arial" w:hAnsi="Arial"/>
          <w:sz w:val="18"/>
          <w:szCs w:val="18"/>
          <w:color w:val="auto"/>
        </w:rPr>
        <w:t>$0.02 per share, the exercise of such warrants and the conversion of such Series E-1 preferred stock into common stock immediately prior to the consummation of this offering;</w:t>
      </w:r>
    </w:p>
    <w:p>
      <w:pPr>
        <w:spacing w:after="0" w:line="56" w:lineRule="exact"/>
        <w:rPr>
          <w:rFonts w:ascii="Arial" w:cs="Arial" w:eastAsia="Arial" w:hAnsi="Arial"/>
          <w:sz w:val="16"/>
          <w:szCs w:val="16"/>
          <w:color w:val="auto"/>
        </w:rPr>
      </w:pPr>
    </w:p>
    <w:p>
      <w:pPr>
        <w:ind w:left="1260" w:right="80" w:hanging="455"/>
        <w:spacing w:after="0" w:line="268"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which adjusted the conversion rate of our Series E preferred stock from 1-to-1 to 1-to-1.3;</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w:t>
      </w:r>
    </w:p>
    <w:p>
      <w:pPr>
        <w:spacing w:after="0" w:line="90" w:lineRule="exact"/>
        <w:rPr>
          <w:rFonts w:ascii="Arial" w:cs="Arial" w:eastAsia="Arial" w:hAnsi="Arial"/>
          <w:sz w:val="18"/>
          <w:szCs w:val="18"/>
          <w:color w:val="auto"/>
        </w:rPr>
      </w:pPr>
    </w:p>
    <w:p>
      <w:pPr>
        <w:ind w:left="1260" w:right="460" w:hanging="455"/>
        <w:spacing w:after="0" w:line="268"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reclassification of the convertible preferred stock warrant liabilities to additional paid-in capital, each effective upon the closing of this offering.</w:t>
      </w:r>
    </w:p>
    <w:p>
      <w:pPr>
        <w:spacing w:after="0" w:line="50" w:lineRule="exact"/>
        <w:rPr>
          <w:rFonts w:ascii="Arial" w:cs="Arial" w:eastAsia="Arial" w:hAnsi="Arial"/>
          <w:sz w:val="18"/>
          <w:szCs w:val="18"/>
          <w:color w:val="auto"/>
        </w:rPr>
      </w:pPr>
    </w:p>
    <w:p>
      <w:pPr>
        <w:ind w:left="780" w:right="160" w:hanging="326"/>
        <w:spacing w:after="0" w:line="298"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 pro forma as adjusted basis to also give effect to (i) the pro forma conversions and reclassifications described above (ii) the sale of 5,172,414 shares of our common stock in this offering at the assumed initial public offering price of $14.50 per share, the midpoint of the range set forth on the cover page of this prospectus, after deducting estimated underwriting discounts and commissions and estimated offering expenses payable by us, and (iii) the repayment of the notes issued by us in January 2011 and the recognition of any related pro forma debt discount.</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w w:val="96"/>
              </w:rPr>
              <w:t>As of September 30, 2010</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Pro Forma as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8"/>
              </w:rPr>
              <w:t>Actual</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Pro Forma</w:t>
            </w:r>
          </w:p>
        </w:tc>
        <w:tc>
          <w:tcPr>
            <w:tcW w:w="7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Adjusted(1)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jc w:val="right"/>
              <w:ind w:right="52"/>
              <w:spacing w:after="0" w:line="129" w:lineRule="exact"/>
              <w:rPr>
                <w:sz w:val="20"/>
                <w:szCs w:val="20"/>
                <w:color w:val="auto"/>
              </w:rPr>
            </w:pPr>
            <w:r>
              <w:rPr>
                <w:rFonts w:ascii="Arial" w:cs="Arial" w:eastAsia="Arial" w:hAnsi="Arial"/>
                <w:sz w:val="14"/>
                <w:szCs w:val="14"/>
                <w:b w:val="1"/>
                <w:bCs w:val="1"/>
                <w:color w:val="auto"/>
              </w:rPr>
              <w:t>(unaudited, in</w:t>
            </w:r>
          </w:p>
        </w:tc>
        <w:tc>
          <w:tcPr>
            <w:tcW w:w="700" w:type="dxa"/>
            <w:vAlign w:val="bottom"/>
          </w:tcPr>
          <w:p>
            <w:pPr>
              <w:jc w:val="right"/>
              <w:ind w:right="98"/>
              <w:spacing w:after="0" w:line="129" w:lineRule="exact"/>
              <w:rPr>
                <w:sz w:val="20"/>
                <w:szCs w:val="20"/>
                <w:color w:val="auto"/>
              </w:rPr>
            </w:pPr>
            <w:r>
              <w:rPr>
                <w:rFonts w:ascii="Arial" w:cs="Arial" w:eastAsia="Arial" w:hAnsi="Arial"/>
                <w:sz w:val="12"/>
                <w:szCs w:val="12"/>
                <w:b w:val="1"/>
                <w:bCs w:val="1"/>
                <w:color w:val="auto"/>
                <w:w w:val="81"/>
              </w:rPr>
              <w:t>thousands,</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w w:val="93"/>
              </w:rPr>
              <w:t>except per share amounts)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11,590</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11,590</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Convertible preferred stock warrant liabilities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63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Convertible preferred stock issuable in series: $0.001 par value, 11,269 shares authorized, 10,297 shares issued and outstanding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(actual); no shares authorized, issued or outstanding (pro forma); 10,000 shares authorized, no shares issued and outstanding (pro</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forma as adjusted)</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184,549</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38"/>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Stockholders’ equity (deficit):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9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Common stock: $0.001 par value, 18,327 shares authorized, 1,934 shares issued and outstanding (actual); $0.001 par value,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4"/>
              </w:rPr>
              <w:t>16,909 shares authorized, 13,518 shares issued and outstanding (pro forma); $0.001 par value, 200,000 shares authorized,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18,690 shares issued and outstanding (pro forma as adjusted)</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7940" w:type="dxa"/>
            <w:vAlign w:val="bottom"/>
          </w:tcPr>
          <w:p>
            <w:pPr>
              <w:ind w:left="440"/>
              <w:spacing w:after="0" w:line="138" w:lineRule="exact"/>
              <w:rPr>
                <w:sz w:val="20"/>
                <w:szCs w:val="20"/>
                <w:color w:val="auto"/>
              </w:rPr>
            </w:pPr>
            <w:r>
              <w:rPr>
                <w:rFonts w:ascii="Arial" w:cs="Arial" w:eastAsia="Arial" w:hAnsi="Arial"/>
                <w:sz w:val="14"/>
                <w:szCs w:val="14"/>
                <w:color w:val="auto"/>
                <w:w w:val="96"/>
              </w:rPr>
              <w:t>Preferred stock: $0.001 par value, no shares authorized, issued or outstanding (actual); 10,000 shares authorized, no shares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940" w:type="dxa"/>
            <w:vAlign w:val="bottom"/>
          </w:tcPr>
          <w:p>
            <w:pPr>
              <w:ind w:left="660"/>
              <w:spacing w:after="0" w:line="159" w:lineRule="exact"/>
              <w:rPr>
                <w:sz w:val="20"/>
                <w:szCs w:val="20"/>
                <w:color w:val="auto"/>
              </w:rPr>
            </w:pPr>
            <w:r>
              <w:rPr>
                <w:rFonts w:ascii="Arial" w:cs="Arial" w:eastAsia="Arial" w:hAnsi="Arial"/>
                <w:sz w:val="14"/>
                <w:szCs w:val="14"/>
                <w:color w:val="auto"/>
              </w:rPr>
              <w:t>issued and outstanding (pro forma and pro forma as adjusted)</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10,604</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196,698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264,943</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598"/>
              <w:spacing w:after="0" w:line="149" w:lineRule="exact"/>
              <w:rPr>
                <w:sz w:val="20"/>
                <w:szCs w:val="20"/>
                <w:color w:val="auto"/>
              </w:rPr>
            </w:pPr>
            <w:r>
              <w:rPr>
                <w:rFonts w:ascii="Arial" w:cs="Arial" w:eastAsia="Arial" w:hAnsi="Arial"/>
                <w:sz w:val="14"/>
                <w:szCs w:val="14"/>
                <w:color w:val="auto"/>
              </w:rPr>
              <w:t>(752)</w:t>
            </w:r>
          </w:p>
        </w:tc>
        <w:tc>
          <w:tcPr>
            <w:tcW w:w="2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(196,249)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98"/>
              <w:spacing w:after="0" w:line="149" w:lineRule="exact"/>
              <w:rPr>
                <w:sz w:val="20"/>
                <w:szCs w:val="20"/>
                <w:color w:val="auto"/>
              </w:rPr>
            </w:pPr>
            <w:r>
              <w:rPr>
                <w:rFonts w:ascii="Arial" w:cs="Arial" w:eastAsia="Arial" w:hAnsi="Arial"/>
                <w:sz w:val="14"/>
                <w:szCs w:val="14"/>
                <w:color w:val="auto"/>
                <w:w w:val="90"/>
              </w:rPr>
              <w:t>(196,249)</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(197,406)</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4"/>
                <w:szCs w:val="14"/>
                <w:color w:val="auto"/>
              </w:rPr>
              <w:t>Total stockholders’ (deficit) equity(1)</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3"/>
              </w:rPr>
              <w:t>(186,395)</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98"/>
              <w:spacing w:after="0" w:line="155" w:lineRule="exact"/>
              <w:rPr>
                <w:sz w:val="20"/>
                <w:szCs w:val="20"/>
                <w:color w:val="auto"/>
              </w:rPr>
            </w:pPr>
            <w:r>
              <w:rPr>
                <w:rFonts w:ascii="Arial" w:cs="Arial" w:eastAsia="Arial" w:hAnsi="Arial"/>
                <w:sz w:val="14"/>
                <w:szCs w:val="14"/>
                <w:color w:val="auto"/>
              </w:rPr>
              <w:t>(290)</w:t>
            </w:r>
          </w:p>
        </w:tc>
        <w:tc>
          <w:tcPr>
            <w:tcW w:w="200" w:type="dxa"/>
            <w:vAlign w:val="bottom"/>
          </w:tcPr>
          <w:p>
            <w:pPr>
              <w:spacing w:after="0"/>
              <w:rPr>
                <w:sz w:val="14"/>
                <w:szCs w:val="14"/>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66,803</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capitalization(1)</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10,141</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11,300</w:t>
            </w:r>
          </w:p>
        </w:tc>
        <w:tc>
          <w:tcPr>
            <w:tcW w:w="7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78,393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80" w:hanging="332"/>
        <w:spacing w:after="0" w:line="239"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$1.00 increase (decrease) in the assumed initial public offering price of $14.50 per share, the midpoint of the range set forth on the cover page of this prospectus, would increase (decrease) each of additional paid-in capital, total stockholders’ equity and total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right="20"/>
        <w:spacing w:after="0" w:line="228" w:lineRule="auto"/>
        <w:rPr>
          <w:sz w:val="20"/>
          <w:szCs w:val="20"/>
          <w:color w:val="auto"/>
        </w:rPr>
      </w:pPr>
      <w:r>
        <w:rPr>
          <w:rFonts w:ascii="Arial" w:cs="Arial" w:eastAsia="Arial" w:hAnsi="Arial"/>
          <w:sz w:val="14"/>
          <w:szCs w:val="14"/>
          <w:color w:val="auto"/>
        </w:rPr>
        <w:t>capitalization by $4.9 million, after deducting estimated underwriting discounts and commissions and estimated offering expenses payable by us, assuming that the number of shares offered by us, as set forth on the cover page of this prospectus, remains the same. Each increase of 1.0 million shares in the number of shares offered by us would increase additional paid-in capital, total stockholders’ equity and total capitalization by approximately $13.6 million. Similarly, each decrease of 1.0 million shares in the number of shares offered by us, would decrease additional paid-in capital, total stockholders’ equity and total capitalization by approximately $13.6 million. The pro forma as adjusted information discussed above is illustrative only and will be adjusted based on the actual public offering price and terms of this offering determined at pricing.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 shares:</w:t>
      </w:r>
    </w:p>
    <w:p>
      <w:pPr>
        <w:spacing w:after="0" w:line="90" w:lineRule="exact"/>
        <w:rPr>
          <w:sz w:val="20"/>
          <w:szCs w:val="20"/>
          <w:color w:val="auto"/>
        </w:rPr>
      </w:pPr>
    </w:p>
    <w:p>
      <w:pPr>
        <w:ind w:left="780" w:right="2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50" w:lineRule="exact"/>
        <w:rPr>
          <w:rFonts w:ascii="Arial" w:cs="Arial" w:eastAsia="Arial" w:hAnsi="Arial"/>
          <w:sz w:val="18"/>
          <w:szCs w:val="18"/>
          <w:color w:val="auto"/>
        </w:rPr>
      </w:pPr>
    </w:p>
    <w:p>
      <w:pPr>
        <w:ind w:left="780" w:right="40" w:hanging="326"/>
        <w:spacing w:after="0" w:line="298"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1,306,629 shares of common stock reserved for future issuance under our stock-based compensation plans, including 1,250,000 shares of common stock reserved for issuance under our 2011 Equity Incentive Plan, and any future increase in shares reserved for issuance under such plan, which will become effective on the date of this prospectus, and 56,629 shares of common stock reserved for issuance under our 2009 Equity Incentive Plan as of January 11, 2011, which shares will be added to our 2011 Equity Incentive Plan upon effectiveness of such plan; and</w:t>
      </w:r>
    </w:p>
    <w:p>
      <w:pPr>
        <w:spacing w:after="0" w:line="31" w:lineRule="exact"/>
        <w:rPr>
          <w:rFonts w:ascii="Arial" w:cs="Arial" w:eastAsia="Arial" w:hAnsi="Arial"/>
          <w:sz w:val="16"/>
          <w:szCs w:val="16"/>
          <w:color w:val="auto"/>
        </w:rPr>
      </w:pPr>
    </w:p>
    <w:p>
      <w:pPr>
        <w:ind w:left="780" w:right="260" w:hanging="326"/>
        <w:spacing w:after="0" w:line="33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completion of this offering.</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pro forma net tangible book deficit as of September 30, 2010 in the amount of $0.3 million, or $0.02 per share, was based on the total number of shares of our common stock outstanding as of September 30, 2010, after giving effect to:</w:t>
      </w:r>
    </w:p>
    <w:p>
      <w:pPr>
        <w:spacing w:after="0" w:line="51" w:lineRule="exact"/>
        <w:rPr>
          <w:sz w:val="20"/>
          <w:szCs w:val="20"/>
          <w:color w:val="auto"/>
        </w:rPr>
      </w:pPr>
    </w:p>
    <w:p>
      <w:pPr>
        <w:ind w:left="780" w:right="620" w:hanging="326"/>
        <w:spacing w:after="0" w:line="357" w:lineRule="auto"/>
        <w:tabs>
          <w:tab w:leader="none" w:pos="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issuance in January 2011 of warrants to purchase an aggregate of 103,182 shares of our Series E-1 preferred stock, the net exercise of such warrants and the conversion of such Series E-1 preferred stock into common stock immediately prior to the consummation of this offering;</w:t>
      </w: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issuance and sale in January 2011 of promissory notes in an aggregate principal amount of $5.0 million;</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which adjusted the conversion rate of our Series E preferred stock from 1-to-1 to 1-to-1.3; and</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 the reclassification of the convertible preferred stock warrant liabilities to additional paid-in capital, each effective upon the closing of this offering.</w:t>
      </w:r>
    </w:p>
    <w:p>
      <w:pPr>
        <w:spacing w:after="0" w:line="13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After giving effect to our sale of 5,172,414 shares of common stock in this offering at an assumed initial public offering price of $14.50 per share, the midpoint of the range set forth on the cover page of this prospectus, and after deducting the estimated underwriting discounts and commissions and estimated offering expenses, and assuming the repayment of the $5.0 million of promissory notes issued in January 2011 (including the recognition of any related debt discounts thereon), our pro forma as adjusted net tangible book value as of September 30, 2010 would have been $66.8 million, or $3.57 per share. This represents an immediate increase in net tangible book value of $3.59 per share to existing stockholders and an immediate dilution in net tangible book value of $10.93 per share to purchasers of common stock in this offering, as illustrated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Pro forma net tangible book deficit per share as of January 7, 2011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pro forma as adjusted net tangible book value per share attributable to new investors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60" w:type="dxa"/>
            <w:vAlign w:val="bottom"/>
            <w:gridSpan w:val="2"/>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dilution per share to new investors in this offering</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Each $1.00 increase (decrease) in the assumed public offering price of $14.50 per share, the midpoint of the range set forth on the cover of this prospectus, would increase (decrease) our pro forma as adjusted net tangible book value by approximately $4.9 million, or approximately $0.26 per share, and the pro forma dilution per share to investors in this offering by approximately $11.67 per share, assuming that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of 1.0 million shares in the number of shares offered by us, would result in a pro forma as adjusted net tangible book value of approximately $80.4 million, or $4.08 per share, and the pro forma dilution per share to investors in this offering would be $10.42 per share. Similarly, a decrease of 1.0 million shares in the number of shares offered by us, would result in an pro forma as adjusted net tangible book value of approximately $53.1 million, or $3.00 per share, and the pro forma dilution per share to investors in this offering would be $11.50 per share. The pro forma as adjusted information discussed above is illustrative only and will be adjusted based on the actual public offering price and other terms of this offering determined at pricing.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over-allotment option is exercised in full, the pro forma as adjusted net tangible book value per share after this offering would be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$3.98 per share, the increase in pro forma as adjusted net tangible book value per share to existing stockholders would be $4.00 per share and the dilution to new</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investors purchasing shares in this offering would be $10.52 per share.</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presents on the pro forma as adjusted basis described above as of September 30, 2010,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the value of any stock issued for services and the proceeds from the issuance of convertible promissory notes which were subsequently converted to shares of convertible preferred stock, and the average price paid per share (in thousands, except per share amounts and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8"/>
              </w:rPr>
              <w:t>Total Consideration(1)</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Average Price</w:t>
            </w:r>
          </w:p>
        </w:tc>
      </w:tr>
      <w:tr>
        <w:trPr>
          <w:trHeight w:val="142"/>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5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2"/>
                <w:szCs w:val="12"/>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13,518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188,317</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5,172</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18,690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263,317</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460" w:right="20" w:hanging="452"/>
        <w:spacing w:after="0" w:line="273" w:lineRule="auto"/>
        <w:tabs>
          <w:tab w:leader="none" w:pos="4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Each $1.00 increase (decrease) in the assumed initial public offering price of $14.50 per share, the midpoint of the range set forth on the cover page of this prospectus, would increase (decrease) the total consideration paid to us by new investors and total consideration paid to us by all stockholders by $4.9 million, assuming that the number of shares offered by us, as set forth on the cover page of this prospectus, remains the same, and after deducting estimated underwriting discounts and commissions and estimated offering expenses payable by us. An increase of 1.0 million shares in the number of shares offered by us would increase the total consideration paid to us by new investors and total consideration paid to us by all stockholders by $13.6 million. Similarly, a decrease of 1.0 million shares in the number of shares offered by us would decrease the total consideration paid to us by new investors and total consideration paid to us by all stockholders by $13.6 million.</w:t>
      </w:r>
    </w:p>
    <w:p>
      <w:pPr>
        <w:spacing w:after="0" w:line="12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underwriters exercise their over-allotment option in full, our existing stockholders would own 68% and our new investors would own 32% of the total number of shares of our common stock outstanding after this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 shares:</w:t>
      </w:r>
    </w:p>
    <w:p>
      <w:pPr>
        <w:spacing w:after="0" w:line="90" w:lineRule="exact"/>
        <w:rPr>
          <w:sz w:val="20"/>
          <w:szCs w:val="20"/>
          <w:color w:val="auto"/>
        </w:rPr>
      </w:pPr>
    </w:p>
    <w:p>
      <w:pPr>
        <w:ind w:left="780" w:right="3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50" w:lineRule="exact"/>
        <w:rPr>
          <w:rFonts w:ascii="Arial" w:cs="Arial" w:eastAsia="Arial" w:hAnsi="Arial"/>
          <w:sz w:val="18"/>
          <w:szCs w:val="18"/>
          <w:color w:val="auto"/>
        </w:rPr>
      </w:pPr>
    </w:p>
    <w:p>
      <w:pPr>
        <w:ind w:left="780" w:right="140" w:hanging="326"/>
        <w:spacing w:after="0" w:line="298"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1,306,629 shares of common stock reserved for future issuance under our stock-based compensation plans, including 1,250,000 shares of common stock reserved for issuance under our 2011 Equity Incentive Plan, and any future increase in shares reserved for issuance under such plan, which will become effective on the date of this prospectus, and 56,629 shares of common stock reserved for issuance under our 2009 Equity Incentive Plan as of January 11, 2011, which shares will be added to our 2011 Equity Incentive Plan upon effectiveness of such plan; and</w:t>
      </w:r>
    </w:p>
    <w:p>
      <w:pPr>
        <w:spacing w:after="0" w:line="31" w:lineRule="exact"/>
        <w:rPr>
          <w:rFonts w:ascii="Arial" w:cs="Arial" w:eastAsia="Arial" w:hAnsi="Arial"/>
          <w:sz w:val="16"/>
          <w:szCs w:val="16"/>
          <w:color w:val="auto"/>
        </w:rPr>
      </w:pPr>
    </w:p>
    <w:p>
      <w:pPr>
        <w:ind w:left="780" w:right="360" w:hanging="326"/>
        <w:spacing w:after="0" w:line="332"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 the 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derived the selected consolidated statement of operations data for the years ended December 29, 2007, December 27, 2008 and December 31, 2009, and the selected consolidated balance sheet data as of December 27, 2008 and December 31, 2009 from our audited consolidated financial statements included elsewhere in this prospectus. The report of our independent registered public accounting firm on our consolidated financial statements for the year ended December 31, 2009, which appears elsewhere in this prospectus, includes an explanatory paragraph that describes an uncertainty about our ability to continue as a going concern. We have derived the selected consolidated statement of operations data for the nine months ended September 30, 2009 and 2010, and the selected consolidated balance sheet data as of September 30, 2010 from our unaudited consolidated financial statements included elsewhere in this prospectus. We have derived the selected consolidated statement of operations data for the years ended December 31, 2005 and 2006 and the selected consolidated balance sheet data as of December 31, 2005 and 2006 and December 29, 2007 from our audited consolidated financial statements not included in this prospectus. Our historical results are not necessarily indicative of the results to be expected for any future period. The following selected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32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10"/>
          </w:tcPr>
          <w:p>
            <w:pPr>
              <w:jc w:val="right"/>
              <w:ind w:right="620"/>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Product revenue</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6,076</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4,451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13,364</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23,599</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16,369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Collaboration 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1,376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Grant revenue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2,364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1,420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860"/>
              <w:spacing w:after="0"/>
              <w:rPr>
                <w:sz w:val="20"/>
                <w:szCs w:val="20"/>
                <w:color w:val="auto"/>
              </w:rPr>
            </w:pPr>
            <w:r>
              <w:rPr>
                <w:rFonts w:ascii="Arial" w:cs="Arial" w:eastAsia="Arial" w:hAnsi="Arial"/>
                <w:sz w:val="14"/>
                <w:szCs w:val="14"/>
                <w:color w:val="auto"/>
              </w:rPr>
              <w:t>Total revenue</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7,674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6,398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7,275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15,347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25,412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17,789</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Cost of product 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8,364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11,486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11,449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15,589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14,389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12,315</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9,249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7,955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9,699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12,898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22,511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19,648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14,386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costs and expenses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28,061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30,801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44,890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43,449</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32,039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1280"/>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(16,494)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(21,663)</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(23,526)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(29,543)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(18,037)</w:t>
            </w:r>
          </w:p>
        </w:tc>
        <w:tc>
          <w:tcPr>
            <w:tcW w:w="180" w:type="dxa"/>
            <w:vAlign w:val="bottom"/>
          </w:tcPr>
          <w:p>
            <w:pPr>
              <w:spacing w:after="0"/>
              <w:rPr>
                <w:sz w:val="13"/>
                <w:szCs w:val="13"/>
                <w:color w:val="auto"/>
              </w:rPr>
            </w:pP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(14,250)</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(2,261)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(2,031)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(2,876)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rPr>
              <w:t>Gain (loss) from changes in the fair value of convertible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 warrants,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(139)</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769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(135)</w:t>
            </w:r>
          </w:p>
        </w:tc>
        <w:tc>
          <w:tcPr>
            <w:tcW w:w="180" w:type="dxa"/>
            <w:vAlign w:val="bottom"/>
          </w:tcPr>
          <w:p>
            <w:pPr>
              <w:spacing w:after="0"/>
              <w:rPr>
                <w:sz w:val="13"/>
                <w:szCs w:val="13"/>
                <w:color w:val="auto"/>
              </w:rPr>
            </w:pP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w:t>
            </w:r>
          </w:p>
        </w:tc>
        <w:tc>
          <w:tcPr>
            <w:tcW w:w="160" w:type="dxa"/>
            <w:vAlign w:val="bottom"/>
          </w:tcPr>
          <w:p>
            <w:pPr>
              <w:spacing w:after="0"/>
              <w:rPr>
                <w:sz w:val="13"/>
                <w:szCs w:val="13"/>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1,833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before income taxes and cumulative of change in</w:t>
            </w: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accounting principle</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(17,022)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(25,346)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(29,646)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(19,178)</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(15,697)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Loss before cumulative effect of change in accounting principle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(17,022)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(25,451)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(29,499)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(19,128)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(16,385)</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(25,451)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(29,499)</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(19,128)</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rPr>
              <w:t>Net loss per share of common stock, basic and diluted(1)</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gridSpan w:val="2"/>
            <w:vMerge w:val="continue"/>
          </w:tcPr>
          <w:p>
            <w:pPr>
              <w:spacing w:after="0"/>
              <w:rPr>
                <w:sz w:val="12"/>
                <w:szCs w:val="12"/>
                <w:color w:val="auto"/>
              </w:rPr>
            </w:pPr>
          </w:p>
        </w:tc>
        <w:tc>
          <w:tcPr>
            <w:tcW w:w="30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(10.99)</w:t>
            </w:r>
          </w:p>
        </w:tc>
        <w:tc>
          <w:tcPr>
            <w:tcW w:w="30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(15.25)</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(15.93)</w:t>
            </w:r>
          </w:p>
        </w:tc>
        <w:tc>
          <w:tcPr>
            <w:tcW w:w="3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(17.85)</w:t>
            </w:r>
          </w:p>
        </w:tc>
        <w:tc>
          <w:tcPr>
            <w:tcW w:w="3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(11.02)</w:t>
            </w: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(9.24)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1"/>
              </w:rPr>
              <w:t>Shares used in computing net loss per share of common stock,</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basic and diluted(1)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1,491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1,544</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1,598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1,653</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1,736</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w w:val="91"/>
              </w:rPr>
              <w:t>Pro forma net loss per share available to common stockholders,</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basic and diluted (unaudited)(1)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(2.60)</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89"/>
              </w:rPr>
              <w:t>Shares used in computing pro forma net loss per share available</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4"/>
              </w:rPr>
              <w:t>to common stockholders, basic and diluted (unaudited)(1)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11,496</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both"/>
        <w:ind w:left="460" w:right="20" w:hanging="452"/>
        <w:spacing w:after="0" w:line="288" w:lineRule="auto"/>
        <w:tabs>
          <w:tab w:leader="none" w:pos="4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Please see Note 2 to our audited consolidated financial statements for an explanation of the method used to calculate basic and diluted net loss per share and basic and diluted pro forma net loss per share of common stock for the year ended December 31, 2009. Please see Note 1 to our interim condensed consolidated financial statements for an explanation of the method used to calculate basic and diluted net loss per share and basic and diluted pro forma net loss per share of common stock for the nine months ended September 30, 2010.</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212"/>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December 29,</w:t>
            </w:r>
          </w:p>
        </w:tc>
        <w:tc>
          <w:tcPr>
            <w:tcW w:w="5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28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r>
      <w:tr>
        <w:trPr>
          <w:trHeight w:val="161"/>
        </w:trPr>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jc w:val="center"/>
              <w:ind w:left="39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w w:val="94"/>
              </w:rPr>
              <w:t>Cash, cash equivalents and available for sale securities</w:t>
            </w:r>
          </w:p>
        </w:tc>
        <w:tc>
          <w:tcPr>
            <w:tcW w:w="4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19,659</w:t>
            </w:r>
          </w:p>
        </w:tc>
        <w:tc>
          <w:tcPr>
            <w:tcW w:w="5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25,518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40,363</w:t>
            </w:r>
          </w:p>
        </w:tc>
        <w:tc>
          <w:tcPr>
            <w:tcW w:w="100" w:type="dxa"/>
            <w:vAlign w:val="bottom"/>
          </w:tcPr>
          <w:p>
            <w:pPr>
              <w:spacing w:after="0"/>
              <w:rPr>
                <w:sz w:val="12"/>
                <w:szCs w:val="12"/>
                <w:color w:val="auto"/>
              </w:rPr>
            </w:pPr>
          </w:p>
        </w:tc>
        <w:tc>
          <w:tcPr>
            <w:tcW w:w="7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17,796</w:t>
            </w:r>
          </w:p>
        </w:tc>
        <w:tc>
          <w:tcPr>
            <w:tcW w:w="32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14,602</w:t>
            </w:r>
          </w:p>
        </w:tc>
        <w:tc>
          <w:tcPr>
            <w:tcW w:w="6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5,083</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14,764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23,939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20,704</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21,354</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6,817</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36,493</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54,776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32,354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32,153</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22,090</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12,838</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14,461</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14,610</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Convertible promissory notes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13,072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4,997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 warrants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Convertible preferred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88,966</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112,295</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162,082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167,538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183,845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184,549</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deficit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(83,154)</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(106,172)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(130,331)</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(158,339)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(173,619)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(186,395)</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our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total revenue grew from $6.4 million in 2006 to $25.4 million in 2009 and was $23.2 million in the nine months ended September 30, 2010. We have incurred significant net losses since our inception in 1999 and, as of September 30, 2010, our accumulated deficit was $196.2 million.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2003, we introduced our first product line, the TOPAZ system for protein crystallization. In the fourth quarter of 2006, we launched our BioMark system for gene expression analysis, genotyping and digital PCR. In the third quarter of 2008, we launched our EP1 system for SNP genotyping and digital PCR. In the third quarter of 2009, we launched our Access Array system for target enrichment that is compatible with all currently marketed next generation DNA sequencers. In the third quarter of 2010, we launched our multi-use chips for high-throughput genotyping. Our systems are based on one or more chips designed for particular applications and include specialized instrumentation and software, as well as reagents for certain applications.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distribute our microfluidic systems through our direct sales force and support organizations located in North America, Europe and Asia-Pacific and through distributors or sales agents in several European, Latin American and Asia-Pacific countries. Our manufacturing operations are located in Singapore. Our facility in Singapore manufactures our instruments and fabricates all of our chips for commercial sale and some chips for our own research and development purposes. Our South San Francisco facility fabricates chips for our own research and development purposes.</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Since 2002, we have received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willing to conduct operations in Singapore and satisfy the requirements of EDB’s government programs. Under our agreements with EDB, we are eligible to receive incentive grant payments from EDB, provided we satisfy certain agreed upon targets. Our agreements with EDB provide for incentive funding eligibility through May 2011. From January 1, 2007 through September 30, 2010, we recognized $6.0 million of grant revenue from EDB.</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 Presentation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2007 and 2008 fiscal years were based on a 52- or 53-week convention and, accordingly, our 2007 fiscal year refers to the year ended on December 29, 2007, and our 2008 fiscal year refers to the year ended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December 27, 2008. During 2009, we adopted the calendar year as our fiscal year and, accordingly, our 2009 fiscal year refers to the year ended on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prospectus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Our accounting policies are more fully described in Note 2 of the notes to our audited consolidated financial statements and Note 1 of the notes to our interim consolidated financial statements included elsewhere in this prospectus.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generate revenue from sales of our products, license arrangements, research and development contracts, collaboration agreements and government grants. Our products consist of instruments and consumables, including chips and reagents, related to our microfluidic systems. Product revenue includes services for instrument installation, training and customer support services. We also have entered into collaboration, license, and research and development contracts and have received government grants to conduct research and development activities.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Revenue is recognized when all of the following criteria are met: persuasive evidence of an arrangement exists, delivery has occurred or services have been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of a payment is not reasonably assured, revenue recognition is deferred until receipt of payment. We also use judgment to assess whether a price is fixed or determinable including but not limited to, reviewing contractual terms and conditions related to payment terms.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of our sales contracts, which include those for our BioMark systems, involve the delivery or performance of multiple products or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Revenue recognition for contracts with multiple deliverables is based on the individual units of accounting determined to exist in the contract. A delivered element is considered a separate unit of accounting when the delivered element has value to the customer on a stand-alone basis. Elements are considered to have stand-alone value when they are sold separately or when the customer could resell the element on a stand-alone basis.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recognize revenue for delivered elements only when we determine that the fair values of undelivered elements are known. If the fair value of an undelivered element cannot be objectively determined, revenue 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 deferred until all elements are delivered, or until fair value can objectively be determined for any remaining undelivered elements. We use judgment to evaluate whether there is vendor specific objective evidence, or VSOE, of fair value of the undelivered elements, determined by reference to stand-alone sales of such elements.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a multiple element arrangement that includes both chips and instruments, we separate these elements into separate units of accounting as we consider these elements to have stand alone value to the customer. We do not sell software separately; however, we offer post-contract software support services for certain of our instruments that contain software that is essential to their functionality. If the only undelivered element is post-contract software support services for which VSOE has not been established, the entire arrangement consideration is recognized ratably over the service period. The corresponding costs of products sold under multiple element revenue arrangements are recognized consistent with the related revenue recognition.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2007 and the six months ended June 28, 2008, we did not have VSOE of fair value for post-contract software support services. Therefore revenue and the corresponding costs were deferred and recognized over the post-contract software support period.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Beginning in the third quarter of 2008, we established VSOE of fair value for post-contract software support services and began recognizing revenue for the fair value of the delivered element of an arrangement upon installation.</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Until the third quarter of 2009, installation was considered to be essential to the functionality of our BioMark instruments and, accordingly, revenue recognition for these instruments began upon installation.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third quarter of 2009, we began shipping our BioMark instruments in a fully assembled and calibrated form and concluded that installation was no longer essential to the functionality of these instruments. The installation process for our instruments may be performed by the customer or an independent third party. Therefore, we treat the instruments and installation as separate units of accounting. As a result, beginning in the fourth quarter of 2009, instrument revenue is recognized upon delivery, provided that other applicable revenue recognition criteria have been satisfied. Installation revenue is recognized when the installation service is complete.</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Revenues from the sales of our products that are not part of multiple element arrangements are recognized when no significant obligations remain undelivered and collection of the receivables is reasonably assured, which is generally when delivery has occurred. Delivery occurs when there is a transfer of title and risk of loss passes to the customer.</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Accruals for estimated warranty expenses are provided for at the time that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entered into collaboration and research and development arrangements that generally provide us with up-front and periodic milestone fees or fees based on agreed upon rates for time incurred by our research staff. For collaboration and research and development agreements, up-front fees are generally recognized over the term of the agreement; milestone fees are generally recognized when the milestones are achieved; and fees based on agreed-upon rates for time incurred by our research staff are recognized as time is incurred on the project.</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Revenue from government grants relates to the achievement of agreed upon milestones and expenditures and is recognized in the period in which the related costs are incurred, provided that the conditions under which the government grants are awarded have been substantially met and only perfunctory obligations remain outstanding. With respect to the EDB grants, we receive incentive grant payments upon satisfaction of grant conditions in amounts equal to a portion of the qualifying expenses we incur in Singapore. Qualifying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include salaries, overhead, outsourcing and subcontracting expenses, operating expenses and royalties paid. Expenses not qualifying for the incentive grant program include raw materials purchases. We submit requests to EDB for incentive grant payments on a quarterly basis, and these requests are subject to EDB’s review and our satisfaction of the grant conditions.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measure the cost of employee services received in exchange for an award of equity instruments, including stock options, based on the grant date fair value of the award. The fair value of options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w:t>
      </w:r>
    </w:p>
    <w:p>
      <w:pPr>
        <w:spacing w:after="0" w:line="14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resulting costs, net of estimated forfeitures, are recognized over the period during which an employee is required to provide service in exchange for the award, usually the vesting period. We amortize the fair value of stock-based compensation on a straight-line basis over the requisite service periods.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performance-based stock options, we recognize stock-based compensation over the requisite service periods using the accelerated attribution method.</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account for stock options issued to nonemployees at their estimated fair value determined using the Black-Scholes option-pricing model. The fair value of the options granted to nonemployees is remeasured as they vest, and the resulting change in value, if any, is recognized as expense during the period the related services are rendered.</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expected volatility is derived from the historical volatilities of several unrelated public companies within the life science industry because we have little information on the volatility of the price of our common stock since we have no trading history. When making the selections of our industry peer companies to be used in the volatility calculation, we also considered the stage of development, size and financial leverage of potential comparable companies. These historical volatilities are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 For out of the money option grants, we estimate the expected lives based on the midpoint of the expected time to a liquidity event and the contractual term.</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each new employee option awarded was estimated on the grant date for the periods below using the Black-Scholes option-pricing model with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Fiscal Year</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6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63.0%</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53.8%</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59.1%</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0"/>
              </w:rPr>
              <w:t>55.0%</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59.3%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Expected life</w:t>
            </w:r>
          </w:p>
        </w:tc>
        <w:tc>
          <w:tcPr>
            <w:tcW w:w="680" w:type="dxa"/>
            <w:vAlign w:val="bottom"/>
          </w:tcPr>
          <w:p>
            <w:pPr>
              <w:ind w:left="20"/>
              <w:spacing w:after="0"/>
              <w:rPr>
                <w:sz w:val="20"/>
                <w:szCs w:val="20"/>
                <w:color w:val="auto"/>
              </w:rPr>
            </w:pPr>
            <w:r>
              <w:rPr>
                <w:rFonts w:ascii="Arial" w:cs="Arial" w:eastAsia="Arial" w:hAnsi="Arial"/>
                <w:sz w:val="18"/>
                <w:szCs w:val="18"/>
                <w:color w:val="auto"/>
                <w:w w:val="86"/>
              </w:rPr>
              <w:t>6.0 years</w:t>
            </w:r>
          </w:p>
        </w:tc>
        <w:tc>
          <w:tcPr>
            <w:tcW w:w="34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86"/>
              </w:rPr>
              <w:t>6.0 years</w:t>
            </w:r>
          </w:p>
        </w:tc>
        <w:tc>
          <w:tcPr>
            <w:tcW w:w="34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86"/>
              </w:rPr>
              <w:t>5.7 years</w:t>
            </w:r>
          </w:p>
        </w:tc>
        <w:tc>
          <w:tcPr>
            <w:tcW w:w="34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86"/>
              </w:rPr>
              <w:t>6.1 years</w:t>
            </w:r>
          </w:p>
        </w:tc>
        <w:tc>
          <w:tcPr>
            <w:tcW w:w="34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86"/>
              </w:rPr>
              <w:t>5.8 years</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3.2%</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2"/>
              </w:rPr>
              <w:t>2.4%</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1.6%</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2"/>
              </w:rPr>
              <w:t>2.1%</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Dividend yield</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2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0%</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0%</w:t>
            </w:r>
          </w:p>
        </w:tc>
        <w:tc>
          <w:tcPr>
            <w:tcW w:w="102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0%</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0%</w:t>
            </w:r>
          </w:p>
        </w:tc>
      </w:tr>
    </w:tbl>
    <w:p>
      <w:pPr>
        <w:spacing w:after="0" w:line="14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If in the future we determine that another method is more reasonable, or if another method for calculating these input assumptions is prescribed by authoritative guidance, and, therefore, should be used to estimate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product revenue, research and development expense, and selling, general and administrative expense.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2007, 2008, 2009 and the nine months ended September 30, 2010. We will continue to use judgment in evaluating the expected term, volatility and forfeiture rate related to our stock-based compensation.</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Also required to compute the fair value calculation of options is the fair value of the underlying common stock. We have historically granted stock options with exercise prices no less than the fair value of our common stock as determined at the date of grant by our Board of Directors with input from management. The following table summarizes, by grant date, the number of stock options granted from January 1, 2009 through September 30, 2010 and the associated per share exercise price, which was not less than the fair value of our common stock for each of these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75"/>
              </w:rPr>
              <w:t>of</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8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Grant Date</w:t>
            </w: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Per Share of</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8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5"/>
              </w:rPr>
              <w:t>Common Stock</w:t>
            </w:r>
          </w:p>
        </w:tc>
        <w:tc>
          <w:tcPr>
            <w:tcW w:w="8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November 17, 2009</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2"/>
              </w:rPr>
              <w:t>300,764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December 23, 2009</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800,633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January 28, 2010</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56,820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May 6, 2010</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149,479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August 26, 2010</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163,728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Given the absence of an active market for our common stock prior to this offering, our Board of Directors determined the estimated fair value of our common stock based on an analysis of relevant metrics, including the following:</w:t>
      </w:r>
    </w:p>
    <w:p>
      <w:pPr>
        <w:spacing w:after="0" w:line="51"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contemporaneous valuations of our common stock by an unrelated third party;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outside investors in arms-length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of freestanding warrants and other similar instruments related to shares that are redeemable;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capital resources and financial condition;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hiring of key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fact that the option grants involve illiquid securities in a private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risks inherent in the development and expansion of our products and services;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19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all grants of stock options during the periods for which financial statements are included in this prospectus, our board of directors determined the fair value of our common stock based on an evaluation of the factors discussed above as of the date of each grant, including a contemporaneous unrelated third-party valuation of our common stock.</w:t>
      </w:r>
    </w:p>
    <w:p>
      <w:pPr>
        <w:spacing w:after="0" w:line="140"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unrelated third-party valuations were prepared using the income or discounted cash flow approach to estimate our aggregate enterprise value at each valuation date. The income approach measures the value of a company as the present value of its future economic benefits by applying an appropriate risk-adjusted discount rate to expected cash flows, based on forecasted revenue and costs. We prepared a financial forecast for each valuation date to be used in the computation of the enterprise value for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10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order to arrive at the estimated fair value of our common stock, the indicated enterprise value of our company calculated at each valuation date using the income approach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marketability, cost of capital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Also, the valuation firm considered the fact that our stockholders cannot freely trade our common stock in the public markets. Therefore, the estimated fair value of our common stock at each grant date reflected a non-marketability discount.</w:t>
      </w:r>
    </w:p>
    <w:p>
      <w:pPr>
        <w:spacing w:after="0" w:line="12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There is inherent uncertainty in these estimates and if we or the valuation firm had made different assumptions than those described above, the amount of our stock-based compensation expense, net loss and net loss per share amounts could have been significantly different.</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obtained contemporaneous valuations from an unrelated third-party valuation firm in connection with each of the following grants, which it considered together with the other factors discussed above, to determine the fair value of our common stock on each grant date. Our board of directors determined a fair value of $4.08 per share of our common stock for grants made on November 17, 2009. For the grant of options on December 23, 2009 and January 28, 2010, our board determined a fair value of $4.45 per share of our common stock on both such dates. The increase in fair value between November 17, 2009 and the grants on December 23, 2009 and January 28, 2010 related primarily to the passage of time which meant that future cash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flows were discounted over a shorter period under the income approach. For the grant of options on May 6, 2010, our board determined a fair value of $3.15 per share of our common stock; however, options were granted by our board on May 6, 2010 at a price per share of $4.45 based on the board’s decision to maintain equality in exercise price with the recipients of grants on December 23, 2009. The decrease in fair value between January 28, 2010 and May 6, 2010 related to lower sales projections, lower cash balances, an increase in the discount for lack of marketability and a longer assumed holding period. For the grant of options on August 26, 2010, our Board determined a fair value of $3.43 per share of our common stock on the grant date; however, again options were granted with an exercise price per share of $4.45. The increase in fair value between May 6, 2010 and August 26, 2010 related to an increase in our sales projections and a decrease in the discount for lack of marketability due to a shorter assumed holding period.</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November 2009, we offered our eligible stock option holders the opportunity to exchange eligible options for new options with an exercise price per share equal to the fair market value of our common stock on December 23, 2009. In approving the exchange offer, our board of directors noted that the principal purpose of the our equity compensation program is to attract and retain personnel required for the success of our business and that a large number of optionees held options to purchase shares of our common stock with exercise prices well above the then-current fair market value of our common stock, and, as a result, our equity compensation program was not having the intended effect of attracting and motivating personnel. Our board of directors concluded that the exchange offer would encourage the continued service of valued service providers critical to our continued success. Options that were eligible to participate in the offer were those that were granted with an exercise price greater than $4.08 per share and remained outstanding and unexercised on December 22, 2009, the expiration date of the offer. All employees (including officers), directors, and consultants as of the commencement date of the offer, were eligible to participate provided they remained service providers through December 22, 2009. Approximately 801,000 options were exchanged. New options granted had similar terms and conditions as the exchanged options, except that the exercise price per share of the new options is equal to the per share fair value of our common stock on December 23, 2009 of $4.45 and the new options were subject to an additional three months of vesting. The exchange resulted in incremental stock based compensation expense of $0.7 million of which $0.4 million was recognized immediately on December 23, 2009 and $0.3 million will be recognized over the remaining vesting periods, which range from three months to four years from December 23, 2009.</w:t>
      </w:r>
    </w:p>
    <w:p>
      <w:pPr>
        <w:spacing w:after="0" w:line="12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Certain of our stock options are granted to officers with vesting acceleration features based upon the achievement of certain performance milestones. The timing of the attainment of these milestones may affect the timing of expense recognition since we recognize compensation expense only for the portion of stock options that are expected to vest.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recorded stock-based compensation of $0.7 million, $2.0 million, $2.1 million, $1.2 million and $1.3 million during 2007, 2008, 2009, the nine months ended September 30, 2009 and the nine months ended September 30, 2010, respectively. As of September 30, 2010, we had $2.1 million of unrecognized stock-based compensation costs, which are expected to be recognized over an average period of 2.0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Option Grants to Officers and Directors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January 2011, we granted options to purchase shares of our common stock to our directors and executive officers. All of these grants had an exercise price of $8.37 per share, which our board of directors determined to be the fair value of our common stock at the time of grant. The grants to our directors were standard annual director grants, in this case for service during 2011. Each director received an option to purchase 8,670 shares. The grants to our executive officers featured performance based vesting and represent the equity component of our 2010 compensation program for executive officers. Each executive officer received two options to purchase a total of 11,560 shares. Based on the difference between the exercise price of the options and $14.50, the mid-point of the range set forth on the cover page of this prospectus, multiplied by the number shares granted, the current value of the option granted to each director would be $53,119 and the current value of the option granted to each executive officer would be $70,825.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board’s determination of the fair value of our common stock at the time of these grants was based on a weighting of two possible scenarios, an acquisition and an initial public offering. Because of our need for additional financial resources to support our ongoing operations, the board believed we would likely need to pursue one of these two options within the next 12 months.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analyzing the acquisition scenario, the board used two standard valuation techniques, discounted cash flow analysis and public company comparable analysis. Both of these approaches indicated an enterprise value for our company that was less than the enterprise value implied by a per share value equal to the midpoint of the range set forth on the cover of this prospectus. In evaluating the reasonableness of the values produced by these methodologies the board noted that we had received an unsolicited acquisition offering in December that included an initial payment that was substantially lower than the value derived from these methodologies and a contingent payment that, if paid, would have resulted in a price higher than the value produced by these methodologies. While the board declined to accept the acquisition offer, the offer did suggest that the values produced by these methodologies were reflective of actual market conditions. Because the two methodologies provided similar results, the board determined that our enterprise value was the average of the two values. The board allocated the portion of the value that would be available to our stockholders in an acquisition to our outstanding securities using the option pricing method taking into account the impact of the significant liquidation preferences associated with our preferred stock. A discount for lack of marketability was applied to the per share value derived using this method resulting in an estimated fair value of $2.75 per share.</w:t>
      </w:r>
    </w:p>
    <w:p>
      <w:pPr>
        <w:spacing w:after="0" w:line="12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In determining our value in an initial public offering scenario, the board chose to use a method similar to that used by our underwriters in valuing our company. Using this approach, the board analyzed the trading multiples of comparable public companies with respect to forecasted 2011 and 2012 sales and applied those multiples to our forecasted sales. The value produced by this analysis was adjusted for an IPO discount, debt obligations and other factors. This methodology produced a per share value for our common stock that was within the tentative range of offering prices provided by our underwriters in mid-December 2010.</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board then assigned probabilities to each of the two scenarios and determined the fair value of our common stock based on an average of the prices under the two scenarios weighted for the probability of each scenario. As we had already filed for an initial public offering, the board considered that scenario to be more likely than an acquisition. However, the board noted that the market for initial public offerings was inherently uncertain, that the stability and strength of the public equity market could be easily diminished by unforeseeable political and economic events, that the offering could be delayed and possibly cancelled, and that, in 2008, we had progressed further towards an initial public offering but had not been able to complete an offering. In addition, the board determined that, despite our efforts to complete a public offering, the prospects for a sale of our company were also significant. This conclusion was based on numerous factors including the previously received indications of interest in acquiring our company, the risks associated with our public offering and our financing needs. As a result, our board assigned a probability weighting of 60% to the initial public offering scenario and 40% to the acquisition scenario. As discussed above, under an acquisition scenario, our common stock has an estimated fair value that is substantially lower than the mid-point of the offering range set forth on the cover page of this prospectus. As a result of the fair values determined under each scenario and the weighting assigned to each scenario, the board determined the fair value of our common stock to be $8.37 per share.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use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 related to current period earnings. As part of the process of preparing our consolidated financial statements, we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We have recorded a full valuation allowance on our deferred tax assets due to uncertainties related to our ability to utilize our deferred tax assets in the foreseeable future. These deferred tax assets primarily consist of net operating loss carryforwards and research and development tax credits. We intend to maintain this valuation allowance until sufficient evidence exists to support its reduction.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to Purchase Convertible Preferred Stock</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account for freestanding warrants to purchase shares of our convertible preferred stock as liabilities because the warrants may conditionally obligate us to transfer assets at some point in the future. The warrants are subject to remeasurement at each balance sheet date, and any change in fair value is recognized as a component of other income (expense), net in the consolidated statements of operations. We estimated the fair value of these warrants at the respective balance sheet dates using the Black-Scholes option-pricing model.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continue to record adjustments to the fair value of the warrants until they are exercised, expire or, upon the closing of an initial public offering, become warrants to purchase shares of our common stock, at which time the warrants will no longer be accounted for as a liability. At that time, the then-current aggregate fair value of these warrants will be reclassified from current liabilities to additional paid-in capital, a component of stockholders’ equity, and we will cease to record any related periodic changes in fair value.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from sales of our products, collaboration agreements and government grants. Our product revenue consists of sales of instruments and related services, and consumables, including chips and reagents. We also have entered into collaboration agreements, research and development contracts and have received government grants to conduct research and development activities.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82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2007</w:t>
            </w:r>
          </w:p>
        </w:tc>
        <w:tc>
          <w:tcPr>
            <w:tcW w:w="100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$10,477</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8"/>
                <w:szCs w:val="18"/>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Product 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4,451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13,364</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23,599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16,369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9"/>
                <w:szCs w:val="19"/>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Grant revenue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15,347</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8"/>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$2,426</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3,172</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580" w:type="dxa"/>
            <w:vAlign w:val="bottom"/>
          </w:tcPr>
          <w:p>
            <w:pPr>
              <w:jc w:val="right"/>
              <w:spacing w:after="0"/>
              <w:rPr>
                <w:sz w:val="20"/>
                <w:szCs w:val="20"/>
                <w:color w:val="auto"/>
              </w:rPr>
            </w:pPr>
            <w:r>
              <w:rPr>
                <w:rFonts w:ascii="Arial" w:cs="Arial" w:eastAsia="Arial" w:hAnsi="Arial"/>
                <w:sz w:val="18"/>
                <w:szCs w:val="18"/>
                <w:color w:val="auto"/>
              </w:rPr>
              <w:t>4,885</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3,365</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4,768</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1,431</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1,369</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2,053</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4,451</w:t>
            </w:r>
          </w:p>
        </w:tc>
        <w:tc>
          <w:tcPr>
            <w:tcW w:w="2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13,364</w:t>
            </w:r>
          </w:p>
        </w:tc>
        <w:tc>
          <w:tcPr>
            <w:tcW w:w="2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2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16,369</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20,883</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Grant revenue is primarily generated in Singapore. Collaboration revenue is primarily generated in the United States. As we expand our business in Europe, Latin America and Asia Pacific, we expect our product revenue from outside of the United States to increase as a percentage of our total product revenue.</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customers include pharmaceutical and biotechnology companies, academic research institutions, diagnostic laboratories and Ag-Bio companies worldwide. Total revenue from our five largest customers in each of the periods presented comprised 48%, 32%, 20% and 18% of revenue in 2007, 2008, 2009, and the nine months ended September 30,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2009 and September 30, 2010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Total revenue increased $5.4 million, or 30%, to $23.2 million for the nine months ended September 30, 2010 as compared to $17.8 million for the nine months ended September 30,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Product revenue increased by $4.5 million, or 28%, to $20.9 million for the nine months ended September 30, 2010 as compared to $16.4 million for the nine months ended September 30, 2009. The increase is primarily due to the $3.0 million, or 78%, increase in consumables revenue resulting from the higher installed base of instruments. In addition, instrument revenue increased by $1.5 million, or 12%. Instrument sales volume increased by 44% primarily driven by our Access Array system, which launched in the second half of 2009. Average instrument selling prices were generally lower for the nine months ended September 30, 2010 compared to the same period in 2009 due to increased sales of the Access Array instrument which has a lower average selling price compared to our BioMark and EP1 instruments.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expect unit sales of both instruments and consumables to continue to increase in future periods as we continue our efforts to grow our customer base and expand our geographic market coverage. However, we expect our average selling prices of our instruments to fluctuate over time based on product mix.</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Collaboration revenue was $1.0 million for the nine months ended September 30, 2010, resulting from a fixed-fee research and development agreement that we entered into in May 2010. The arrangement provided for an up-front fee of $750,000 that is being amortized over the term of the agreement, currently projected to be approximately 15 months. The arrangement also provides for milestone payments for the design and development of product prototypes, which payments have been and are expected to be recognized as we achieve each milestone. In September 2010, we achieved two milestones and received two milestone payments totaling an additional $750,000. We expect to receive additional milestone fees as and when we achieve additional milestones, as specified in the agreement. In the nine months ended September 30, 2009, we did not have any research and development arrangements in place.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Grant revenue consists of incentive grants from government entities, primarily EDB. Grant revenue decreased $0.1 million, or 5%, to $1.3 million for the nine months ended September 30, 2010 compared to $1.4 million for the nine months ended September 30, 2009. The decrease relates to a reduction in activity for the EDB grant agreement as we reach certain milestones. Under our incentive grant agreements with EDB, eligible expenses incurred by us in Singapore were $3.4 million for the nine months ended September 30, 2010 and $2.7 million in the nine months ended September 30, 2009.</w:t>
      </w:r>
    </w:p>
    <w:p>
      <w:pPr>
        <w:spacing w:after="0" w:line="113"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Our agreements with EDB provide that grants extended to us are subject to our operation of increasing levels of research, development and manufacturing in Singapore, including the use of local service providers, the hiring and training of personnel in Singapore, the incurrence of research and development expenses in Singapore, our receipt of new investment in our company and our achievement of certain agreed upon milestones relating to the development of our products. Development and manufacturing milestones achieved include completion of feasibility studies and prototype development, establishment of manufacturing lines, process automation and manufacturing yield improvements for our chips and related instruments. These agreements further provided EDB with the right to demand repayment of a portion of past grants in the event that we did not meet our obligations under the applicable agreements. Based on correspondence with EDB, we believe we have satisfied our obligations applicable to our EDB grant revenue through September 30, 2010.</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total grant revenue for 2010 and future periods to decrease compared to 2009 as the first of our EDB grant agreements was completed during 2010 and the second EDB grant agreement will be completed in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960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6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$8,404</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$7,999</w:t>
            </w: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Product margin</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 products, provisions for slow-moving and obsolete inventory and stock-based compensation expense. Costs related to collaboration and grant revenue are included in research and development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 of product revenue decreased $0.4 million, or 5%, to $8.0 million for the nine months ended September 30, 2010 from $8.4 million for the nine months ended September 30, 2009. Cost of product revenue as a percentage of related revenue was 38% for the nine months ended September 30, 2010 compared to 51% for the nine months ended September 30, 2009. The decrease in cost of product revenue was primarily due to lower material costs as we sourced more components from local vendors in Asia, improved overhead absorption from increased volumes and improved yields on our chips, and decreased provisions for slow moving and excess and obsolete inventory.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expect the unit costs of our products to decline in future periods as a result of our ongoing efforts to improve our manufacturing processes coupled with expected increases in production volumes and yields.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ind w:left="440"/>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23,635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27,769</w:t>
            </w:r>
          </w:p>
        </w:tc>
        <w:tc>
          <w:tcPr>
            <w:tcW w:w="100" w:type="dxa"/>
            <w:vAlign w:val="bottom"/>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Research and development expense increased $0.8 million, or 9%, to $10.1 million for the nine months ended September 30, 2010 compared to $9.2 million for the nine months ended September 30, 2009. The increase relates primarily to increased headcount related costs of $0.5 million and increased consumption of supplies and consumables of $0.3 million associated with new product introductions and related development and testing. We believe that our continued investment in research and development is essential to our long-term competitive position and expect these expenses to increase in future periods.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Selling, general and administrative expense increased $3.3 million, or 23%, to $17.7 million for the nine months ended September 30, 2010, compared to $14.4 million for the nine months ended September 30, 2009. The increase was primarily due to increased compensation costs and related expenses of $2.0 million resulting from increased headcount to support our business and revenue growth, increased advertising and promotional costs of $0.3 million to support our new product introductions and to increase market awareness, increased legal and professional fees of $0.5 million, and an increase in our provision for bad debt expense of $0.3 million. We expect selling, general and administrative expense to increase in future periods as we continue to grow our sales,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technical support, marketing and administrative headcount, support increased product sales, broaden our customer base and incur additional costs to support our expanded global footprint and the overall growth in our business. We also expect legal, accounting and compliance costs to increase upon becoming a public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receive interest income from our cash and cash equivalents. Conversely, we incur interest expense from our long-term debt and convertible promissory notes and the amortization of debt discounts related to these items. The following table presents these items for each period presented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$(1,849)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Gains from changes in the fair value of convertible preferred stock warrants,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284</w:t>
            </w:r>
          </w:p>
        </w:tc>
      </w:tr>
    </w:tbl>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Interest expense decreased $0.2 million, or 12%, to $1.6 million for the nine months ended September 30, 2010 compared to $1.8 million for the nine months ended September 30, 2009 due to the interest incurred on $10.7 million of convertible notes issued in August 2009 which was converted into convertible preferred stock in November 2009. We expect interest expense to decrease in 2011 as we expect to begin repayment of our outstanding debt.</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Gains from changes in the fair value of preferred stock warrants increased $30,000, or 17%, to $210,000 for the nine months ended September 30, 2010 from $180,000 in the nine months ended September 30, 2009 due to a decrease in the warrant liability fair value.</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income decreased by $26,000, or 79%, for the nine months ended September 30, 2010 compared to the nine months ended September 30, 2009 due to the decrease in our cash balances during 2010. We expect interest income to increase in 2011 as we invest a portion of the net proceeds from this offering.</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Other income (expense) for the nine months ended September 30, 2010 was relatively consistent with the nine months ended September 30, 2009 and primarily consists of foreign currency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27, 2008 and December 31,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7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Instruments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$10,477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Consumables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color w:val="auto"/>
              </w:rPr>
              <w:t>Product revenue</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13,364</w:t>
            </w:r>
          </w:p>
        </w:tc>
        <w:tc>
          <w:tcPr>
            <w:tcW w:w="580" w:type="dxa"/>
            <w:vAlign w:val="bottom"/>
          </w:tcPr>
          <w:p>
            <w:pPr>
              <w:jc w:val="right"/>
              <w:spacing w:after="0"/>
              <w:rPr>
                <w:sz w:val="20"/>
                <w:szCs w:val="20"/>
                <w:color w:val="auto"/>
              </w:rPr>
            </w:pPr>
            <w:r>
              <w:rPr>
                <w:rFonts w:ascii="Arial" w:cs="Arial" w:eastAsia="Arial" w:hAnsi="Arial"/>
                <w:sz w:val="18"/>
                <w:szCs w:val="18"/>
                <w:color w:val="auto"/>
              </w:rPr>
              <w:t>23,599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$10.1 million, or 66%, to $25.4 million for 2009 as compared to $15.4 million for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Product revenue increased by $10.2 million, or 77%, to $23.6 million for 2009 as compared to $13.4 million for 2008. Instrument revenue increased by $6.8 million, or 65% primarily due to a $7.9 million increase in BioMark and EP1 instrument revenue, despite lower average selling prices, partially offset by a $1.1 million decrease in Topaz instrument revenue. Instrument sales volume increased by 173% due primarily to sales of our BioMark instruments and, in part, to sales of our EP1 instruments, which began in the third quarter of 2008. In addition, consumables revenue increased by $3.4 million, or 118%, resulting from the higher installed base of instruments. Our deferred product revenue balance decreased from $1.7 million at December 27, 2008 to $1.0 million at December 31, 2009. The decrease was primarily due to the recognition of revenue on previously deferred sales beginning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Grant revenue decreased $0.1 million, or 5%, to $1.8 million for 2009 compared to $1.9 million for 2008. The decrease related to a $0.3 million reduction in activity for a grant agreement with the National Institutes of Health, or NIH, which terminated in June 2008 and a decrease of $0.2 million in EDB grants, partially offset by a new grant for $0.3 million entered into in April 2009 with the California Institute for Regenerative Medicine, or CIRM. EDB grant revenue was $1.5 million during 2009, compared to $1.7 million during 2008. Under our incentive grant agreements with EDB, eligible expenses incurred by us in Singapore were $3.7 million in 2009 and $3.7 million in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Fiscal Year</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464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$8,364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$11,486</w:t>
            </w:r>
          </w:p>
        </w:tc>
        <w:tc>
          <w:tcPr>
            <w:tcW w:w="200" w:type="dxa"/>
            <w:vAlign w:val="bottom"/>
            <w:shd w:val="clear" w:color="auto" w:fill="CCEEFF"/>
          </w:tcPr>
          <w:p>
            <w:pPr>
              <w:spacing w:after="0"/>
              <w:rPr>
                <w:sz w:val="18"/>
                <w:szCs w:val="18"/>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Product margin</w:t>
            </w:r>
          </w:p>
        </w:tc>
        <w:tc>
          <w:tcPr>
            <w:tcW w:w="4640" w:type="dxa"/>
            <w:vAlign w:val="bottom"/>
            <w:gridSpan w:val="3"/>
          </w:tcPr>
          <w:p>
            <w:pPr>
              <w:jc w:val="right"/>
              <w:ind w:right="552"/>
              <w:spacing w:after="0"/>
              <w:rPr>
                <w:sz w:val="20"/>
                <w:szCs w:val="20"/>
                <w:color w:val="auto"/>
              </w:rPr>
            </w:pPr>
            <w:r>
              <w:rPr>
                <w:rFonts w:ascii="Arial" w:cs="Arial" w:eastAsia="Arial" w:hAnsi="Arial"/>
                <w:sz w:val="18"/>
                <w:szCs w:val="18"/>
                <w:color w:val="auto"/>
              </w:rPr>
              <w:t>37%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bl>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Cost of product revenue increased $3.1 million, or 37%, to $11.5 million for 2009 compared to $8.4 million for 2008 primarily due to increases in instrument sales related to our BioMark, EP1 and, to a lesser extent, our Access Array systems. Cost of product revenue as a percentage of product revenue was 49% in 2009 as compared to 63% in 2008. The decrease was primarily due to lower material costs especially for tooling, improved overhead absorption from increased volumes and improved yields on our chips, product efficiencies resulting from transitioning our instrument manufacturing operations from South San Francisco to Singapore, and reduced material costs as we sourced more components from local vendors in Asia, partially offset by increased provisions for slow moving and excess and obsolete inventory.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7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$14,015</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$12,315</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36,526</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31,963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Research and development expense decreased $1.7 million, or 12%, to $12.3 million for 2009 compared to $14.0 million for 2008. The decrease primarily related to decrease in compensation costs of $0.3 million due to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decrease in research and development headcount as we transitioned certain of our engineering efforts to our facility in Singapore, a decrease in facility and information technology allocations of $0.4 million as our research and development organization occupied less space in our South San Francisco facility following the transition of certain activities to Singapore and a decrease in consumption of supplies and consumables of $0.7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Selling, general and administrative expense decreased $2.9 million, or 13%, to $19.6 million for 2009 compared to $22.5 million for 2008. The decrease was primarily due to initial public offering related costs of $3.4 million recognized in 2008 following the withdrawal of our previous offering in September 2008, a decrease in audit and tax related fees of $0.7 million, a decrease in consulting costs of $0.5 million and a decrease in advertising and promotion costs of $0.4 million. The initial public offering related costs consisted primarily of legal and accounting services and had previously been capitalized. The overall decrease was partially offset by a $1.9 million increase in compensation related costs associated with our increased headcount and an increase in stock-based compensation expense of $0.1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interest income, interest expense, and other income and expense, net for each period presented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$(2,031)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1,833</w:t>
            </w:r>
          </w:p>
        </w:tc>
      </w:tr>
    </w:tbl>
    <w:p>
      <w:pPr>
        <w:spacing w:after="0" w:line="147"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Interest expense increased $0.8 million, or 42%, to $2.9 million for 2009 compared to $2.1 million for 2008 due to the interest expense related to the issuance of $10.7 million in convertible notes in August 2009.</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Interest income decreased by $0.7 million, or 95%, to $37,000 for 2009 compared to $0.8 million for 2008. The decrease in interest income reflects the decrease in our cash and cash equivalents balances during 2009.</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Gain (loss) from changes in the fair value of convertible preferred stock warrants decreased by $0.9 million, or 118%, to a $0.1 million loss for 2009 compared to a $0.8 million gain in 2008 due to changes in the fair value of our warrant liability.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income (expense) in 2009 increased $1.4 million, or 366%, to $1.8 million in 2009 from $0.4 million in 2008 primarily due to income recognized from our grant of a sub-license to certain intellectual property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29, 2007 and December 27,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80" w:type="dxa"/>
            <w:vAlign w:val="bottom"/>
            <w:gridSpan w:val="4"/>
          </w:tcPr>
          <w:p>
            <w:pPr>
              <w:ind w:left="46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6320" w:type="dxa"/>
            <w:vAlign w:val="bottom"/>
            <w:gridSpan w:val="3"/>
          </w:tcPr>
          <w:p>
            <w:pPr>
              <w:jc w:val="right"/>
              <w:ind w:right="500"/>
              <w:spacing w:after="0"/>
              <w:rPr>
                <w:sz w:val="20"/>
                <w:szCs w:val="20"/>
                <w:color w:val="auto"/>
              </w:rPr>
            </w:pPr>
            <w:r>
              <w:rPr>
                <w:rFonts w:ascii="Arial" w:cs="Arial" w:eastAsia="Arial" w:hAnsi="Arial"/>
                <w:sz w:val="18"/>
                <w:szCs w:val="18"/>
                <w:color w:val="auto"/>
              </w:rPr>
              <w:t>$2,682</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5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8"/>
                <w:szCs w:val="18"/>
                <w:color w:val="auto"/>
              </w:rPr>
              <w:t>Product revenue</w:t>
            </w:r>
          </w:p>
        </w:tc>
        <w:tc>
          <w:tcPr>
            <w:tcW w:w="6320" w:type="dxa"/>
            <w:vAlign w:val="bottom"/>
            <w:gridSpan w:val="3"/>
          </w:tcPr>
          <w:p>
            <w:pPr>
              <w:jc w:val="right"/>
              <w:ind w:right="500"/>
              <w:spacing w:after="0"/>
              <w:rPr>
                <w:sz w:val="20"/>
                <w:szCs w:val="20"/>
                <w:color w:val="auto"/>
              </w:rPr>
            </w:pPr>
            <w:r>
              <w:rPr>
                <w:rFonts w:ascii="Arial" w:cs="Arial" w:eastAsia="Arial" w:hAnsi="Arial"/>
                <w:sz w:val="18"/>
                <w:szCs w:val="18"/>
                <w:color w:val="auto"/>
              </w:rPr>
              <w:t>4,451</w:t>
            </w:r>
          </w:p>
        </w:tc>
        <w:tc>
          <w:tcPr>
            <w:tcW w:w="580" w:type="dxa"/>
            <w:vAlign w:val="bottom"/>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6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Grant revenue</w:t>
            </w:r>
          </w:p>
        </w:tc>
        <w:tc>
          <w:tcPr>
            <w:tcW w:w="5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6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320" w:type="dxa"/>
            <w:vAlign w:val="bottom"/>
            <w:vMerge w:val="restart"/>
          </w:tcPr>
          <w:p>
            <w:pPr>
              <w:jc w:val="right"/>
              <w:ind w:right="3392"/>
              <w:spacing w:after="0"/>
              <w:rPr>
                <w:sz w:val="20"/>
                <w:szCs w:val="20"/>
                <w:color w:val="auto"/>
              </w:rPr>
            </w:pPr>
            <w:r>
              <w:rPr>
                <w:rFonts w:ascii="Arial" w:cs="Arial" w:eastAsia="Arial" w:hAnsi="Arial"/>
                <w:sz w:val="18"/>
                <w:szCs w:val="18"/>
                <w:color w:val="auto"/>
              </w:rPr>
              <w:t>55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$8.1 million, or 111%, to $15.3 million for 2008 as compared to $7.3 million for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Product revenue increased by $9.0 million, or 202%, to $13.4 million for 2008 compared to $4.5 million for 2007. Revenue from instruments increased by $7.9 million, or 293%, primarily due to higher demand for our BioMark instruments, resulting in an increase in BioMark instrument sales volume of 164%. Revenue from consumables increased by $1.1 million, or 64%, primarily due to our higher installed base of instruments. Our deferred product revenue balance decreased from $2.7 million at December 29, 2007 to $1.7 million at December 27, 2008. The decrease was primarily due to the recognition of revenue on previously deferred sales beginning in the third quarter of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Collaboration revenue decreased $0.4 million, or 85%, to $70,000 for 2008 from $0.5 million for 2007, primarily due to the completion of one of our development agreements during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Grant revenue decreased $0.5 million, or 19%, to $1.9 million for 2008 compared to $2.4 million for 2007. The decrease related to a $0.3 million reduction in activity under an NIH grant agreement that terminated in June 2008 and a $0.2 million decrease in grant revenue from EDB. Under our incentive grant agreements with EDB, eligible expenses incurred by us in Singapore were $4.4 million in 2007 and $3.7 million in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Fiscal Year</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52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$3,514</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$8,364</w:t>
            </w:r>
          </w:p>
        </w:tc>
        <w:tc>
          <w:tcPr>
            <w:tcW w:w="20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Product margin</w:t>
            </w:r>
          </w:p>
        </w:tc>
        <w:tc>
          <w:tcPr>
            <w:tcW w:w="1280" w:type="dxa"/>
            <w:vAlign w:val="bottom"/>
            <w:gridSpan w:val="2"/>
          </w:tcPr>
          <w:p>
            <w:pPr>
              <w:jc w:val="right"/>
              <w:ind w:right="572"/>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bl>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product revenue increased $4.9 million, or 138%, to $8.4 million for 2008 compared to $3.5 million for 2007, primarily driven by higher instrument sales, start-up costs for our new Singapore manufacturing facility and underutilized capacity as we transitioned manufacturing from the United States to Singapore. Cost of product revenue as a percentage of product revenue was 79% in 2007 compared to 63% in 2008. The decrease was due to the adverse effect of underutilized production capacity in 2007 as we transitioned manufacturing from the United States to Singapore.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5800" w:type="dxa"/>
            <w:vAlign w:val="bottom"/>
            <w:gridSpan w:val="3"/>
          </w:tcPr>
          <w:p>
            <w:pPr>
              <w:jc w:val="right"/>
              <w:ind w:right="500"/>
              <w:spacing w:after="0"/>
              <w:rPr>
                <w:sz w:val="20"/>
                <w:szCs w:val="20"/>
                <w:color w:val="auto"/>
              </w:rPr>
            </w:pPr>
            <w:r>
              <w:rPr>
                <w:rFonts w:ascii="Arial" w:cs="Arial" w:eastAsia="Arial" w:hAnsi="Arial"/>
                <w:sz w:val="18"/>
                <w:szCs w:val="18"/>
                <w:color w:val="auto"/>
              </w:rPr>
              <w:t>$14,389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47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580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27,287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720" w:type="dxa"/>
            <w:vAlign w:val="bottom"/>
            <w:vMerge w:val="restart"/>
          </w:tcPr>
          <w:p>
            <w:pPr>
              <w:jc w:val="right"/>
              <w:ind w:right="3312"/>
              <w:spacing w:after="0"/>
              <w:rPr>
                <w:sz w:val="20"/>
                <w:szCs w:val="20"/>
                <w:color w:val="auto"/>
              </w:rPr>
            </w:pPr>
            <w:r>
              <w:rPr>
                <w:rFonts w:ascii="Arial" w:cs="Arial" w:eastAsia="Arial" w:hAnsi="Arial"/>
                <w:sz w:val="18"/>
                <w:szCs w:val="18"/>
                <w:color w:val="auto"/>
              </w:rPr>
              <w:t>56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expense decreased $0.4 million, or 3%, to $14.0 million in 2008 from $14.4 million for 2007, primarily due to a decrease in contractor costs of $0.4 million, a decrease in headcount related costs of $0.3 million and a decrease in license costs of $0.1 million, partially offset by higher stock-based compensation of $0.3 million for new hire stock option grants.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Selling, general and administrative expense increased by $9.6 million, or 75%, to $22.5 million for 2008 from $12.9 million for 2007 primarily due to costs related to our previously proposed initial public offering that was withdrawn of $3.4 million, increased compensation costs of $4.0 million related to increased headcount, an increase in stock-based compensation of $0.9 million, an increase of $0.9 million in spending primarily for accounting and legal services to support our global expansion and an increase of $0.4 million for advertising and promotions.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interest expense, interest income and other income and expense, net for each period presented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$(2,790)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1,140</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393</w:t>
            </w:r>
          </w:p>
        </w:tc>
      </w:tr>
    </w:tbl>
    <w:p>
      <w:pPr>
        <w:spacing w:after="0" w:line="14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Interest expense decreased by $0.8 million, or 27%, to $2.0 million for 2008 compared to $2.8 million for 2007. The decrease was primarily due to a lower average debt balance following the conversion of $10.0 million of promissory notes in March 2007 and the impact of a convertible promissory note of $5.0 million issued in April 2007. Interest expense for 2008 included interest accrued on $10.0 million in borrowings on our credit line during June 2008.</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income for 2008 decreased by $0.4 million, or 33%, to $0.8 million for 2008 compared to $1.1 million for 2007. The decrease in interest income was due to lower cash and cash equivalents and lower interest rates during 2008 as compared to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of September 30, 2010, we had $5.1 million of cash and cash equivalents compared to $14.6 million as of December 31, 2009. As of September 30, 2010, our working capital totaled $6.8 million. Since our inception, we have principally funded our operations through issuances of convertible preferred stock, which have provided us with aggregate net proceeds of $184.8 million, of which $20.0 million was provided by entities affiliated with EDB in the form of convertible promissory notes that converted into convertible preferred stock and $10.7 million in other loans that were converted into preferred stock. We have also received significant funding in the form of non-convertible loans that have provided us with aggregate net proceeds of $26.6 million. As of September 30, 2010, we had an accumulated deficit of $196.2 million.</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received funding in the form of grants from government entities, the most significant of which have been associated with two grant agreements with EDB that have helped support the establishment and operation of our Singapore manufacturing, research and development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first grant agreement with EDB was completed in July 2010. The maximum amount of grant revenue available to us under our second grant agreement with EDB from September 30, 2010 through May 31, 2011 is SG$1.1 million (approximately US$0.8 million) although we expect actual grant revenue to be significantly lower.</w:t>
      </w:r>
    </w:p>
    <w:p>
      <w:pPr>
        <w:spacing w:after="0" w:line="14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To maintain eligibility for grant payments under our second grant agreement, we are required to incur annual spending in Singapore of at least SG$6.5 million (approximately US$4.7 million) for the 12 months ended May 31, 2009 and for the twelve months ended May 31, 2010 and at least SG$9.0 million (approximately US$6.5 million) for the 12 months ending May 31, 2011. We met our annual spending requirements in Singapore for the 12 months ended May 31, 2009 and May 31, 2010.</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this purpose, spending in Singapore includes overhead, salaries, outsourcing and subcontracting expenses, operating expenses and royalties paid, with limited exceptions such as raw materials purchases. Expenditures that are used to satisfy the requirements of one grant agreement are not eligible for satisfaction of the other grant agreement. To qualify for payment under the second grant agreement, expenditures must relate to the development of instrumentation for our systems and not our chips.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first grant agreement required that we employ at least 23 research scientists and engineers in Singapore by December 31, 2009. Our second grant agreement required that we employ at least 10 new research scientists and engineers in Singapore by May 31, 2009 and that we employ at least 12 new research scientists and engineers in Singapore by May 31, 2011, which may only be satisfied by personnel employed in the research and development of our instruments. In addition, we are required to employ at least 12 research scientists and engineers until May 31, 2013, which may be satisfied by personnel employed in the research and development of either chips or instruments.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September 30, 2010, we employed 23 research scientists and engineers involved in the research and development of our chips and 12 research scientists and engineers involved in the research and development of related instrumentation in Singapore.</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cannot assure you that we will take all actions required to remain eligible for grants under our agreements with EDB and, in the event that we do not comply with such requirements, whether intentionally or unintentionally, we may not receive further grants under such agreements. In the event that we do not receive grant funding from EDB in the future, we do not believe that our liquidity would be materially affected.</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multiple convertible note purchase agreements with Biomedical Sciences Investment Fund Pte. Ltd., or BMSIF, pursuant to which we issued convertible notes and received proceeds in the amount of $21.6 million through September 30, 2010. BMSIF is wholly-owned by EDB Investments Pte. Ltd., whose parent entity is EDB. Ultimately, each of these entities is controlled by the government of Singapore. As of September 30, 2010, there were no outstanding principal and accrued interest balances for our convertible note purchase agreements with BMSIF as the final remaining note was converted into shares of our Series E convertible preferred stock in November 2009.</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In March 2005, we entered into a loan and security agreement with a lender under which we borrowed $13.0 million to be used for general corporate purposes. The loan interest rate was 11.5% per annum and the maturity date was February 2010. The loan was subject to prepayment penalties if paid off prior to 2010. In February 2008, this loan and security agreement was amended to provide us with an additional credit line in the amount of $10.0 million that we could draw upon until July 1, 2008 for general corporate purposes. In June 2008, we drew down the $10.0 million. Interest only payments were made monthly through the remainder of 2008 with monthly payments of principal and interest in the amount of $0.4 million, beginning in January 2009, to be made through June 2011. The agreement also required a final payment in the amount of $0.7 million in June 2011, which has been accreted as interest expense over the term of the loan.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March 2009, we combined and restructured the loan and security agreement discussed above. The restructured loan and security agreement had a final repayment date of March 1, 2012. The interest rate under the loan was 13.5% per annum. Interest only payments were made monthly through February 1, 2010. Commencing on March 1, 2010, we began making monthly payments of $0.6 million for principal and interest with an additional final payment of $2.1 million due in March 2012. The agreement also required payment of fees on March 1, 2012 in the amount of $0.2 million, which, along with the $2.1 million final payment, were being accreted as interest expense over the term of the loan. We were subject to a prepayment fee in the amount of 1.5% of the outstanding principal amount being prepaid. In connection with the execution of this loan and security agreement, we issued a warrant to purchase 41,288 shares of Series E convertible preferred stock at $24.22 per share. The fair value of the warrant resulted in a debt discount that is being amortized to interest expense over the life of the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June 2010, we amended the loan and security agreement discussed above. The restructured loan and security agreement has a maturity date of February</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2013. The loan bears interest at 13.5% per annum with interest only payments due monthly through February 2011. Commencing in March 2011, we will begin making monthly payments of $0.6 million for principal and interest with an additional payment of $2.1 million due in March 2012. The agreement also requires payment of fees in March 2012 in the amount of $0.2 million. The combined additional payment and fees of $2.3 million are being accreted as interest expense through the maturity date of February 2013. We are subject to a prepayment fee in the amount of 1.0% of the outstanding principal amount being prepaid. In connection with the execution of this loan and security agreement, we issued to the lender a warrant to purchase 57,784 shares of Series E-1 convertible preferred stock at $12.11 per share. The fair value of the warrant resulted in a debt discount that is being amortized to interest expense over the life of the agreement. In addition, we amended warrants previously issued to this lender by reducing the exercise price of all of their warrants to $12.11 per share and extending the term of one warrant. As a result of the warrant amendments, these warrants were revalued resulting in an increase in the value of $0.1 million which resulted in an additional debt discount that will be amortized to interest expense over the life of the agreement.</w:t>
      </w:r>
    </w:p>
    <w:p>
      <w:pPr>
        <w:spacing w:after="0" w:line="12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As of September 30, 2010, the outstanding principal and accrued interest balance for this loan and security agreement was $14.6 million, net of unamortized debt discounts of $0.2 million.</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loan and security agreement contains customary covenants that, among other things, require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 with affiliates or engage in the sale, lease or license of our assets outside of the ordinary course of business. As of September 30, 2010, we were in compliance with the above covenants with the exception of the timely delivery of audited financial statements for 2009 for which we have received a waiver through December 31, 2010.</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August 2009, we entered into a convertible Note and Warrant Purchase Agreement, or Note, with existing investors to provide us with cash proceeds of $10.7 million. In connection with the Note, we issued warrants to purchase 220,176 shares of Series E convertible preferred stock at $24.22 per share. The fair value of the warrants resulted in a debt discount of $0.3 million. The Note was scheduled to mature on December 31, 2009, with interest accruing on the outstanding principal amount for the first 60 days at a rate equal to 1% per month and at a rate equal to 2% per month after the first 60 days, compounded monthly. In November 2009, the noteholders converted the outstanding principal amount and accrued interest totaling $11.0 million into 455,525 shares of Series E convertible preferred stock which were issued upon the conversion at a price of $24.22 per share.</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July 2010, we offered holders of preferred stock warrants with an exercise price over $12.11 per share the opportunity to amend those warrants to lower the exercise price to $12.11 per share. The amended warrants would be exercisable for Series E-1 convertible preferred stock and would receive one common share for each preferred share purchased, subject to the warrant holder’s agreement to immediately exercise the warrants in full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and for cash. The offer expired in August 2010 with warrants to purchase 57,724 shares of preferred stock exercised. As a result of this offer, we received gross proceeds of $0.7 million and issued 57,724 shares of both Series E-1 convertible preferred stock and common stock. The rights, preferences, and other terms of the Series E-1 convertible preferred stock were identical to those of our Series E convertible preferred stock, except the liquidation preference of the Series E-1 convertible preferred stock was $12.11 per share.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Fiscal Year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summary</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(21,759)</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2"/>
              </w:rPr>
              <w:t>$ (28,720)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(19,513)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(14,388)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$(9,247)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37,555</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16,939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9,529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9,059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2"/>
              </w:rPr>
              <w:t>$ (16,281)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$(9,519)</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operating activities was $9.2 million during the nine months ended September 30, 2010. Net cash used in operating activities primarily consisted of our net loss of $13.8 million, changes in our operating assets and liabilities in the amount of $2.4 million, and non-cash income adjustment to the fair value of convertible preferred stock warrants of $0.2 million, which was partially offset by non-cash expense items such as stock-based compensation of $1.3 million, depreciation and amortization of our property and equipment of $0.9 million and amortization of debt discounts and issuance cost of $0.3 million.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operating activities was $14.4 million during the nine months ended September 30, 2009. Net cash used in operating activities primarily consisted of our net loss of $15.7 million, changes in our operating assets and liabilities in the amount of $1.2 million, and non-cash income adjustment to the fair value of convertible preferred stock warrants of $0.2 million, which was partially offset by non-cash expense items such as stock-based compensation of $1.2 million, depreciation and amortization of our property and equipment of $1.3 million and amortization of debt discounts and issuance cost of $0.2 million.</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cash used in operating activities was $19.5 million during 2009. Net cash used in operating activities primarily consisted of our net loss of $19.1 million, changes in our operating assets and liabilities in the amount of $2.7 million, non-cash income from the licensing of technology of $1.8 million, and non-cash income adjustment to the fair value of convertible preferred stock warrants of $0.1 million, which was partially offset by non-cash expense items such as stock-based compensation of $2.1 million, depreciation and amortization of our property and equipment of $1.6 million and amortization of debt discounts and issuance cost of $0.3 million.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cash used in operating activities was $28.7 million during 2008. Net cash used in operating activities primarily consisted of a net loss of $29.5 million, non-cash expense adjustment to the fair value of convertible preferred stock warrants of $0.8 million, which was partially offset by changes in our operating assets and liabilities in the amount of $2.5 million and non-cash expense items such as stock-based compensation of $2.0 million, depreciation and amortization of our property and equipment of $1.5 million and amortization of debt discounts of $0.5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cash used in operating activities was $21.8 million during 2007. Net cash used in operating activities primarily consisted of a net loss of $25.5 million, which was partially offset by non-cash expense items such as depreciation and amortization of our property and equipment of $1.6 million, stock-based compensation of $0.7 million, amortization of debt discounts of $0.5 million, and changes in our operating assets and liabilities in the amount of $0.4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future periods.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used $1.0 million of cash in investing activities during the nine months ended September 30, 2010 for purchases of capital equipment to support our infrastructure and manufacturing operations of $1.1 million partially offset by the release of $0.1 million from restricted cash for a sub-lease that expired.</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used $0.6 million of cash in investing activities during the nine months ended September 30, 2009 for net purchases of capital equipment to support our infrastructure and manufacturing operations.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used $0.7 million of cash in investing activities during 2009 for purchases of capital equipment to support our infrastructure and manufacturing operations of $0.8 million partially offset by proceeds of $0.1 million from disposals of property and equipment.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generated $6.0 million of cash from investing activities during 2008 primarily from maturities of available for sale securities of $7.8 million, sales of available-for-sale securities of $3.0 million, restricted cash of $0.6 million, which was partially offset by purchases of available-for-sale securities of $4.5 million and capital expenditures of $0.9 million primarily to support our Singapore manufacturing facility.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used $6.7 million of cash in investing activities during 2007, primarily for purchases of available-for-sale securities of $6.3 million and capital expenditures of $1.0 million primarily related to purchases of equipment for our Singapore manufacturing facility, partially offset by maturities of available-for-sale securities of $0.5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Historically, we have principally funded our operations through issuances of convertible preferred stock and long term debt.</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generated $0.7 million of cash from financing activities during the nine months ended September 30, 2010 primarily from exercises of preferred warrants.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generated $9.5 million of cash from financing activities during the nine months ended September 30, 2009 primarily from proceeds from our issuance of convertible promissory notes of $10.5 million partially offset by our repayment of debt of $1.0 million.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generated $16.9 million of cash from financing activities during 2009 primarily from proceeds from the issuance of convertible promissory notes, net of issuance costs, of $10.5 million and proceeds from the issuance of convertible preferred stock, net of issuance costs, of $7.4 million, partially offset by the repayment of long-term debt of $1.0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2008, we generated $6.3 million of cash from financing activities primarily due to proceeds from our amended loan and security agreement of $10.0 million, partially offset by repayments of our long-term debt of $3.9 million.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2007, we generated $37.6 million of cash from financing activities primarily due to net proceeds from issuance of preferred stock of $35.9 million and net proceeds from the issuance of convertible promissory notes of $5.0 million, partially offset by repayments on long-term debt of $3.5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December 27, 2008, December 31, 2009 and September 30, 2010, our working capital was $20.7 million, $21.4 million and $6.8 million, respectively, including cash and cash equivalents of $17.8 million, $14.6 million and $5.1 million respectively. We currently anticipate that we will need additional cash resources in the near term to fund increases in net operating assets to support our expected growth. In addition, beginning in March 2011, we will commence making principal payments on our long-term debt, following the end of the interest-only period in February 2011. Monthly payments, which are currently $0.2 million, will increase to $0.6 million in March 2011. In December 2010, we entered into a bank line of credit agreement that is collateralized by our accounts receivable and provides us the ability to draw up to $4.0 million. In January 2011, we raised $4.8 million through the issuance of subordinated secured promissory notes and warrants to our existing stockholders. During the years ended December 29, 2007, December 27, 2008 and December 31, 2009 and the nine months ended September 30, 2010, our capital expenditures were $1.0 million, $0.9 million, $0.8 million and $1.1 million, respectively. Our capital expenditures were approximately $1.5 million in 2010 and we are estimating capital expenditures to be higher in 2011 primarily for the expansion of our manufacturing capacity, research and development equipment and sales demonstration and product support units to service our global customer base.</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believe our existing cash and cash equivalents and the net proceeds from this offering, will be sufficient to meet our working capital and capital expenditure needs for at least the next 18 months. However, we may need to raise additional capital to expand the commercialization of our products, fund our operations and further our research and development activities.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 We currently expect to use the proceeds from this offering for sales and marketing initiatives, including significantly expanding our sales force, to support the ongoing commercialization of our products; for research and product development activities; for expansion of our facilities and manufacturing operations; for repayment of the promissory notes issued by us in January 2011; and for working capital and other general corporate purposes. We may also use a portion of our net proceeds to acquire and invest in complementary products, technologies or businesses; however, we currently have no agreements or commitments to complete any such transaction.</w:t>
      </w:r>
    </w:p>
    <w:p>
      <w:pPr>
        <w:spacing w:after="0" w:line="12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Based on our cash and cash equivalents balances as of December 31, 2009, our projected spending in 2010 and without taking into account our receipt of the proceeds of this offering, our independent registered public accounting firm has included in their audit opinion for the year ended December 31, 2009 a statement with respect to our ability to continue as a going concern. However, our financial statements have been prepared assuming we will continue to operate as a going concern, which contemplates the realization of assets and the satisfaction of liabilities in the normal course of business.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September 30, 2010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Payments Due by Period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Less Than 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Year</w:t>
            </w:r>
          </w:p>
        </w:tc>
        <w:tc>
          <w:tcPr>
            <w:tcW w:w="5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1-3 Years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3-5 Years</w:t>
            </w:r>
          </w:p>
        </w:tc>
        <w:tc>
          <w:tcPr>
            <w:tcW w:w="58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Thereafter</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17,692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12,672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24,619</w:t>
            </w:r>
          </w:p>
        </w:tc>
        <w:tc>
          <w:tcPr>
            <w:tcW w:w="280" w:type="dxa"/>
            <w:vAlign w:val="bottom"/>
          </w:tcPr>
          <w:p>
            <w:pPr>
              <w:spacing w:after="0"/>
              <w:rPr>
                <w:sz w:val="19"/>
                <w:szCs w:val="19"/>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8,868</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15,259</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491</w:t>
            </w: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operating lease obligations relate to leases for our current headquarters and leases for office space for our foreign subsidiaries. Purchase obligations consist of contractual and legally binding commitments to purchase goods.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$0.3 million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manufacturing operations in Singapore, which commenced in October 2005, have generated incentive grant payments from EDB for our research, development and manufacturing activity in Singapore. To remain eligible for future incentive grant payments,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September 2010, we entered into a new lease for our headquarters in South San Francisco, California. The new lease expires in April 2015 and includes a renewal option for an additional three years. We received a $0.4 million lease incentive which will be recognized as a reduction of rent expense on a straight-line basis over the term of the new 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Information with respect to recent accounting pronouncements is included in Note 1 of the notes to our consolidated financial statements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other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December 31, 2009 and September 30, 2010 would not have been material. To date, we have not entered into any material foreign currency hedging contracts although we may do so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had cash and cash equivalents of $5.1 million as September 30, 2010. These amounts were held primarily in cash on deposit with banks, money market funds, commercial paper, corporate notes or notes from government-sponsored agencies, which are short-term. Cash and cash equivalents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of September 30, 2010, the principal amount of our long-term debt outstanding was $14.6 million and the principal and accrued interest amount of our convertible promissory notes outstanding was $0.2 million. The interest rates on our long-term debt and convertible promissory notes are fixed. If overall interest rates had increased by 10% during the periods presented, our interest expense would not have been materially affected.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securities that approximate their fair values due to their short period of time to maturity. We do not use derivative financial instruments for speculative or trading purposes, however, we may adopt specific hedging strategies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increased throughput and simpler workflows at decreased costs. Our microfluidic systems are designed to overcome many of the limitations of conventional laboratory systems by integrating an increasing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78740</wp:posOffset>
            </wp:positionV>
            <wp:extent cx="4004945" cy="17411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0494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Schematic of our 96.96 Dynamic Array chip including an enlarged section showing four of the chip’s 9,216 test chambers.</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successfully commercialized our BioMark and EP1 systems for genetic analysis and our Access Array system for next generation DNA sequencing sample preparation. Researchers and clinicians have successfully employed our products to help achieve breakthroughs in a variety of fields, including genetic variation, cellular function and structural biology. These include using our microfluidic systems to help detect life-threatening mutations in patients’ cancer cells, discover cancer associated biomarkers, analyze the genetic composition of individual stem cells, identify fetal chromosomal abnormalities and assess the quality of agricultural seed products. We believe, our Access Array system resolves a critical workflow bottleneck that exists in all commercial next generation DNA sequencing platforms. We expect that the versatility of our microfluidic technology will enable us to develop additional applications across a wide variety of markets.</w:t>
      </w:r>
    </w:p>
    <w:p>
      <w:pPr>
        <w:spacing w:after="0" w:line="14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We have grown our revenue from $6.4 million in 2006, to $25.4 million in 2009 and $23.2 million in the nine months ended September 30, 2010, during which time our product margin has increased from 30% in 2006, to 51% in 2009 and to 62% for the nine months ended September 30, 2010. We have incurred significant net losses since our inception, including net losses of $23.6 million in 2006, $19.1 million in 2009 and $13.8 million during the nine months ended September 30, 2010, with an accumulated deficit of $196.2 million as of September 30, 2010.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The current markets for our products include life science research and Ag-Bio. Total expenditures in life science research and Ag-Bio in the markets described below are projected to exceed $4.3 billion by 2015. In addition, we are developing products for use in molecular diagnostics and other markets.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area of focus within life science research is genetic analysis, the study of genes and their functions. The sum total of the hereditary material of an organism is known as its genome, which is commonly organized into functional units known as genes. Analysis of variations in genomes, genes and gene activity in and between organisms can provide tremendous insight into their health and functioning. There are several forms of genetic analysis in use today including gene expression analysis, genotyping, digital PCR and DNA sequencing.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Gene expression and genotyping are studied through a combination of various technology platforms that characterize gene function and genetic variation. These platforms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 Real-time qPCR often utilizes TaqMan, which is a proprietary chemistry developed by Roche Molecular Systems Inc.</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scale of genetic research varies widely. At the low end, researchers sometimes examine a limited number of genetic variations in a relatively small population. At the upper end, researchers may perform genome wide association studies where hundreds of thousands of possible genetic variations are examined across thousands or tens of thousands of samples. Because of the inherent complexity of biological systems, it is rare for researchers to be able to discover scientifically relevant information by examining just a few genetic variations. On the other hand, the result of many genome wide association studies is simply the identification of a more limited set of genetic variations that need to be examined in a larger population. As a result, some of the most productive life science research is done at a mid-multiplex scale, where tens or hundreds of genetic variations are examined in hundreds or thousands of samples.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target the following specific areas of life science research, and our products are used for mid-multiplex research or applications of a similar scale:</w:t>
      </w:r>
    </w:p>
    <w:p>
      <w:pPr>
        <w:spacing w:after="0" w:line="19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Gene Expression Analysis</w:t>
      </w:r>
      <w:r>
        <w:rPr>
          <w:rFonts w:ascii="Arial" w:cs="Arial" w:eastAsia="Arial" w:hAnsi="Arial"/>
          <w:sz w:val="16"/>
          <w:szCs w:val="16"/>
          <w:color w:val="auto"/>
        </w:rPr>
        <w:t>. This form of genetic analysis focuses on measuring gene expression. The genome is typically made up of DNA, except in</w:t>
      </w:r>
      <w:r>
        <w:rPr>
          <w:rFonts w:ascii="Arial" w:cs="Arial" w:eastAsia="Arial" w:hAnsi="Arial"/>
          <w:sz w:val="16"/>
          <w:szCs w:val="16"/>
          <w:i w:val="1"/>
          <w:iCs w:val="1"/>
          <w:color w:val="auto"/>
        </w:rPr>
        <w:t xml:space="preserve"> </w:t>
      </w:r>
      <w:r>
        <w:rPr>
          <w:rFonts w:ascii="Arial" w:cs="Arial" w:eastAsia="Arial" w:hAnsi="Arial"/>
          <w:sz w:val="16"/>
          <w:szCs w:val="16"/>
          <w:color w:val="auto"/>
        </w:rPr>
        <w:t>some viruses which utilize RNA. Typically, the process of gene expression involves the generation of RNA copies of specific regions of the genome by a process known as transcription. Such RNA copies are known as messenger RNAs. This messenger RNA may then be translated by the cell into a protein which may affect the activity of the cell or the larger organism. One prevalent form of gene expression analysis measures the levels of messenger RNA in a cell, in order to determine how the activity of particular genes or sets of genes affect the cell or the organism. According to a Kalorama Information report, the gene expression profiling market globally was approximately $1.1 billion in 2006, $425 million of which was attributable to real-time qPCR, and is expected to grow to over $2.4 billion by 2012, representing a compounded annual growth rate of 14%.</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Genotyping</w:t>
      </w:r>
      <w:r>
        <w:rPr>
          <w:rFonts w:ascii="Arial" w:cs="Arial" w:eastAsia="Arial" w:hAnsi="Arial"/>
          <w:sz w:val="16"/>
          <w:szCs w:val="16"/>
          <w:color w:val="auto"/>
        </w:rPr>
        <w:t>. Genotyping involves the analysis of variations across individual genomes. A common application of genotyping focuses on analyzing</w:t>
      </w:r>
      <w:r>
        <w:rPr>
          <w:rFonts w:ascii="Arial" w:cs="Arial" w:eastAsia="Arial" w:hAnsi="Arial"/>
          <w:sz w:val="16"/>
          <w:szCs w:val="16"/>
          <w:i w:val="1"/>
          <w:iCs w:val="1"/>
          <w:color w:val="auto"/>
        </w:rPr>
        <w:t xml:space="preserve"> </w:t>
      </w:r>
      <w:r>
        <w:rPr>
          <w:rFonts w:ascii="Arial" w:cs="Arial" w:eastAsia="Arial" w:hAnsi="Arial"/>
          <w:sz w:val="16"/>
          <w:szCs w:val="16"/>
          <w:color w:val="auto"/>
        </w:rPr>
        <w:t>variations of single nucleotides, known as a single nucleotide polymorphism, or SNP. In SNP genotyping studies, statistical analyses are performed to determine whether a SNP or group of SNPs are associated with a particular characteristic, such as propensity for a disease. Haplotyping is an application of genotyping in which SNPs located at different loci on the same chromosome are studied simultaneously. According to a Kalorama Information report, the SNP genotyping market globally was approximately $735 million in 2008, $300 million of which was attributable to real-time qPCR or mid-multiplex platforms, and is expected to grow to $1.3 billion in 2014, representing a compounded annual growth rate of 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Digital PCR allows researchers to detect nucleic acid sequences that are present in sample concentrations that are too small to be accurately</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by conventional methods. Digital PCR typically relies on standard PCR techniques, but increases their sensitivity by dividing a sample into hundreds or thousands of smaller samples and performing a PCR assay on each such sample. The ability to count the presence or absence of amplification in this assay format allows for absolute quantitative measurement capabilities. As a result, digital PCR can perform much more precise detection of rare mutations, popularly known as needle-in-a-haystack detection, gene expression or copy number measurements as compared to real-time qPCR. Digital PCR has the potential to enable early detection of diseases and other conditions, thereby improving prospects for effective treatment.</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Single Cell Analysis</w:t>
      </w:r>
      <w:r>
        <w:rPr>
          <w:rFonts w:ascii="Arial" w:cs="Arial" w:eastAsia="Arial" w:hAnsi="Arial"/>
          <w:sz w:val="16"/>
          <w:szCs w:val="16"/>
          <w:color w:val="auto"/>
        </w:rPr>
        <w:t>. Single cell analysis is an emerging area of genetic research that requires specialized tools and techniques. Genetic research typically</w:t>
      </w:r>
      <w:r>
        <w:rPr>
          <w:rFonts w:ascii="Arial" w:cs="Arial" w:eastAsia="Arial" w:hAnsi="Arial"/>
          <w:sz w:val="16"/>
          <w:szCs w:val="16"/>
          <w:i w:val="1"/>
          <w:iCs w:val="1"/>
          <w:color w:val="auto"/>
        </w:rPr>
        <w:t xml:space="preserve"> </w:t>
      </w:r>
      <w:r>
        <w:rPr>
          <w:rFonts w:ascii="Arial" w:cs="Arial" w:eastAsia="Arial" w:hAnsi="Arial"/>
          <w:sz w:val="16"/>
          <w:szCs w:val="16"/>
          <w:color w:val="auto"/>
        </w:rPr>
        <w:t>involves the analysis of samples containing thousands of cells and many different cell types. When such samples are studied using gene expression analysis, the results obtained reflect a rough average of the activity of all of the cells in the sample. Recently, researchers have demonstrated that this approach often masks critical differences in gene expression levels between different cell types and even between individual cells of the same type. In addition, in the fields of in-vitro fertilization and stem cell research, researchers are often required to examine single cells because the number of cells available for analysis is inherently limited. The scope of this research has often been constrained because the small amount of genetic material in a single cell prevents conventional methods from analyzing the activity of more than a few genes. In addition, large numbers of samples are required to determine the heterogeneous signatures of sub-populations of cells and large studies like these can be prohibitively expensive when performed on conventional platforms. According to a Select Biosciences report, the single cell analysis market globally was approximately $69 million in 2009 and expected to grow to $576 million in 2015, representing a compounded annual growth rate of 42%.</w:t>
      </w:r>
    </w:p>
    <w:p>
      <w:pPr>
        <w:spacing w:after="0" w:line="12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i w:val="1"/>
          <w:iCs w:val="1"/>
          <w:color w:val="auto"/>
        </w:rPr>
        <w:t>Sample Preparation for Next Generation DNA Sequencing</w:t>
      </w:r>
      <w:r>
        <w:rPr>
          <w:rFonts w:ascii="Arial" w:cs="Arial" w:eastAsia="Arial" w:hAnsi="Arial"/>
          <w:sz w:val="15"/>
          <w:szCs w:val="15"/>
          <w:color w:val="auto"/>
        </w:rPr>
        <w:t>. Through a process known as sequencing, researchers are able to determine the particular</w:t>
      </w:r>
      <w:r>
        <w:rPr>
          <w:rFonts w:ascii="Arial" w:cs="Arial" w:eastAsia="Arial" w:hAnsi="Arial"/>
          <w:sz w:val="15"/>
          <w:szCs w:val="15"/>
          <w:i w:val="1"/>
          <w:iCs w:val="1"/>
          <w:color w:val="auto"/>
        </w:rPr>
        <w:t xml:space="preserve"> </w:t>
      </w:r>
      <w:r>
        <w:rPr>
          <w:rFonts w:ascii="Arial" w:cs="Arial" w:eastAsia="Arial" w:hAnsi="Arial"/>
          <w:sz w:val="15"/>
          <w:szCs w:val="15"/>
          <w:color w:val="auto"/>
        </w:rPr>
        <w:t>order of nucleotide bases that comprise all or a portion of a particular genome. In the last few years, researchers have begun to use next generation DNA sequencers to rapidly and cost-effectively sequence large portions of the genomes of many individuals and identify genetic variations that correlate with particular characteristics. Next generation DNA sequencing technologies have dramatically reduced the cost and processing time for genetic sequencing, but to be utilized effectively, require large numbers of unique samples. In addition, next generation DNA sequencing requires new sample preparation methodologies including adding identification tags to each segment of each individual sample that is to be sequenced. These sample preparation and tagging processes, known as target enrichment, are complex and require precise measurement and manipulation of minute quantities of DNA and reagents. Based on a Gleacher &amp; Company Securities, Inc. industry report, we estimate that at the end of 2010 there was an installed base of approximately 2,100 next generation DNA sequencing systems.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Genetic analysis techniques such as SNP genotyping have become increasingly useful in Ag-Bio applications such as wildlife population studies, agricultural quality control and commercial genetic engineering. These applications typically require the analysis of hundreds or thousands of SNPs to achieve representative samples and attain useful information. Due to these demands, commercially viable genetic analysis tools in Ag-Bio must be inexpensive, easy to use and able to provide extremely high throughput. Below a certain cost per data point, we believe Ag-Bio customers would choose to analyze the genome of each animal or sample. Based on the number of livestock slaughtered in the United States annually and our understanding of the price per data point required for broad adoption among Ag-Bio customers, we estimate the annual market opportunity to be greater than $400 million for livestock customers alone. We believe the market opportunity for genotyping in seeds may represent a similar market opportunity.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Recent advances in genetic analysis technology are increasingly being used for clinical applications. Techniques such as SNP genotyping, gene expression analysis and other genetic correlation studies are used to identify disease susceptibility and to diagnose, classify and monitor disease progression. Molecular diagnostic tests based on measuring these genetic markers have the potential to be much more accurate and robust than conventional diagnostics. Within molecular diagnostics, an area of significant unmet clinical need is NIPD for fetal aneuploidies, since the most reliable diagnostic tests currently available are invasive and carry risks to the fetus. Current physician guidelines recommend that all pregnant woman receive aneuploidy screening in the first trimester. Based on the number of births in the United States and the percentage of women that receive prenatal care, we believe that the potential market for an accurate non-invasive diagnostic test could be more than $1 billion annually in the United States alone. Markets in the European Union, India and China could represent significant additional demand. In collaboration with Novartis Vaccines &amp; Diagnostics, Inc., or Novartis V&amp;D, we are developing a microfluidic system to target this NIPD market for fetal aneuploidies.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Limitations of Existing Laboratory Systems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Academic, clinical and industrial researchers are increasingly performing genetic analysis on large sample sizes and assay sets. These experiments are typically performed using systems consisting of 384 well or larger microplates, pipetting stations, robotic plate movers and other elements of laboratory equipment. However, these conventional systems require an extremely complex workflow involving thousands of pipetting steps, hundreds of microplates and, despite the use of robotics, extensive human intervention. Such complexity limits the throughput of laboratories and increases the possibility of errors and variability between experiments. In addition, these systems typically are unable to perform experiments with low fluid volumes, leading to excessive consumption of reagents and inconsistent results.</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response to the limitations of conventional systems, numerous other methods of genetic analysis, including microarrays, pre-formatted arrays, bead arrays, microdroplets and mass spectrometer analysis have been developed. However, each of these high-throughput methods has one or more limitations that reduce its utility particularly for mid-multiplex experimentation.</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they must wait for a customized product to be produced.</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quality of the data produced by microarrays, pre-formatted arrays and mass spectrometer analysis is insufficient for certain research activities. For genotyping studies, data quality is typically measured by call rate, which is the frequency of a reading with respect to a particular SNP. Both pre-formatted arrays and mass spectrometer analysis generally have call rates lower than real-time qPCR performed in microplates. For gene expression studies, it is often important to measure expression levels over a broad dynamic range to capture all or most of the variation found among subjects. Microarrays, pre-formatted arrays, bead arrays or mass spectrometer analysis cannot measure gene expression levels over as broad a dynamic range as real-time qPCR performed in microplates.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workflow for bead arrays and mass spectrometer analysis is complex, time consuming and costly. For example, standard protocols often require multiple complex operations to be performed over several days by skilled technicians. Also, certain pre-formatted arrays require significant manual intervention, which significantly increases costs and potential for error.</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These methods can also be very costly for mid-multiplex experimentation. For example, a single microarray or bead array is capable of analyzing thousands of genes from a single sample. These devices have been successfully used for surveying the genome to discover basic patterns of genetic variation. These surveys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commonly performed on tens or hundreds of samples and are intended to identify a subset of genes for further investigation.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economically feasible only for very large-scale studies.</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While the cost and processing time for genetic sequencing has plummeted with next generation DNA sequencing technologies, improvements in sample preparation has lagged to the extent that sample preparation now represents the major bottleneck from both a cost and time perspective in the sequencing process. Microdroplet technologies have been proposed as a means to accelerate the sample preparation and tagging process for next generation DNA sequencing. However, this technique can process only one sample at a time, is expensive and cannot be validated prior to sequencing.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limitations of existing technologies become even more acute when clinicians attempt to translate scientific research into commercial molecular diagnostics. Given the nature of their operations, commercial clinical laboratories need systems that can test large numbers of patient samples at low cost and with minimal labor requirements. Moreover, many of the most promising research studies rely on measuring each sample across tens or even hundreds of genetic markers to diagnose or classify a disease. We believe that using standard microplate technology to make multiple measurements on a large number of samples is often too complex and expensive for most clinical laboratories. Similarly, many of the limitations of microarrays, pre-formatted arrays, bead arrays and microdroplets also impact their ability to provide a broadly acceptable molecular diagnostic solution. As a result, the molecular diagnostic tests adopted by clinical laboratories have generally been relatively simple or have required specialized machines to perform. Diagnostic approaches that require measuring large numbers of genetic markers are generally not available or are available only from a diagnostic laboratory that specializes in the particular test.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Researchers, clinicians and commercial users need more robust systems that deliver increased throughput and simpler workflows with decreased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volumes—with a combination of speed and accuracy that we believe cannot be achieved with other systems. Our systems deliver these advantages through the integration of sophisticated nanoliter fluid handling in an easy-to-use format that is compatible with most existing laboratory workflows and chemistries. Our systems are used in existing and emerging life science research and Ag-Bio markets, and we believe there are significant growth opportunities in additional markets. A significant portion of our research and development efforts are currently focused on potential applications of our technology in molecular diagnostics, and we expect such development focus to continue.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microfluidic systems have a number of compelling advantages over microplate systems and other mid-multiplex platforms including:</w:t>
      </w:r>
    </w:p>
    <w:p>
      <w:pPr>
        <w:spacing w:after="0" w:line="113" w:lineRule="exact"/>
        <w:rPr>
          <w:sz w:val="20"/>
          <w:szCs w:val="20"/>
          <w:color w:val="auto"/>
        </w:rPr>
      </w:pPr>
    </w:p>
    <w:p>
      <w:pPr>
        <w:ind w:left="78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call accuracy. For gene expression, our systems achieve 6 orders of magnitude of dynamic range with inter- and intra-chip reproducibility at correlation coefficients greater than 0.99.</w:t>
      </w:r>
    </w:p>
    <w:p>
      <w:pPr>
        <w:spacing w:after="0" w:line="59"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Improved Throughput</w:t>
      </w:r>
      <w:r>
        <w:rPr>
          <w:rFonts w:ascii="Arial" w:cs="Arial" w:eastAsia="Arial" w:hAnsi="Arial"/>
          <w:sz w:val="18"/>
          <w:szCs w:val="18"/>
          <w:color w:val="auto"/>
        </w:rPr>
        <w:t>. Our base BioMark system can generate over 27,000 genotyping data points per day and our high throughput configurations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systems can generate over 110,000 data points per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spacing w:after="0" w:line="335" w:lineRule="auto"/>
        <w:rPr>
          <w:sz w:val="20"/>
          <w:szCs w:val="20"/>
          <w:color w:val="auto"/>
        </w:rPr>
      </w:pPr>
      <w:r>
        <w:rPr>
          <w:rFonts w:ascii="Arial" w:cs="Arial" w:eastAsia="Arial" w:hAnsi="Arial"/>
          <w:sz w:val="15"/>
          <w:szCs w:val="15"/>
          <w:color w:val="auto"/>
        </w:rPr>
        <w:t>day, with a time to first result measured in hours. Some competing systems may offer comparable data points per day, but may take longer for first results. Other systems offer comparable time to first result, but produce fewer data points per day, and often with lower data quality. Our improved throughput reduces the time and cost associated with complex experiments and expands the number and range of experiments that may be conducted.</w:t>
      </w:r>
    </w:p>
    <w:p>
      <w:pPr>
        <w:spacing w:after="0" w:line="7" w:lineRule="exact"/>
        <w:rPr>
          <w:sz w:val="20"/>
          <w:szCs w:val="20"/>
          <w:color w:val="auto"/>
        </w:rPr>
      </w:pPr>
    </w:p>
    <w:p>
      <w:pPr>
        <w:jc w:val="both"/>
        <w:ind w:left="780" w:right="260" w:hanging="326"/>
        <w:spacing w:after="0" w:line="306"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Ease of Use</w:t>
      </w:r>
      <w:r>
        <w:rPr>
          <w:rFonts w:ascii="Arial" w:cs="Arial" w:eastAsia="Arial" w:hAnsi="Arial"/>
          <w:sz w:val="16"/>
          <w:szCs w:val="16"/>
          <w:color w:val="auto"/>
        </w:rPr>
        <w:t>. Loading our 96.96 Dynamic Array chip requires 192 pipetting steps as compared to 18,432 steps required to load the number of 384</w:t>
      </w:r>
      <w:r>
        <w:rPr>
          <w:rFonts w:ascii="Arial" w:cs="Arial" w:eastAsia="Arial" w:hAnsi="Arial"/>
          <w:sz w:val="16"/>
          <w:szCs w:val="16"/>
          <w:i w:val="1"/>
          <w:iCs w:val="1"/>
          <w:color w:val="auto"/>
        </w:rPr>
        <w:t xml:space="preserve"> </w:t>
      </w:r>
      <w:r>
        <w:rPr>
          <w:rFonts w:ascii="Arial" w:cs="Arial" w:eastAsia="Arial" w:hAnsi="Arial"/>
          <w:sz w:val="16"/>
          <w:szCs w:val="16"/>
          <w:color w:val="auto"/>
        </w:rPr>
        <w:t>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25"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 pipetting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bar code readers, plate handling systems and other equipment. Our chips are also designed to work with standard chemistries, including TaqMan and other reagents.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780" w:right="60" w:hanging="326"/>
        <w:spacing w:after="0" w:line="306"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 cell analysis.</w:t>
      </w:r>
    </w:p>
    <w:p>
      <w:pPr>
        <w:spacing w:after="0" w:line="25" w:lineRule="exact"/>
        <w:rPr>
          <w:rFonts w:ascii="Arial" w:cs="Arial" w:eastAsia="Arial" w:hAnsi="Arial"/>
          <w:sz w:val="16"/>
          <w:szCs w:val="16"/>
          <w:color w:val="auto"/>
        </w:rPr>
      </w:pPr>
    </w:p>
    <w:p>
      <w:pPr>
        <w:ind w:left="780" w:right="80" w:hanging="326"/>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Cost Effectiveness</w:t>
      </w:r>
      <w:r>
        <w:rPr>
          <w:rFonts w:ascii="Arial" w:cs="Arial" w:eastAsia="Arial" w:hAnsi="Arial"/>
          <w:sz w:val="18"/>
          <w:szCs w:val="18"/>
          <w:color w:val="auto"/>
        </w:rPr>
        <w:t>. We believe our high throughput systems offer a compelling cost benefit for high volume users. Our systems consume reagents in</w:t>
      </w:r>
      <w:r>
        <w:rPr>
          <w:rFonts w:ascii="Arial" w:cs="Arial" w:eastAsia="Arial" w:hAnsi="Arial"/>
          <w:sz w:val="18"/>
          <w:szCs w:val="18"/>
          <w:i w:val="1"/>
          <w:iCs w:val="1"/>
          <w:color w:val="auto"/>
        </w:rPr>
        <w:t xml:space="preserve"> </w:t>
      </w:r>
      <w:r>
        <w:rPr>
          <w:rFonts w:ascii="Arial" w:cs="Arial" w:eastAsia="Arial" w:hAnsi="Arial"/>
          <w:sz w:val="18"/>
          <w:szCs w:val="18"/>
          <w:color w:val="auto"/>
        </w:rPr>
        <w:t>nanoliter volumes, have the ability to conduct thousands of parallel experiments on one chip, and offer customers the flexibility to use lower cost reagents as needed.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provide complete microfluidic systems consisting of instruments and consumables, including chips and reagents. Our systems are easily incorporated into our customers’ laboratory environments and analysis workflow. For example, our chips are the same size and shape as standard 384 well microplates and other chip consumables, which facilitate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2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Product Description</w:t>
            </w:r>
          </w:p>
        </w:tc>
        <w:tc>
          <w:tcPr>
            <w:tcW w:w="100" w:type="dxa"/>
            <w:vAlign w:val="bottom"/>
          </w:tcPr>
          <w:p>
            <w:pPr>
              <w:spacing w:after="0"/>
              <w:rPr>
                <w:sz w:val="20"/>
                <w:szCs w:val="20"/>
                <w:color w:val="auto"/>
              </w:rPr>
            </w:pPr>
          </w:p>
        </w:tc>
        <w:tc>
          <w:tcPr>
            <w:tcW w:w="30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Applications</w:t>
            </w: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BioMark System</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Real-time PCR instrument, bundled analysis software</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chip loading platforms</w:t>
            </w:r>
          </w:p>
        </w:tc>
        <w:tc>
          <w:tcPr>
            <w:tcW w:w="1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Gene Expression</w:t>
            </w: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EP1 System</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Real-time PCR instrument, bundled analysis software</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chip loading platforms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Access Array System</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 preparation system</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Next Generation DNA</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that facilitates parallel amplification of 48 unique</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Sequencing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Consumables</w:t>
            </w: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Dynamic Array Chips</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Microfluidic chip based on</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3"/>
              </w:rPr>
              <w:t>Real-time qPCR, SNP Genotyping, Gene</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3"/>
              </w:rPr>
              <w:t>matrix architecture, allowing users to generate up to</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Expression</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real-time qPCR reactions simultaneously</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Digital Array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5"/>
              </w:rPr>
              <w:t>Microfluidic chip based on partitioning architecture,</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Gene Expression, Copy</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1"/>
              </w:rPr>
              <w:t>allowing users to divide each of 48 separate samples</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Number Variation, Mutation Detection</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into 770</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smaller 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Access Array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Microfluidic chip that</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Next Generation DNA</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facilitates parallel</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Sequencing</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8"/>
              </w:rPr>
              <w:t>amplification, barcoding and tagging of 48 unique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Multi-use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Reusable microfluidic chip</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SNP Genotyping</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that can be used up to five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times and is able to produce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up to 11,520 genotypes over its lifespan</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Commercial Applications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microfluidic systems offer distinct advantages for mid-multiplex analysis in each of our target markets: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i w:val="1"/>
          <w:iCs w:val="1"/>
          <w:color w:val="auto"/>
        </w:rPr>
        <w:t>Gene Expression and Genotyping</w:t>
      </w:r>
      <w:r>
        <w:rPr>
          <w:rFonts w:ascii="Arial" w:cs="Arial" w:eastAsia="Arial" w:hAnsi="Arial"/>
          <w:sz w:val="18"/>
          <w:szCs w:val="18"/>
          <w:color w:val="auto"/>
        </w:rPr>
        <w:t>. Our systems provide researchers a flexible and easy to use tool for generating high quality data. Competing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such as pre-formatted arrays, bead arrays and microarrays,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are limited and inflexible because they require nucleic acid sequences on the device to be pre-specified when the chip or other consumable is manufactured. In contrast, our microfluidic systems allow researchers to utilize and easily tailor their assays to meet their experimental needs, which can shorten the analytical cycle for a given study to hours instead of weeks. We believe our systems also offer meaningful cost savings because they operate on nanoliter volumes of reagents and samples, which are between 0.5% and 1.0% of the amount required by conventional microplate systems.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example, a consortium consisting of a major research university, a fertility clinic and a regenerative medicine and research group has utilized our systems to conduct research in in-vitro fertilization. By performing individual expression profile analyses, this group has discovered a set of factors implicated in the survival and maturation of human eggs, leading to improved success in fertility clinics.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Our BioMark and EP1 systems can be used for digital PCR, a process in which samples are partitioned into minute reaction volumes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containing individual DNA strands to enable digital counting for more accurate DNA quantification. Because of their lack of precision, such as in pipetting nanoliter volumes it is not practical to perform digital PCR using conventional microplate systems. With our systems, digital PCR has been used for a number of different applications, including absolute quantification, determination of genomic copy number variation and detection of rare mutations. Although several competitors are currently developing digital PCR systems, we were the first to introduce and successfully commercialize a digital PCR system in 2006. For example, pharmaceutical and biotechnology companies are taking advantage of the increased sensitivity enabled by our digital PCR technology to detect genetic mutations that are linked to drug efficacy and monitor cancer remission.</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The integrated workflow and precision of our systems enable researchers to perform gene expression analysis on single cells on a</w:t>
      </w:r>
      <w:r>
        <w:rPr>
          <w:rFonts w:ascii="Arial" w:cs="Arial" w:eastAsia="Arial" w:hAnsi="Arial"/>
          <w:sz w:val="18"/>
          <w:szCs w:val="18"/>
          <w:i w:val="1"/>
          <w:iCs w:val="1"/>
          <w:color w:val="auto"/>
        </w:rPr>
        <w:t xml:space="preserve"> </w:t>
      </w:r>
      <w:r>
        <w:rPr>
          <w:rFonts w:ascii="Arial" w:cs="Arial" w:eastAsia="Arial" w:hAnsi="Arial"/>
          <w:sz w:val="18"/>
          <w:szCs w:val="18"/>
          <w:color w:val="auto"/>
        </w:rPr>
        <w:t>scale that is impractical with conventional systems. Information gathered on cell activities has traditionally been obtained from populations of cells due to technological limitations on the ability to examine each individual cell. Our systems are able to precisely divide the limited amount of sample material extractable from a single cell into a multitude of divisions, and then accurately assay each such minute division. The high throughput of our systems allows researchers to analyze thousands of cells in this manner. For example, our base BioMark system can deliver over 27,000 single cell data points in one day. Providing the combination of high throughput and data quality necessary for single cell analysis presents significant challenges that we believe most conventional systems are unable to address in a practical manner.</w:t>
      </w:r>
    </w:p>
    <w:p>
      <w:pPr>
        <w:spacing w:after="0" w:line="14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example, our BioMark system has been used to help identify specific signatures of cancer stem cells, at the single cell level. Researchers believe that cancer stem cells are precursors to tumors and are often manifested well in advance of other tumor markers. By detecting and identifying such cells, researchers believe they can diagnose and treat cancer at a much earlier stage than with conventional methods. In addition, our BioMark system has been used to identify signatures of induced pluripotent stem, or iPS, cells. These iPS cells may have multiple applications in life science research and therapeutics. Similarly, our BioMark system has also been used to identify signatures of immune system cells, both pre- and post- exposure to antigens, to gain insight into improved vaccines and disease treatments. As of September 30, 2010, over 50 of our customers were using our systems to perform single cell analysis.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To efficiently use next-generation sequencers to perform validation or other studies,</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researchers need to be able to prepare and tag samples from tens or hundreds of individuals prior to the samples being processed by the sequencers. Using conventional methods, this preparation and tagging must be done separately for each individual sample being processed, a laborious process that could take several days or more for a typical validation study. The streamlined workflow and flexibility of our systems address this critical workflow bottleneck by allowing samples from up to 48 individuals to be prepared and tagged in approximately four hours.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example, a leading cancer research institute has utilized our Access Array system in conjunction with their next generation DNA sequencing platform to analyze key oncology genes across large cohorts of cancer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samples. We believe such studies will advance the understanding of cancer etiology and potentially lead to the development of improved cancer treatments. As of September 30, 2010, 35 customers had purchased our Access Array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Agricultural Biotechnology</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Ag-Bio customers require systems that can quickly and accurately analyze a large number of samples, such as tissue from livestock populations or seeds from a production lot, in a cost efficient manner. The streamlined workflow of our systems allows customers to genotype a set of samples in approximately three hours as opposed to a day or more, which is the time required to prepare and run a set of samples on bead array systems. In addition, the call rate for our systems is much higher than for pre-formatted arrays or mass spectrometry, and our products offer significant cost advantages over competing systems.</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example, our BioMark system is being used to help create disease resistant strains of staple food crops for developing nations. Recently, certain genetic indicators have been identified that quickly and accurately fingerprint crops. By systematically analyzing over 300 specific genetic markers, the BioMark system is helping our customer produce and deliver seeds that will grow into plants more likely to survive, leading to improved yields. This success has led to increased adoption of the BioMark system, which is now used to selectively breed other desirable food qualities and drive agricultural efficiency and natural resource conservation. As of September 30, 2010, over 35 of our customers were using our systems for Ag-Bio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Future Applications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inherent design flexibility of our core technology allows us to build microfluidic systems that can provide significant benefits in a wide range of fields and industries. We believe these features could lead to a number of different commercial applications including:</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Molecular Diagnostics</w:t>
      </w:r>
      <w:r>
        <w:rPr>
          <w:rFonts w:ascii="Arial" w:cs="Arial" w:eastAsia="Arial" w:hAnsi="Arial"/>
          <w:sz w:val="18"/>
          <w:szCs w:val="18"/>
          <w:color w:val="auto"/>
        </w:rPr>
        <w:t>. Life science research is revealing additional diseases and conditions that can be diagnosed, evaluated and monitored by</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panels of gene expression levels, SNPs, proteins or other biomarkers. Validating these research findings and translating them into clinically available tests often requires life science automation systems that are able to measure multiple biomarkers efficiently in a large number of patient samples. Our existing microfluidic systems are able to measure certain nucleic acid biomarkers that are commonly used in these tests, and in the future, we expect to develop additional systems to measure other relevant biomarkers.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the high-throughput, flexibility and simplified workflow of our microfluidic systems could make them an attractive solution for validating and commercializing a wide range of molecular diagnostic tests being developed by researchers. Our microfluidic systems have not been cleared or approved by the U.S. Food and Drug Administration, or FDA, for use in any molecular diagnostic tests and we cannot currently market them for the purpose of performing molecular diagnostic tests. We are currently developing a microfluidic system with Novartis V&amp;D for NIPD for fetal aneuploidies. A commonly used diagnostic procedure for fetal aneuploidies is amniocentesis, which typically costs approximately $1,500 to $2,000 per test. Our system is in its early stages of development and we have not made any submissions to the FDA regarding the system or determined whether FDA clearance or approval will be required.</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Other Applications</w:t>
      </w:r>
      <w:r>
        <w:rPr>
          <w:rFonts w:ascii="Arial" w:cs="Arial" w:eastAsia="Arial" w:hAnsi="Arial"/>
          <w:sz w:val="16"/>
          <w:szCs w:val="16"/>
          <w:color w:val="auto"/>
        </w:rPr>
        <w:t>. We believe that the inherent design flexibility of our core microfluidic technology allows us to perform sophisticated biochemical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relevant to a wide range of fields and industries. We are developing our microfluidic technology for additional applications, including:</w:t>
      </w:r>
    </w:p>
    <w:p>
      <w:pPr>
        <w:spacing w:after="0" w:line="4" w:lineRule="exact"/>
        <w:rPr>
          <w:sz w:val="20"/>
          <w:szCs w:val="20"/>
          <w:color w:val="auto"/>
        </w:rPr>
      </w:pPr>
    </w:p>
    <w:p>
      <w:pPr>
        <w:ind w:left="780" w:right="40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Single Cell Capture and Processing</w:t>
      </w:r>
      <w:r>
        <w:rPr>
          <w:rFonts w:ascii="Arial" w:cs="Arial" w:eastAsia="Arial" w:hAnsi="Arial"/>
          <w:sz w:val="18"/>
          <w:szCs w:val="18"/>
          <w:color w:val="auto"/>
        </w:rPr>
        <w:t>. Researchers have increasingly focused on the study of single cells to better understand complex biological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We plan to apply our technology to make 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easier to capture single cells and to increase the range of methods that can be used to interrogate a single cell.</w:t>
      </w:r>
    </w:p>
    <w:p>
      <w:pPr>
        <w:spacing w:after="0" w:line="90" w:lineRule="exact"/>
        <w:rPr>
          <w:sz w:val="20"/>
          <w:szCs w:val="20"/>
          <w:color w:val="auto"/>
        </w:rPr>
      </w:pPr>
    </w:p>
    <w:p>
      <w:pPr>
        <w:jc w:val="both"/>
        <w:ind w:left="780" w:hanging="326"/>
        <w:spacing w:after="0" w:line="25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Protein Assays</w:t>
      </w:r>
      <w:r>
        <w:rPr>
          <w:rFonts w:ascii="Arial" w:cs="Arial" w:eastAsia="Arial" w:hAnsi="Arial"/>
          <w:sz w:val="18"/>
          <w:szCs w:val="18"/>
          <w:color w:val="auto"/>
        </w:rPr>
        <w:t>. While the analysis of mRNA and DNA gives insight into the activity of biological systems, most biological activity in cells is carried</w:t>
      </w:r>
      <w:r>
        <w:rPr>
          <w:rFonts w:ascii="Arial" w:cs="Arial" w:eastAsia="Arial" w:hAnsi="Arial"/>
          <w:sz w:val="18"/>
          <w:szCs w:val="18"/>
          <w:i w:val="1"/>
          <w:iCs w:val="1"/>
          <w:color w:val="auto"/>
        </w:rPr>
        <w:t xml:space="preserve"> </w:t>
      </w:r>
      <w:r>
        <w:rPr>
          <w:rFonts w:ascii="Arial" w:cs="Arial" w:eastAsia="Arial" w:hAnsi="Arial"/>
          <w:sz w:val="18"/>
          <w:szCs w:val="18"/>
          <w:color w:val="auto"/>
        </w:rPr>
        <w:t>out by proteins. We have developed a chip that allows quantitation of 18 proteins within 48 samples simultaneously. We believe that the sensitivity and specificity of this chip will be highly valuable to the life science research industry. In addition, we have demonstrated PCR-based protein quantification using commercially available reagents on our BioMark system.</w:t>
      </w:r>
    </w:p>
    <w:p>
      <w:pPr>
        <w:spacing w:after="0" w:line="62"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Cell Culture and Assays</w:t>
      </w:r>
      <w:r>
        <w:rPr>
          <w:rFonts w:ascii="Arial" w:cs="Arial" w:eastAsia="Arial" w:hAnsi="Arial"/>
          <w:sz w:val="18"/>
          <w:szCs w:val="18"/>
          <w:color w:val="auto"/>
        </w:rPr>
        <w:t>. We are developing an integrated microfluidic chip that enables cell culture to be performed in a highly automated fashion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microfluidic environment. Our co-founder, Dr. Stephen Quake, recently used a prototype of our cell culture microfluidic chip to perform single cell studies of cell signaling, and published these results in the journal </w:t>
      </w:r>
      <w:r>
        <w:rPr>
          <w:rFonts w:ascii="Arial" w:cs="Arial" w:eastAsia="Arial" w:hAnsi="Arial"/>
          <w:sz w:val="18"/>
          <w:szCs w:val="18"/>
          <w:i w:val="1"/>
          <w:iCs w:val="1"/>
          <w:color w:val="auto"/>
        </w:rPr>
        <w:t>Nature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In addition to the Access Array system, we have demonstrated a general architecture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ability to use bead based purification steps in-chip, allowing sequential reactions with purification steps in between. While we have no immediate plans to commercialize this architecture, it may find utility in automated library prep for de novo next generation DNA sequencing.</w:t>
      </w:r>
    </w:p>
    <w:p>
      <w:pPr>
        <w:spacing w:after="0" w:line="10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Our microfluidic systems address the needs of researchers and clinicians who perform mid-multiplex experimentation in the areas of genetics, Ag-Bio and molecular diagnostics. In particular, for validation studies or projects of a similar scale, our microfluidic systems substantially reduce cost, simplify workflow and increase throughput as compared to conventional microplate systems. Nevertheless, researchers may be slow to adopt our microfluidic systems as they are based on technology that, compared to conventional technology, is new and less 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instruments and the price of our chips is higher than conventional systems and standard 384 well microplates. 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microarrays because of the ability of those products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intend to continue growing as a global leader in providing microfluidic systems to the life science research and Ag-Bio markets. Our business strategy includes of the following elements:</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Increase Penetration of our Microfluidic Systems</w:t>
      </w:r>
      <w:r>
        <w:rPr>
          <w:rFonts w:ascii="Arial" w:cs="Arial" w:eastAsia="Arial" w:hAnsi="Arial"/>
          <w:sz w:val="16"/>
          <w:szCs w:val="16"/>
          <w:color w:val="auto"/>
        </w:rPr>
        <w:t>. Our sales and marketing efforts have established our systems as leading solutions for certain high-throughput life science research applications. A growing number of companies and leading researchers around the world have recognized the benefits of our technical platform and are becoming much more visible in their support and endorsement of our products and technologies to their professional colleagues. From our inception through October 2010, the results of experiments based upon our microfluidic systems have been published in 116 peer-reviewed articles, 66 of which have been published since the beginning of 2009. We intend to leverage the growing market awareness of our current product offerings with enhanced sales and marketing efforts that include adding sales representatives in new geographies, accessing sales and marketing efforts of large partners though co-marketing agreements, continuing to build relationships with thought leaders in our target markets and helping our current supporters to become more visible to potential new customers.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Increase Recurring Consumables Revenue through Instrument Sales and Product Innovation</w:t>
      </w:r>
      <w:r>
        <w:rPr>
          <w:rFonts w:ascii="Arial" w:cs="Arial" w:eastAsia="Arial" w:hAnsi="Arial"/>
          <w:sz w:val="18"/>
          <w:szCs w:val="18"/>
          <w:color w:val="auto"/>
        </w:rPr>
        <w:t>. We intend to drive consumables revenue growth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the number of installed instruments, integrating other value added operations and sample handling abilities into our chip architecture, increasing customer usage by decreasing the cost-per-data point and developing systems for additional applications. We have increased our installed base from 15 systems as of December 31, 2007 to over 250 systems as of September 30, 2010.</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Provide Assays and Design Services that Leverage our System Strengths in Key Application Areas</w:t>
      </w:r>
      <w:r>
        <w:rPr>
          <w:rFonts w:ascii="Arial" w:cs="Arial" w:eastAsia="Arial" w:hAnsi="Arial"/>
          <w:sz w:val="16"/>
          <w:szCs w:val="16"/>
          <w:color w:val="auto"/>
        </w:rPr>
        <w:t>. We provide assay design services that enable the use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Access Array system to prepare samples for next generation DNA sequencing. In addition, we provide or are developing assay content for specific application areas, including cancer research, organ rejection, stem cell gene expression and other areas with potential clinical utility. We plan to expand these offerings to include chemistries for gene expression, particularly for single cell analysis and genotyping. We believe these chemistries will increase the flexibility of our chips as well as improve cost per-assay and performance in our microfluidic platform.</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Provide Expanded Offerings that Complement and Support our Core Technology Offerings</w:t>
      </w:r>
      <w:r>
        <w:rPr>
          <w:rFonts w:ascii="Arial" w:cs="Arial" w:eastAsia="Arial" w:hAnsi="Arial"/>
          <w:sz w:val="18"/>
          <w:szCs w:val="18"/>
          <w:color w:val="auto"/>
        </w:rPr>
        <w:t>. We intend to expand our product offerings to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stages of our customers’ workflow. We believe we can enhance the utility of our microfluidic system by providing additional workflow components to our customers, including sample preparation systems to isolate, partition and amplify samples prior to analysis, and software and data analysis tools for downstream applications.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Leverage our Proprietary Technology to Address New Markets</w:t>
      </w:r>
      <w:r>
        <w:rPr>
          <w:rFonts w:ascii="Arial" w:cs="Arial" w:eastAsia="Arial" w:hAnsi="Arial"/>
          <w:sz w:val="18"/>
          <w:szCs w:val="18"/>
          <w:color w:val="auto"/>
        </w:rPr>
        <w:t>. We believe our technology is broadly applicable to biotechnology automation and could</w:t>
      </w:r>
      <w:r>
        <w:rPr>
          <w:rFonts w:ascii="Arial" w:cs="Arial" w:eastAsia="Arial" w:hAnsi="Arial"/>
          <w:sz w:val="18"/>
          <w:szCs w:val="18"/>
          <w:i w:val="1"/>
          <w:iCs w:val="1"/>
          <w:color w:val="auto"/>
        </w:rPr>
        <w:t xml:space="preserve"> </w:t>
      </w:r>
      <w:r>
        <w:rPr>
          <w:rFonts w:ascii="Arial" w:cs="Arial" w:eastAsia="Arial" w:hAnsi="Arial"/>
          <w:sz w:val="18"/>
          <w:szCs w:val="18"/>
          <w:color w:val="auto"/>
        </w:rPr>
        <w:t>be further developed for a wide variety of additional applications, including protein expression analysis, new types of sample preparation cell culture and analysis and molecular diagnostics. Within molecular diagnostics, our initial area of focus is in NIPD for fetal aneuploidies, for which no approved non-invasive diagnostic currently exists.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Provide Superior Customer Service</w:t>
      </w:r>
      <w:r>
        <w:rPr>
          <w:rFonts w:ascii="Arial" w:cs="Arial" w:eastAsia="Arial" w:hAnsi="Arial"/>
          <w:sz w:val="16"/>
          <w:szCs w:val="16"/>
          <w:color w:val="auto"/>
        </w:rPr>
        <w:t>. We have a domestic and international direct sales force and support organization that offers technical solutions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Through direct relationships with our customers, we believe we are able to better understand their needs and apprise them of new product offerings and technological advances in our current systems, related instrumentation and software, while maintaining a consistent marketing message and high level of customer service. A key component of our value proposition is having capable, specialized, technical staff available to ensure that our customers are not only using our tools in an optimized fashion, but also designing experiments and choosing methodologies that will result in an optimized protocol in terms of both time and expense. We intend to expand the staff dedicated to customer service and support in important commercial geographies and in our headquarters.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Enhance Chip Manufacturing Efficiency</w:t>
      </w:r>
      <w:r>
        <w:rPr>
          <w:rFonts w:ascii="Arial" w:cs="Arial" w:eastAsia="Arial" w:hAnsi="Arial"/>
          <w:sz w:val="18"/>
          <w:szCs w:val="18"/>
          <w:color w:val="auto"/>
        </w:rPr>
        <w:t>. We intend to enhance our manufacturing efficiency through improvements in our existing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new chip designs and implementation of new manufacturing methods in order to improve our manufacturing yields and reduce our manufacturing costs. We believe that these improvements will enable us to deliver additional value to our customers and maintain or enhance our advantages over competing systems.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Continue to Develop our Technology and Intellectual Property Position</w:t>
      </w:r>
      <w:r>
        <w:rPr>
          <w:rFonts w:ascii="Arial" w:cs="Arial" w:eastAsia="Arial" w:hAnsi="Arial"/>
          <w:sz w:val="16"/>
          <w:szCs w:val="16"/>
          <w:color w:val="auto"/>
        </w:rPr>
        <w:t>. Our products are based on a set of related proprietary technologies that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either developed internally or licensed from third parties. We intend to continue making significant investments in research and development to further expand and deepen our technological base. At the same time, we intend to maintain and strengthen our intellectual property position through the continued filing and prosecution of patents in the United States and internationally and through the in-licensing of third party intellectual property as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actively sell three microfluidic systems, BioMark, EP1 and Access Array. These systems are based on one or more chips designed for particular applications and include specialized instrumentation and software.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of our systems include chip controllers that control the activation of valves, loading of reagents, and recovery or wash steps within the chips. Each chip controller comes with software to control chip and instrument operations for particular applications. The BioMark system includes a real-time PCR machine that comprises a thermal cycler for PCR and a fluorescence reader that can detect the results of reactions over time. The EP1 system includes stand-alone thermal cyclers and an end-point fluorescence reader. The EP1 thermal cycler supports fast PCR enabling the performance of high-throughput SNP genotyping. The BioMark and EP1 systems both include software to analyze, annotate and archive the data produced by the reader. The Access Array system includes a stand-alone thermal cycler and two chip controllers. We provide an extensive set of protocols and application notes with all of our systems to support specific scientific applications. All of our systems are designed to be compatible with standard laboratory automation equipment.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BioMark System for Genetic Analysis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BioMark system performs high-throughput gene expression analysis, SNP genotyping, single cell analysis and digital PCR using TaqMan, EvaGreen dye and other chemistries.</w:t>
      </w:r>
    </w:p>
    <w:p>
      <w:pPr>
        <w:spacing w:after="0" w:line="132"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i w:val="1"/>
          <w:iCs w:val="1"/>
          <w:color w:val="auto"/>
        </w:rPr>
        <w:t>Fluidigm Dynamic Array Chips</w:t>
      </w:r>
      <w:r>
        <w:rPr>
          <w:rFonts w:ascii="Arial" w:cs="Arial" w:eastAsia="Arial" w:hAnsi="Arial"/>
          <w:sz w:val="16"/>
          <w:szCs w:val="16"/>
          <w:color w:val="auto"/>
        </w:rPr>
        <w:t>. Our Fluidigm 96.96 Dynamic Array chip is based on a matrix architecture and is capable of individually assaying 96</w:t>
      </w:r>
      <w:r>
        <w:rPr>
          <w:rFonts w:ascii="Arial" w:cs="Arial" w:eastAsia="Arial" w:hAnsi="Arial"/>
          <w:sz w:val="16"/>
          <w:szCs w:val="16"/>
          <w:i w:val="1"/>
          <w:iCs w:val="1"/>
          <w:color w:val="auto"/>
        </w:rPr>
        <w:t xml:space="preserve"> </w:t>
      </w:r>
      <w:r>
        <w:rPr>
          <w:rFonts w:ascii="Arial" w:cs="Arial" w:eastAsia="Arial" w:hAnsi="Arial"/>
          <w:sz w:val="16"/>
          <w:szCs w:val="16"/>
          <w:color w:val="auto"/>
        </w:rPr>
        <w:t>samples against 96 reagents, generating 9,216 reactions on a single chip. Our Fluidigm 48.48 Dynamic Array chip is based on the same architecture and is capable of individually assaying 48 samples against 48 reagents, generating 2,304 reactions. One version of each chip is optimized to perform gene expression analysis and another is optimized for genotyping. All assays are performed in volumes of 10 nanoliters or less. In 2010, we introduced the reusable FR 48.48 Dynamic Array chip. This chip is based upon the same matrix architecture as our standard 48.48 Dynamic Array chip, but can be cleaned by the customer and used up to 5 times. In 2011, we expect to introduce an enhanced reusable chip capable of assaying 192 samples against 24 reagents.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Fluidigm Digital Array Chips</w:t>
      </w:r>
      <w:r>
        <w:rPr>
          <w:rFonts w:ascii="Arial" w:cs="Arial" w:eastAsia="Arial" w:hAnsi="Arial"/>
          <w:sz w:val="18"/>
          <w:szCs w:val="18"/>
          <w:color w:val="auto"/>
        </w:rPr>
        <w:t>. Our Fluidigm 48.770 Digital Array chip is based on partitioning architecture that divides each of up to 48 separate samples</w:t>
      </w:r>
      <w:r>
        <w:rPr>
          <w:rFonts w:ascii="Arial" w:cs="Arial" w:eastAsia="Arial" w:hAnsi="Arial"/>
          <w:sz w:val="18"/>
          <w:szCs w:val="18"/>
          <w:i w:val="1"/>
          <w:iCs w:val="1"/>
          <w:color w:val="auto"/>
        </w:rPr>
        <w:t xml:space="preserve"> </w:t>
      </w:r>
      <w:r>
        <w:rPr>
          <w:rFonts w:ascii="Arial" w:cs="Arial" w:eastAsia="Arial" w:hAnsi="Arial"/>
          <w:sz w:val="18"/>
          <w:szCs w:val="18"/>
          <w:color w:val="auto"/>
        </w:rPr>
        <w:t>into 770 microscopic samples and then performs a PCR or other assay for each divided sample in 1 nanoliter or smaller volume. Our 12.765 Digital Array chip is based on the same architecture and divides up to 12 samples into 765 parts. These chips can be used for digital PCR applications such as rare mutation detection or copy number variation analysis.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BioMark Instrumentation and Software</w:t>
      </w:r>
      <w:r>
        <w:rPr>
          <w:rFonts w:ascii="Arial" w:cs="Arial" w:eastAsia="Arial" w:hAnsi="Arial"/>
          <w:sz w:val="16"/>
          <w:szCs w:val="16"/>
          <w:color w:val="auto"/>
        </w:rPr>
        <w:t>. Our chip controllers for the BioMark system fully automate the setup of Dynamic Array and Digital Array chips</w:t>
      </w:r>
      <w:r>
        <w:rPr>
          <w:rFonts w:ascii="Arial" w:cs="Arial" w:eastAsia="Arial" w:hAnsi="Arial"/>
          <w:sz w:val="16"/>
          <w:szCs w:val="16"/>
          <w:i w:val="1"/>
          <w:iCs w:val="1"/>
          <w:color w:val="auto"/>
        </w:rPr>
        <w:t xml:space="preserve"> </w:t>
      </w:r>
      <w:r>
        <w:rPr>
          <w:rFonts w:ascii="Arial" w:cs="Arial" w:eastAsia="Arial" w:hAnsi="Arial"/>
          <w:sz w:val="16"/>
          <w:szCs w:val="16"/>
          <w:color w:val="auto"/>
        </w:rPr>
        <w:t>for real-time qPCR-based experiments and include software for implementing and tracking experiments. Our BioMark reader controls the PCR process and detects the fluorescent signals generated using a white light source, emission and excitation filters, precision lenses, a thermal cycler and a digital camera. In 2011, we expect to introduce an enhanced version of our BioMark reader that will have a faster thermal cycler, doubling throughput compared to our existing BioMark reader. We also offer various software packages that provide data analysis following data collection. Our analysis software shows data as a color-coded map of every position on the chip, such as for amplification curves and as numeric tabular data.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EP1 System</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EP1 system performs SNP genotyping and end-point digital PCR using TaqMan, EvaGreen dye and other chemistries. Our EP1 System uses the same Dynamic Array and Digital Array chips that are used by our BioMark system. Because of its high throughput and focus on genotyping, the EP1 system is a preferred choice by our Ag-Bio customers for field implementation. In addition, we believe our reusable FR48.48 Dynamic Array chip and future reusable chips may be widely adopted by our Ag-Bio customers because they can substantially reduce the cost per data point for high volume users.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EP1 Instrumentation and Software</w:t>
      </w:r>
      <w:r>
        <w:rPr>
          <w:rFonts w:ascii="Arial" w:cs="Arial" w:eastAsia="Arial" w:hAnsi="Arial"/>
          <w:sz w:val="18"/>
          <w:szCs w:val="18"/>
          <w:color w:val="auto"/>
        </w:rPr>
        <w:t>. The chip controllers for the EP1 system fully automate the setup of chips for end-point SNP genotyping and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PCR experiments, and include software for implementing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tracking experiments. Our EP1 reader detects fluorescent signals generated in our chips using a light source, emission and excitation filters, precision lenses and a digital camera. Our FC1 Cycler performs fast thermal cycling for chips and enables up to 12 Dynamic Array chips to be run per day. We also offer various software packages that provide data analysis following data collection. Our analysis software shows data as color-coded map of every position on the chip, cluster maps showing results for every assay, and as numeric tabular data.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Access Array System</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Access Array system enables automated sample preparation and tagging, at a cost of $10 per sample or less, for all currently marketed next generation DNA sequencers. We believe the Access Array system is the only high throughput target enrichment system currently on the market that is capable of simultaneously processing multiple samples. The Access Array system can be used in conjunction with our BioMark system to provide real-time monitoring of amplification steps.</w:t>
      </w:r>
    </w:p>
    <w:p>
      <w:pPr>
        <w:spacing w:after="0" w:line="14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Fluidigm Access Array Chips</w:t>
      </w:r>
      <w:r>
        <w:rPr>
          <w:rFonts w:ascii="Arial" w:cs="Arial" w:eastAsia="Arial" w:hAnsi="Arial"/>
          <w:sz w:val="16"/>
          <w:szCs w:val="16"/>
          <w:color w:val="auto"/>
        </w:rPr>
        <w:t>. Our Fluidigm 48.48 Access Array chip is based on an architecture similar to that of the Dynamic Array chip, but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enable recovery of reaction products from the chip. This chip combines up to 48 samples with 48 primer sets prior to PCR amplification. This is accomplished with only 96 pipetting steps as compared to approximately 7,000 pipetting steps that would be required by conventional systems. After amplification, all 48 PCR products for each sample are recovered in a pool. When PCR primers are designed to include DNA tags for specific sequencers and DNA barcodes for each sample, samples from the Access Array chip can be loaded directly into the sequencer. The DNA barcodes can then be used to identify products from each sample from the sequence data. In addition, we have shown that we have been able to combine up to 10 unique primer pairs per primer set, allowing up to 480 samples per chip, which can then be tagged for specific sequencers in a secondary step.</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Access Array Instrumentation</w:t>
      </w:r>
      <w:r>
        <w:rPr>
          <w:rFonts w:ascii="Arial" w:cs="Arial" w:eastAsia="Arial" w:hAnsi="Arial"/>
          <w:sz w:val="16"/>
          <w:szCs w:val="16"/>
          <w:color w:val="auto"/>
        </w:rPr>
        <w:t>. The Access Array system is comprised of two chip controllers and a single stand-alone thermal cycler. This system can</w:t>
      </w:r>
      <w:r>
        <w:rPr>
          <w:rFonts w:ascii="Arial" w:cs="Arial" w:eastAsia="Arial" w:hAnsi="Arial"/>
          <w:sz w:val="16"/>
          <w:szCs w:val="16"/>
          <w:i w:val="1"/>
          <w:iCs w:val="1"/>
          <w:color w:val="auto"/>
        </w:rPr>
        <w:t xml:space="preserve"> </w:t>
      </w:r>
      <w:r>
        <w:rPr>
          <w:rFonts w:ascii="Arial" w:cs="Arial" w:eastAsia="Arial" w:hAnsi="Arial"/>
          <w:sz w:val="16"/>
          <w:szCs w:val="16"/>
          <w:color w:val="auto"/>
        </w:rPr>
        <w:t>load Access Array chips, amplify and tag the regions of interest, and recover the sample for loading into a next generation DNA sequencer.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Access Array Barcode Libraries and Access Array Content Service</w:t>
      </w:r>
      <w:r>
        <w:rPr>
          <w:rFonts w:ascii="Arial" w:cs="Arial" w:eastAsia="Arial" w:hAnsi="Arial"/>
          <w:sz w:val="18"/>
          <w:szCs w:val="18"/>
          <w:color w:val="auto"/>
        </w:rPr>
        <w:t>. We provide optimized barcoding primers, or Access Array Barcode Libraries, for 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Roche and Illumina sequencing platforms. When used with the 48.48 Access Array chip, the barcode library enables the user to pool products of different samples, perform amplification of all samples in parallel, and then sequence the pooled samples as a single sample. We also offer the Access Array Content Service to provide validated custom primer sets for users.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TOPAZ System for Protein Crystallization</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TOPAZ System allows users to screen protein samples against a set of reagents in order to determine the optimum conditions for crystallizing a protein. While we currently offer TOPAZ systems and chips for sale, we do not actively market this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products are based on a tiered set of related proprietary technologies that we have either developed internally or licensed from third parties.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90"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Our chips are manufactured using a technology known as multi-layer soft lithography, or MSL. Using MSL technology, we are able to create valves, chambers, channels and other fluidic components on our chips at high density. We combine these components in complex arrangements that allow nanoliter quantities of fluids or drops to be precisely manipulated within the chip. Unlike most prior microfluidic technologies, our chips do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rely on electricity, magnetism or similar approaches to control fluid movement. Rather, they control fluid flow with valves. The most important components on our chips are our NanoFlex valves, which are created by the intersection of two channels on adjacent layers. When the valve is open, fluid is able to flow through the lower or “flow” channel. When the upper or “control” channel is pressurized, the material separating the two</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channels is deflected into the lower channel, closing the valve and stopping fluid flow. If pressure is removed from the control channel, the channels return to their original form, and the valve is again open. The elastomeric properties of microfluidic chip cores allow our NanoFlex valves to form a reliable seal and cycle through millions of openings and closings.</w:t>
      </w:r>
    </w:p>
    <w:p>
      <w:pPr>
        <w:spacing w:after="0" w:line="14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elastomer we currently use for our commercial products is a form of silicone rubber known as polydimethylsiloxane, or PDMS, but we have researched other materials with different properties for specific purposes. PDMS is transparent, which allows the fluids and their contents to be easily monitored with a variety of existing optical technologies, such as bright field, phase contrast or fluorescence microscopy.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This gas permeability also supports maintenance of cells in cell culture conditions. PDMS offers a favorable environment for many biochemical reactions, including PCR and cell culture.</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developed commercial manufacturing processes to fabricate valves, channels, vias and chambers with dimensions in the 10 to 100 micron range, at high density and with high yields. For research purposes, we have created devices with both substantially smaller and larger features. Though our manufacturing is based on standard semiconductor manufacturing technologies and techniques, we have also developed novel processes for mold fabrication that enable mass production of high density chips with nanoliter volume features. These processes are sufficiently robust that new microfluidic designs can often be built using existing fabrication techniques, allowing for rapid innovation of new chip designs without needing manufacturing process or equipment changes.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Microfluidic Chips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chips incorporate several different types of technology that together enable us to use MSL to rapidly design and deploy new microfluidic applications.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Microfluidic Components</w:t>
      </w:r>
      <w:r>
        <w:rPr>
          <w:rFonts w:ascii="Arial" w:cs="Arial" w:eastAsia="Arial" w:hAnsi="Arial"/>
          <w:sz w:val="16"/>
          <w:szCs w:val="16"/>
          <w:color w:val="auto"/>
        </w:rPr>
        <w:t>. The first level of our chip technology is a library of components that perform basic microfluidic functions. We have proven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designs for numerous elements, 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our typical overall chip core size of three centimeters by three centimeters. As a result, we are routinely able to develop chips that perform thousands of reactions per square centimeter.</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Architectures</w:t>
      </w:r>
      <w:r>
        <w:rPr>
          <w:rFonts w:ascii="Arial" w:cs="Arial" w:eastAsia="Arial" w:hAnsi="Arial"/>
          <w:sz w:val="16"/>
          <w:szCs w:val="16"/>
          <w:color w:val="auto"/>
        </w:rPr>
        <w:t>. The second level of our chip technology comprises the architectures we have designed to exploit our ability to conduct thousands of</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reactions on a single chip. The first of these is the Dynamic Array, a matrix architecture that allows multiple different samples and multiple different reagents to be loaded onto a single chip and then combined so that there is an isolated reaction between each sample and each reagent. The primary advantage of this architecture is that each sample and reagent is only handled by a pipette once per chip rather than once per reaction, as is the case with conventional microplate-based technologies. For example, a single 96.96 Dynamic Array chip can perform a total of 9,216 unique reactions between 96 samples and 96 reagents with only 192 pipetting steps. With conventional microplate-based technologies, the same experiment would require about 18,432 pipetting steps and at least 24 conventional microplates. Our Sample Processor architecture allows us to bring similar benefits to reactions which require export of the reaction product and more complex (multi-step) reactions. For example, our Access Array chip automates sample preparation for targeted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resequencing by amplifying 48 genetic regions on each of 48 samples and exporting each prepared sample. Our Digital Array architecture allows a sample to be split into hundreds to tens of thousands of smaller samples. Separate reactions can then be conducted on each of the smaller samples. The cell processor automates cell seeding, culture, combinatorial dosing with multiple reagents, and export for further analysis.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Interface and Handling Frames</w:t>
      </w:r>
      <w:r>
        <w:rPr>
          <w:rFonts w:ascii="Arial" w:cs="Arial" w:eastAsia="Arial" w:hAnsi="Arial"/>
          <w:sz w:val="18"/>
          <w:szCs w:val="18"/>
          <w:color w:val="auto"/>
        </w:rPr>
        <w:t>. The third level of our chip technology involves the interaction of our chips with the actual laboratory environment.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core elastomeric block at the center of our chip is surrounded by specially designed frames that are able to deliver samples and reagents to the blocks. These frames are the same size as standard 384 well microplates and have sample and reagent input ports laid out in a standard 384 well microplate format. As a result, our chips can be loaded with standard laboratory pipetting robots and can be used with standard plate handling equipment. These frames also transmit the pressure and control signals from our instruments to the chip.</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Technological Advances</w:t>
      </w:r>
      <w:r>
        <w:rPr>
          <w:rFonts w:ascii="Arial" w:cs="Arial" w:eastAsia="Arial" w:hAnsi="Arial"/>
          <w:sz w:val="18"/>
          <w:szCs w:val="18"/>
          <w:color w:val="auto"/>
        </w:rPr>
        <w:t>. In the second quarter of 2002, we sold the first prototype of our 1.48 chip for our Topaz system, which featured 22 valves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2.5 assays per square centimeter. Today we sell 48.770 Digital Array chips, with over 4,000 valves capable of more than 4,000 assays per square centimeter, a 181-fold increase in valve density and a 1,600-fold increase in assay capability. In our research and development laboratory, we have built and tested fully functional Digital Array chips capable of performing substantially more assays.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added capabilities to our chips in addition to increasing the density. In 2010, we employed our sample processor architecture to create the FR48.48 reusable Dynamic Array chips. With cleaning, each chip may be used five times, reducing the cost of each assay.</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recently developed a second generation interface technology, which increases our number of chip control signals, or states, by nearly a factor of 10 (from 4 to 36). Since the number of chip states is approximately 2 raised to the power of the number of control signals, this represents a billion-fold increase in the number of states a chip may be set to; this advance means that the complexity of reactions that our chips may run is no longer meaningfully limited by the number of control lines. We expect to implement this architecture on commercial products in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and Instrumentation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developed instrumentation technology to load samples and reagents onto our chips and to control and monitor reactions within our chips. Our line of chip controllers consists of commercial pneumatic components and both custom and commercial electronics. They apply precise control of multiple pressures to move fluid and control valve states in an microfluidic chip. Our BioMark system consists of a custom thermal cycler packaged with a sophisticated fluorescence imaging system. Our FC1 cycler is a custom thermal cycler capable of very rapid cycling: 45 cycles in 30 minutes. Our EP-1 instrument is a fluorescence reader designed for endpoint imaging, suitable for digital PCR and genotyping applications. All of these instruments are designed to be easily introduced into standard automated lab environments.</w:t>
      </w:r>
    </w:p>
    <w:p>
      <w:pPr>
        <w:spacing w:after="0" w:line="144"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We have developed specialized software packages to manage and analyze the unusually large amounts of data produced by our systems. Our BioMark system’s gene expression analysis software automatically measures individual real-time qPCR reactions from fluorescent images and generates amplification threshold crossing values allowing researchers to readily perform complete normalized comparative gene expression analysis across large numbers of samples and assays. Similarly, our SNP Genotyping Analysis software automatically clusters fluorescent intensities from individual genotype reactions and makes genotype calls across individual and multiple chip runs. The Digital PCR Analysis software automatically calculates absolute copy number and copy number ratios from digital PCR experiments. Our Melting Curve Analysis software supports genotyping from data collected on the BioMark reader.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Protocols and Assays Design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provide protocols to guide our customers in the use our products with commonly available molecular biology reagents for the analysis of their specific samples types. The set of protocols we offer are regularly expanded. For gene expression, we initially provided a protocol for TaqMan real-time reagents for general gene expression analysis. We now offer a protocol specifically for single cell analysis. We have also expanded the choices of reagents for our customers. In early 2010 we released a protocol for EvaGreen, a DNA binding dye for gene expression measurements with excellent data quality and a very low cost per assay. We also released protocols for the use of our microfluidic systems with Qiagen GmbH gene expression panels and Thermo-Fisher Solaris assays. For genotyping, we developed a protocol for using KASPar assays in the BioMark system.</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PCR assay reagents need to be specific to the gene targets of interest. Since our systems analyze many gene targets at once, the process of designing a set of assays may delay the implementation experiments or require the use of expensive pre-designed assays. To address this issue we have developed a computational method for rapid-turn PCR assay design. This process allows us to provide customers with validated assays for their targets of interest. We have commercialized this service for our Access Array customers and are developing the service for other applications.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2011, we plan on releasing assay design and custom content delivery systems for gene expression and genotyping that will allow customers to specify genes or SNP sites of interest and match them to region-specific primers, enabling our existing systems to amplify specific genetic regions of interest. We believe these assay design and content delivery systems will represent an improvement over conventional pre-defined panels by allowing customization based on cellular pathways or biological areas of interest.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2011, we plan on releasing gene expression and genotyping chemistries together with assay design services and pre-defined content. We expect these offerings will provide low-cost alternatives to chemistries such as Taqman and allow customers to use chips in more flexible ways. By specifying genes or SNP sites of interest and matching them to region specific primers, customers using our existing systems will be able to amplify specific genetic regions of interest at reduced cost without sacrificing data quality. In addition, these chemistries allow for more flexible formatting of samples and assays. For example, rather than using our 96.96 Dynamic Array chip to test 96 samples versus 96 assays, these new chemistries will allow customers to assay 1,152 samples versus 8 assays or 24 samples versus 384 assays.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distribute our instruments and supplies via direct field sales and support organizations located in North America, Europe and Japan and through distributors or sales agents in parts of Europe, Latin America and the Asia-Pacific region outside of Japan. Our domestic and international sales force informs our current and potential customers of current product offerings, new product introductions, and technological advances in our microfluidic systems,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our customer needs. As of September 30, 2010, we have 59 people employed in sales, sales support and marketing, including 32 sales representatives and technical pre-sales specialists located in the field. Over half of this staff is located in the United States and dedicated to North American customers. We intend to significantly expand our sales, support and marketing efforts in the future.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sales and marketing efforts are targeted at laboratory directors and principal investigators at leading companies and institutions who need reliable life science automation solutions for their business or commercial purposes. We seek to increase awareness of our products among our target customers through regular contact, participation in tradeshows, on customer site seminars, academic conferences and dedicated company gatherings attended by prominent users and prospective customers from various institutions.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systems are relatively new to the market place and require a capital investment. As a result 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Alliances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Co-Marketing Agreements for Next Generation Sequencing</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entered into an agreement to co-market our Access Array system with 454 Life Sciences, a division of F. Hoffman-La Roche Ltd., a manufacturer of leading next generation DNA sequencing platforms. Per our agreement, we may bundle our Access Array sample preparation system with our co-marketer’s next generation DNA sequencing technologies. This agreement enables us to disseminate the benefits of using the products in combination, engage in co-operative marketing and messaging, including select dual presence at trade shows and technical seminars, perform selective specialization or utilization of each respective company’s channel for promotional or sales activity and educate the direct and indirect distribution channels of both companies, in each case without any minimum sales, volume or other financial obligations of either party. The agreement does not preclude us from engaging in other activities of similar or related interest with other participants in the sequencing technology market and may be terminated by either party with notice. We have entered into a similar co-marketing agreement with another manufacturer of next generation DNA sequencing platforms. This second agreement is in its early stages, does not contain any minimum performance obligations of the parties and may be terminated at anytime by either party with notice.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Non-invasive Prenatal Diagnostics Collaboration</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We entered into a set of related agreements with Novartis V&amp;D, in May 2010. Under these agreements,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certain initial technical feasibility milestones to be attained in 2010 and 2011, and provide for milestone payments to us upon our execution and satisfaction of milestones with aggregate payments totaling $3,000,000. At Novartis V&amp;D’s option, these agreements can be extended to encompass further research, development and commercialization of our products in the primary and secondary fields described above, which could take several years or more to complete. If the agreements are extended, we will negotiate additional technical feasibility milestones and milestone payments with Novartis V&amp;D. In addition, the agreements provide for payments to us upon Novartis V&amp;D’s exercise of its option to license our technology and upon our meeting a specified product development milestone. These additional payments total $3,000,000. The term of the development portion of the agreements will extend until attainment of all existing and to-be-negotiated technical feasibility milestones, but will automatically terminate if Novartis V&amp;D does not exercise its option to license our technology within 90 days of our attainment of the initial technical feasibility milestones. In addition, the agreements may be terminated at any time in Novartis V&amp;D’s sole discretion and, by us, at certain times, if Novartis V&amp;D elects not to proceed with the development program. The agreements provide that if a test is commercialized, we would supply the required systems and chips for performance of such test.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have sold our BioMark, EP1 and Access Array systems to leading pharmaceutical and biotechnology companies, academic institutions, diagnostic laboratories and Ag-Bio companies. As of September 30, 2010, we have sold over 250 of these systems to customers in over 20 countries. The following is a representative list of our largest end-use customers by number of installed Biomark and EP1 systems in each of our current target markets: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Customer</w:t>
            </w:r>
          </w:p>
        </w:tc>
        <w:tc>
          <w:tcPr>
            <w:tcW w:w="120" w:type="dxa"/>
            <w:vAlign w:val="bottom"/>
          </w:tcPr>
          <w:p>
            <w:pPr>
              <w:spacing w:after="0"/>
              <w:rPr>
                <w:sz w:val="20"/>
                <w:szCs w:val="20"/>
                <w:color w:val="auto"/>
              </w:rPr>
            </w:pPr>
          </w:p>
        </w:tc>
        <w:tc>
          <w:tcPr>
            <w:tcW w:w="27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Market</w:t>
            </w: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Application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National Cancer Institute / National Institute</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Allergy and Infectious Diseases</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Next Generation Sequencing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Stanford University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Next Generation Sequencing</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MedImmune, LLC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Tokyo University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Genentech, Inc.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Novartis</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Gene Expression</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Bayer CropScience AG</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Ag-Bio</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r>
        <w:trPr>
          <w:trHeight w:val="282"/>
        </w:trPr>
        <w:tc>
          <w:tcPr>
            <w:tcW w:w="5620" w:type="dxa"/>
            <w:vAlign w:val="bottom"/>
            <w:gridSpan w:val="2"/>
          </w:tcPr>
          <w:p>
            <w:pPr>
              <w:spacing w:after="0"/>
              <w:rPr>
                <w:sz w:val="20"/>
                <w:szCs w:val="20"/>
                <w:color w:val="auto"/>
              </w:rPr>
            </w:pPr>
            <w:r>
              <w:rPr>
                <w:rFonts w:ascii="Arial" w:cs="Arial" w:eastAsia="Arial" w:hAnsi="Arial"/>
                <w:sz w:val="18"/>
                <w:szCs w:val="18"/>
                <w:color w:val="auto"/>
              </w:rPr>
              <w:t>Alaska Department of Fish and Game</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Ag-Bio</w:t>
            </w:r>
          </w:p>
        </w:tc>
        <w:tc>
          <w:tcPr>
            <w:tcW w:w="1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manufacturing operations are located in Singapore and fabricate all of our microfluidic systems and instrumentation for commercial sale, as well as for internal research and development purposes. Our Singapore facility commenced operations in October 2005 and established full process capability for the Topaz chip in June 2006 and for our first Dynamic Array chip, the 48.48 Dynamic Array chip in October 2006. During 2009, we moved all of our manufacturing for commercial products to Singapore.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established our manufacturing facility in Singapore to take advantage of the skilled workforce, supplier and partner network, lower operating costs and government support available there. Our microfluidic system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chip fabrication.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manufacturing operations in Singapore have been supported by grants from the Singapore Economic Development Board, or EDB, which provides incentive grant payments for research, development and manufacturing activity in Singapore. Our arrangements with EDB require us to maintain a significant and increasing manufacturing and research and development presence in Singapore.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expect that our existing manufacturing capacity for instrumentation and chips is sufficient to meet our needs at least through mid-2012. However, we are considering developing additional capacity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specialized polymer from which our chip cores are fabricated and the specialized high resolution camera used in the reader for our BioMark system. We are in the midst of qualifying an alternate camera source, with the qualification scheduled to be completed in the first quarter.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Product and Application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largest component of our current research and development effort is in the areas of new products and new applications.</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plan to focus on enhancing our single cell analysis, cell preparation and cell culturing capabilities, strengthening our current product lines by further developing content and our existing chip architectures, and developing products to support molecular diagnostic applications.</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We intend to strengthen the single cell analysis capability of the BioMark system by expanding our customers’ options for single</w:t>
      </w:r>
      <w:r>
        <w:rPr>
          <w:rFonts w:ascii="Arial" w:cs="Arial" w:eastAsia="Arial" w:hAnsi="Arial"/>
          <w:sz w:val="18"/>
          <w:szCs w:val="18"/>
          <w:i w:val="1"/>
          <w:iCs w:val="1"/>
          <w:color w:val="auto"/>
        </w:rPr>
        <w:t xml:space="preserve"> </w:t>
      </w:r>
      <w:r>
        <w:rPr>
          <w:rFonts w:ascii="Arial" w:cs="Arial" w:eastAsia="Arial" w:hAnsi="Arial"/>
          <w:sz w:val="18"/>
          <w:szCs w:val="18"/>
          <w:color w:val="auto"/>
        </w:rPr>
        <w:t>cell procurement and downstream data analysis. For example, we are developing a system for single cell capture and preparation that will increase the types of samples that can be processed by the system as well as the types of usable preparation chemistry. We expect that this new system will be able to prepare samples both for BioMark system as well as for next generation sequencing.</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Cell Culture System</w:t>
      </w:r>
      <w:r>
        <w:rPr>
          <w:rFonts w:ascii="Arial" w:cs="Arial" w:eastAsia="Arial" w:hAnsi="Arial"/>
          <w:sz w:val="18"/>
          <w:szCs w:val="18"/>
          <w:color w:val="auto"/>
        </w:rPr>
        <w:t>. We are developing system that will enable researchers to culture a large number of individual cells within separate chambers on a</w:t>
      </w:r>
      <w:r>
        <w:rPr>
          <w:rFonts w:ascii="Arial" w:cs="Arial" w:eastAsia="Arial" w:hAnsi="Arial"/>
          <w:sz w:val="18"/>
          <w:szCs w:val="18"/>
          <w:i w:val="1"/>
          <w:iCs w:val="1"/>
          <w:color w:val="auto"/>
        </w:rPr>
        <w:t xml:space="preserve"> </w:t>
      </w:r>
      <w:r>
        <w:rPr>
          <w:rFonts w:ascii="Arial" w:cs="Arial" w:eastAsia="Arial" w:hAnsi="Arial"/>
          <w:sz w:val="18"/>
          <w:szCs w:val="18"/>
          <w:color w:val="auto"/>
        </w:rPr>
        <w:t>chip, control the conditions in which each cell is cultured, and then extract the cells for further analysis. With the support of a grant from the California Institute of Regenerative Medicine in an aggregate amount of $750,000, we have developed a prototype system that demonstrates the technical feasibility of this application.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Assay Development</w:t>
      </w:r>
      <w:r>
        <w:rPr>
          <w:rFonts w:ascii="Arial" w:cs="Arial" w:eastAsia="Arial" w:hAnsi="Arial"/>
          <w:sz w:val="16"/>
          <w:szCs w:val="16"/>
          <w:color w:val="auto"/>
        </w:rPr>
        <w:t>. We plan to add both content and flexibility to our current product lines. For example, we plan to expand our Assay Design Service to</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gene expression and genotyping applications. This expansion is intended to enable customers in those areas to reduce their assay costs without sacrificing data quality by purchasing assays directly from us. We also plan to introduce chemistries that will allow customers to use our chips in the manner that is most efficient for their particular projects. For example, rather than using our 96.96 Dynamic Array chip to test 96 samples versus 96 assays, these new chemistries will allow customers to assay 1,152 samples versus 8 assays or 24 samples versus 384 assays.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Existing Architectures</w:t>
      </w:r>
      <w:r>
        <w:rPr>
          <w:rFonts w:ascii="Arial" w:cs="Arial" w:eastAsia="Arial" w:hAnsi="Arial"/>
          <w:sz w:val="18"/>
          <w:szCs w:val="18"/>
          <w:color w:val="auto"/>
        </w:rPr>
        <w:t>. We intend to develop additional products to strengthen the capabilities of our existing Dynamic Array and Digital Array</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architectures. For example, our existing 48.770 Digital Array chip can perform 36,960 reactions. We have developed prototype chips based on the Digital Array architecture that can perform 200,000 or more reactions and believe, that with further development, these chips could have substantial utility for research and molecular diagnostic applications.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Process Development</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second component of our research and development effort is process development. We continuously develop new manufacturing processes and test methods to drive down manufacturing cost, increase manufacturing throughput, widen fabrication process capability, and support new microfluidic devices and designs. In 2009, we opened a prototype fabrication facility at our Singapore manufacturing to fabricate prototype chips and test new fabrication processes. We invest in manufacturing automation, process changes and design modifications which historically have significantly improved yields and lowered the manufacturing costs of our chips.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Technology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background research and development efforts to increase the density of components on our microfluidic systems and to lower the materials cost of our current production methods. We are evaluating new materials that can increase the functionality of existing products and that would allow our microfluidic systems to be used for a wider variety of biological and chemical reactions. Over the longer term, we are seeking ways to transfer functionality from instrumentation to chips to support development of field-based and point-of-care applications.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research and development expenses were $14.4 million, $14.0 million, $12.3 million and $10.1 million in 2007, 2008, 2009 and the nine months ended September 30, 2010, respectively. As of September 30, 2010, 60 of our employees were engaged in research and development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Dr. Stephen Quake, that require them spend between 6 and 12 days each year advising us and provide for stock option grants to the advisor. Dr. Quake serves as chair of the Scientific Advisory Board pursuant to a broader consulting agreement with us. As Chairman, Dr. Quake advises us on the composition of the advisory board and is involved in discussions with us more frequently than other advisory board members. When the advisory board meets, Dr. Quake is responsible for setting the agenda for the meetings and chairing such meetings. Our scientific advisory board consists of the following members:</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Stephen Quake, Ph.D. </w:t>
      </w:r>
      <w:r>
        <w:rPr>
          <w:rFonts w:ascii="Arial" w:cs="Arial" w:eastAsia="Arial" w:hAnsi="Arial"/>
          <w:sz w:val="16"/>
          <w:szCs w:val="16"/>
          <w:color w:val="auto"/>
        </w:rPr>
        <w:t>is a co-founder of Fluidigm and the chair of our scientific advisory board. He is a co-chair of the bioengineering department at</w:t>
      </w:r>
      <w:r>
        <w:rPr>
          <w:rFonts w:ascii="Arial" w:cs="Arial" w:eastAsia="Arial" w:hAnsi="Arial"/>
          <w:sz w:val="16"/>
          <w:szCs w:val="16"/>
          <w:i w:val="1"/>
          <w:iCs w:val="1"/>
          <w:color w:val="auto"/>
        </w:rPr>
        <w:t xml:space="preserve"> </w:t>
      </w:r>
      <w:r>
        <w:rPr>
          <w:rFonts w:ascii="Arial" w:cs="Arial" w:eastAsia="Arial" w:hAnsi="Arial"/>
          <w:sz w:val="16"/>
          <w:szCs w:val="16"/>
          <w:color w:val="auto"/>
        </w:rPr>
        <w:t>Stanford University and an investigator of the Howard Hughes Medical Institute. Dr. Quake received a B.S. in Physics and a M.S. in Mathematics from Stanford University and a Ph.D. in Physics from Oxford University. Dr. Quake has been a member of our scientific advisory board since June 1999.</w:t>
      </w:r>
    </w:p>
    <w:p>
      <w:pPr>
        <w:spacing w:after="0" w:line="10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i w:val="1"/>
          <w:iCs w:val="1"/>
          <w:color w:val="auto"/>
        </w:rPr>
        <w:t xml:space="preserve">Frances H. Arnold, Ph.D. </w:t>
      </w:r>
      <w:r>
        <w:rPr>
          <w:rFonts w:ascii="Arial" w:cs="Arial" w:eastAsia="Arial" w:hAnsi="Arial"/>
          <w:sz w:val="16"/>
          <w:szCs w:val="16"/>
          <w:color w:val="auto"/>
        </w:rPr>
        <w:t>is the Dick and Barbara Dickinson Professor of chemical engineering and biochemistry at the California Institute of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She is a member of 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w:t>
      </w:r>
    </w:p>
    <w:p>
      <w:pPr>
        <w:spacing w:after="0" w:line="1" w:lineRule="exact"/>
        <w:rPr>
          <w:sz w:val="20"/>
          <w:szCs w:val="20"/>
          <w:color w:val="auto"/>
        </w:rPr>
      </w:pPr>
    </w:p>
    <w:p>
      <w:pPr>
        <w:jc w:val="right"/>
        <w:ind w:right="5600"/>
        <w:spacing w:after="0" w:line="433" w:lineRule="auto"/>
        <w:rPr>
          <w:sz w:val="20"/>
          <w:szCs w:val="20"/>
          <w:color w:val="auto"/>
        </w:rPr>
      </w:pPr>
      <w:r>
        <w:rPr>
          <w:rFonts w:ascii="Arial" w:cs="Arial" w:eastAsia="Arial" w:hAnsi="Arial"/>
          <w:sz w:val="18"/>
          <w:szCs w:val="18"/>
          <w:color w:val="auto"/>
        </w:rPr>
        <w:t>Dr. Arnold has been a member of our scientific advisory board since August 1999. 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 xml:space="preserve">James M. Berger, Ph.D. </w:t>
      </w:r>
      <w:r>
        <w:rPr>
          <w:rFonts w:ascii="Arial" w:cs="Arial" w:eastAsia="Arial" w:hAnsi="Arial"/>
          <w:sz w:val="16"/>
          <w:szCs w:val="16"/>
          <w:color w:val="auto"/>
        </w:rPr>
        <w:t>is a Professor of Biochemistry and Molecular Biology at the University of California, Berkeley and a member of the Physical</w:t>
      </w:r>
      <w:r>
        <w:rPr>
          <w:rFonts w:ascii="Arial" w:cs="Arial" w:eastAsia="Arial" w:hAnsi="Arial"/>
          <w:sz w:val="16"/>
          <w:szCs w:val="16"/>
          <w:i w:val="1"/>
          <w:iCs w:val="1"/>
          <w:color w:val="auto"/>
        </w:rPr>
        <w:t xml:space="preserve"> </w:t>
      </w:r>
      <w:r>
        <w:rPr>
          <w:rFonts w:ascii="Arial" w:cs="Arial" w:eastAsia="Arial" w:hAnsi="Arial"/>
          <w:sz w:val="16"/>
          <w:szCs w:val="16"/>
          <w:color w:val="auto"/>
        </w:rPr>
        <w:t>Biosciences Division, Lawrence Berkeley National Laboratory. Dr. Berger received a B.S. in Biochemistry from the University of Utah and a Ph.D. in Biochemistry from Harvard University. Dr. Berger has been a member of our scientific advisory board since June 2002.</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Carl Hansen, Ph.D. </w:t>
      </w:r>
      <w:r>
        <w:rPr>
          <w:rFonts w:ascii="Arial" w:cs="Arial" w:eastAsia="Arial" w:hAnsi="Arial"/>
          <w:sz w:val="16"/>
          <w:szCs w:val="16"/>
          <w:color w:val="auto"/>
        </w:rPr>
        <w:t>is an Assistant Professor in the Department of Physics and Astronomy at the University of British Columbia. Dr. Hansen received a</w:t>
      </w:r>
      <w:r>
        <w:rPr>
          <w:rFonts w:ascii="Arial" w:cs="Arial" w:eastAsia="Arial" w:hAnsi="Arial"/>
          <w:sz w:val="16"/>
          <w:szCs w:val="16"/>
          <w:i w:val="1"/>
          <w:iCs w:val="1"/>
          <w:color w:val="auto"/>
        </w:rPr>
        <w:t xml:space="preserve"> </w:t>
      </w:r>
      <w:r>
        <w:rPr>
          <w:rFonts w:ascii="Arial" w:cs="Arial" w:eastAsia="Arial" w:hAnsi="Arial"/>
          <w:sz w:val="16"/>
          <w:szCs w:val="16"/>
          <w:color w:val="auto"/>
        </w:rPr>
        <w:t>Ph.D. and M.S. in Applied Physics from the California Institute of Technology and a B.S. in Engineering Physics/Electrical Engineering/Honors Math from the University of British Columbia. Dr. Hansen has been a member of our Scientific Advisory Board since May 2008.</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Frank McCormick, Ph.D. </w:t>
      </w:r>
      <w:r>
        <w:rPr>
          <w:rFonts w:ascii="Arial" w:cs="Arial" w:eastAsia="Arial" w:hAnsi="Arial"/>
          <w:sz w:val="16"/>
          <w:szCs w:val="16"/>
          <w:color w:val="auto"/>
        </w:rPr>
        <w:t>is the David A. Wood Distinguished Professor of Tumor Biology and the E. Dixon Heise Distinguished Professor in Oncology at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University of 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Howard M. Shapiro, M.D. </w:t>
      </w:r>
      <w:r>
        <w:rPr>
          <w:rFonts w:ascii="Arial" w:cs="Arial" w:eastAsia="Arial" w:hAnsi="Arial"/>
          <w:sz w:val="16"/>
          <w:szCs w:val="16"/>
          <w:color w:val="auto"/>
        </w:rPr>
        <w:t>is a lecturer on Pathology at Harvard Medical School, a visiting scientist at the Rosenstiel Basic Medical Sciences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Center at Brandeis University and a research associate in Medicine and Pathology at Beth Israel Hospital. Dr. Shapiro received a B.A. from Harvard College and an M.D. from New York University School of Medicine. Dr. Shapiro has been a member of our scientific advisory board since December 1999.</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Richard N. Zare, Ph.D. </w:t>
      </w:r>
      <w:r>
        <w:rPr>
          <w:rFonts w:ascii="Arial" w:cs="Arial" w:eastAsia="Arial" w:hAnsi="Arial"/>
          <w:sz w:val="18"/>
          <w:szCs w:val="18"/>
          <w:color w:val="auto"/>
        </w:rPr>
        <w:t>is the Marguerite Blake Wilbur Professor of Natural Science and chair of the chemistry department at Stanford University. He is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compete with both established and development stage life science companies that design, manufacture and market instruments for gene expression analysis, genotyping, other nucleic acid detection and additional applications.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for gene expression, genotyping, and/or sequencing that compete in certain segments of the market in which we sell our products. In addition, a number of other companies and academic groups are in the process of developing novel technologies for life science markets.</w:t>
      </w:r>
    </w:p>
    <w:p>
      <w:pPr>
        <w:spacing w:after="0" w:line="14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life science automation industry is highly competitive and expected to grow more competitive with the increasing knowledge gained from ongoing research and development. Many of our competitors are either publicly traded or are divisions of publicly traded companies and enjoy several competitive advantages over us, including:</w:t>
      </w:r>
    </w:p>
    <w:p>
      <w:pPr>
        <w:spacing w:after="0" w:line="59"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broader product lines and product packages;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larger sales forces;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larger and more geographically dispersed customer support organization;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greater resources dedicated to marketing efforts;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better established and larger scale manufacturing capability;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greater resources and longer experience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target markets include:</w:t>
      </w:r>
    </w:p>
    <w:p>
      <w:pPr>
        <w:spacing w:after="0" w:line="90"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of capital equipment and supplies;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flexibility and ease of 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The regular introduction of new and innovative offerings is necessary to continue to differentiate our company from other, larger enterprises. Additionally, a well staffed commercial team “in the field” is required to successfully communicate the advantages of our products and overcome potential obstacles acceptance of our products. In addition ongoing collaborations and partnerships with key opinion leaders in the genetics fields are desirable to demonstrate both innovation and applicability of our products. These relationships create the need for retention of a large and talented specialized staff, and occasionally require the placement of products or supplies on a temporary basis at a customer facility to demonstrate applicability of our tool to a specific scientific application.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Strategy and Position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 We have also entered into additional exclusive and non-exclusive licenses for related technologies from various companies and academic institutions.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microfluidic systems.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developed our own portfolio of issued patents and patent applications directed at commercial products and technologies in development. For example, in part because of our pioneering commercialization efforts in the field of digital PCR, we have 14 patents and patent applications pending relating to devices, techniques and applications for digital PC, including methodologies for copy number variation and noninvasive prenatal diagnostics. We have additional patents and patent filings cell culture and single-cell isolation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analysis devices and associated methodologies, high density and reusable genotyping and gene expression chips and massive multiplexing techniques for samples and assays in these chips, sample processing and sample preparation chips and encoding technology for use with next-generation sequencers, and associated instrumentation and software for controlling and reading our chips and analyzing the data obtained from them.</w:t>
      </w:r>
    </w:p>
    <w:p>
      <w:pPr>
        <w:spacing w:after="0" w:line="10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As of November 30, 2010, we own or have licensed 114 issued U.S. patents and 80 issued international patents. There are 230 pending patent applications, including 104 in the United States, 113 international applications and 12 applications filed under the Patent Cooperation Treaty. The U.S. issued patents we have licensed from Caltech expire between 2017 and 2025; the U.S. issued patents we have licensed from other parties expire between 2012 and 2029.</w:t>
      </w:r>
    </w:p>
    <w:p>
      <w:pPr>
        <w:spacing w:after="0" w:line="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several significant exclusive, co-exclusive, and non-exclusive licenses to patents and patent applications owned by various academic institutions and have additional intellectual property agreements with a range of institutions and companies.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license agreement with Caltech provides us with an exclusive, worldwide license to certain patents and related intellectual property, as well as the right to prosecute licensed patent filings worldwide at our expense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we agreed to pay to Caltech royalties based on sales revenues of licensed products on a country-by-country basis with a minimum annual royalty. The license agreement will terminate as to each country and licensed product upon expiration of the last-to-expire patent covering licensed products in each country.</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such patent rights are necessary to practice other Harvard University patent rights exclusively licensed to us which are also being licensed. We have issued shares of our common stock to Harvard and we agreed to pay to Harvard royalties based on sales revenues of licensed products on a country-by-country basis with a minimum annual royalty.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Pursuant to its authority under the Federal Food, Drug and Cosmetic Act, or FFDCA, FDA has jurisdiction over medical devices, which are defined to include, among other things,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in the diagnosis of disease or other conditions, they do not fit the definition of a medical device under the FFDCA and thus are not subject to regulation by the U.S. Food and Drug Administration, or FDA, as medical devices. In particular, while FDA regulations require that research only products be labeled, “For Research Use Only. Not for use in diagnostic procedures”, the regulations do not subject such products to FDA’s pre- and post-market controls for medical devices. However, in the future, certain of our products or related applications could become subject to regulation as medical devices by FDA.</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example, if we wish to label and market our products for use in performing clinical diagnostics, thus subjecting them to regulation by FDA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products for pre-market review by the FDA, we may be required to delay marketing while we obtain premarket clearance or approval from the FDA. There would be no assurance that we could ever obtain such clearance or approval.</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Changes to a device that have received PMA approval typically require a new PMA or PMA supplement. Changes to a device that received 510(k) clearance which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and may disagree. If the FDA disagreed with our determination not to seek a new 510(k) clearance for a change to a previously marketed product,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significant regulatory fines or penalties, seizure or injunctive action, or criminal prosecution.</w:t>
      </w:r>
    </w:p>
    <w:p>
      <w:pPr>
        <w:spacing w:after="0" w:line="118"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some cases, our customers or collaborators may use our products in their own LDTs or in other FDA-regulated products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w:t>
      </w:r>
    </w:p>
    <w:p>
      <w:pPr>
        <w:spacing w:after="0" w:line="10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are currently developing a microfluidic system with Novartis V&amp;D for NIPD for fetal aneuploidies. Our system is in its early stages of development and we have not made any submissions to the FDA regarding the system or determined whether FDA clearance or approval will be required.</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26" w:lineRule="exact"/>
        <w:rPr>
          <w:sz w:val="20"/>
          <w:szCs w:val="20"/>
          <w:color w:val="auto"/>
        </w:rPr>
      </w:pPr>
    </w:p>
    <w:p>
      <w:pPr>
        <w:ind w:left="780" w:right="72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Quality System Regulation, which covers the methods and documentation of the design, testing, control, manufacturing, labeling, quality assurance, packaging, storage and shipping of our product;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medical device reporting, or MDR,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correction and removal regulations;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post-market surveillance regulations, which include restrictions on marketing and promotion.</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would need to continue to invest significant time and other resources to ensure ongoing compliance with FDA quality system regulations and other post-market regulatory requirements.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1"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recall or seizure 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clearance or approval, or failure to obtain approval or clearance of future product candidates or product modifications;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labeling and promotion;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warning letters, fines, or injunctions;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previously granted clearances or approvals;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International sales of medical devices are subject to foreign government regulations, which vary substantially from country to country. The primary regulatory environment in Europe is that of the European Union, or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w:t>
      </w:r>
    </w:p>
    <w:p>
      <w:pPr>
        <w:spacing w:after="0" w:line="12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September 30, 2010, we had 198 employees, of which 60 work in research and development, 31 work in general and administrative, 48 work in manufacturing and 59 work in sales and marketing.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employees are represented by a labor union or are the subject of a collective bargaining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Environmental Matters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lease approximately 30,000 square feet of office and laboratory space at our headquarters in South San Francisco, California under a lease that expires in April 2015, approximately 28,000 square feet of manufacturing and office space at our facility in Singapore under leases with varying expiration dates from October 2011 through July 2013. In addition, we lease office space in Paris, France, and Tokyo and Osaka, Japan on a month-to-month basis. We believe that our existing office, laboratory and manufacturing space, together with additional space and facilities available on commercially reasonable terms, will be sufficient to meet our needs for at least the next two years. We intend to use a portion of the proceeds from this offering for improvements to these facilities.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officers and directors, and their ages and positions as of November 30, 2010 are as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02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c>
          <w:tcPr>
            <w:tcW w:w="2800" w:type="dxa"/>
            <w:vAlign w:val="bottom"/>
          </w:tcPr>
          <w:p>
            <w:pPr>
              <w:spacing w:after="0"/>
              <w:rPr>
                <w:sz w:val="14"/>
                <w:szCs w:val="14"/>
                <w:color w:val="auto"/>
              </w:rPr>
            </w:pPr>
          </w:p>
        </w:tc>
      </w:tr>
      <w:tr>
        <w:trPr>
          <w:trHeight w:val="201"/>
        </w:trPr>
        <w:tc>
          <w:tcPr>
            <w:tcW w:w="400" w:type="dxa"/>
            <w:vAlign w:val="bottom"/>
          </w:tcPr>
          <w:p>
            <w:pPr>
              <w:spacing w:after="0" w:line="201" w:lineRule="exact"/>
              <w:rPr>
                <w:sz w:val="20"/>
                <w:szCs w:val="20"/>
                <w:color w:val="auto"/>
              </w:rPr>
            </w:pPr>
            <w:r>
              <w:rPr>
                <w:rFonts w:ascii="Arial" w:cs="Arial" w:eastAsia="Arial" w:hAnsi="Arial"/>
                <w:sz w:val="18"/>
                <w:szCs w:val="18"/>
                <w:color w:val="auto"/>
                <w:w w:val="80"/>
              </w:rPr>
              <w:t>Gajus</w:t>
            </w:r>
          </w:p>
        </w:tc>
        <w:tc>
          <w:tcPr>
            <w:tcW w:w="4020" w:type="dxa"/>
            <w:vAlign w:val="bottom"/>
          </w:tcPr>
          <w:p>
            <w:pPr>
              <w:ind w:left="60"/>
              <w:spacing w:after="0" w:line="201" w:lineRule="exact"/>
              <w:rPr>
                <w:sz w:val="20"/>
                <w:szCs w:val="20"/>
                <w:color w:val="auto"/>
              </w:rPr>
            </w:pPr>
            <w:r>
              <w:rPr>
                <w:rFonts w:ascii="Arial" w:cs="Arial" w:eastAsia="Arial" w:hAnsi="Arial"/>
                <w:sz w:val="18"/>
                <w:szCs w:val="18"/>
                <w:color w:val="auto"/>
              </w:rPr>
              <w:t>V. Worthington</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w w:val="99"/>
              </w:rPr>
              <w:t>40</w:t>
            </w:r>
          </w:p>
        </w:tc>
        <w:tc>
          <w:tcPr>
            <w:tcW w:w="160" w:type="dxa"/>
            <w:vAlign w:val="bottom"/>
          </w:tcPr>
          <w:p>
            <w:pPr>
              <w:spacing w:after="0"/>
              <w:rPr>
                <w:sz w:val="17"/>
                <w:szCs w:val="17"/>
                <w:color w:val="auto"/>
              </w:rPr>
            </w:pPr>
          </w:p>
        </w:tc>
        <w:tc>
          <w:tcPr>
            <w:tcW w:w="36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President, Chief Executive Officer and Director</w:t>
            </w:r>
          </w:p>
        </w:tc>
        <w:tc>
          <w:tcPr>
            <w:tcW w:w="2800" w:type="dxa"/>
            <w:vAlign w:val="bottom"/>
          </w:tcPr>
          <w:p>
            <w:pPr>
              <w:spacing w:after="0"/>
              <w:rPr>
                <w:sz w:val="17"/>
                <w:szCs w:val="17"/>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54</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53</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Chief Business Officer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Robert C. Jones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55</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Research and Development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59</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Vice President, Legal Affairs, General Counsel and Secretary</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Mai Chan (Grace) Yow</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w w:val="89"/>
              </w:rPr>
              <w:t>Vice President, Worldwide Manufacturing and Managing Director of Fluidigm Singapore</w:t>
            </w:r>
          </w:p>
        </w:tc>
      </w:tr>
      <w:tr>
        <w:trPr>
          <w:trHeight w:val="216"/>
        </w:trPr>
        <w:tc>
          <w:tcPr>
            <w:tcW w:w="4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Pte. Ltd.</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Samuel Colella(2)(3)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71</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Jeremy Loh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Kenneth Nussbacher(1)(3)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57</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Raymond J. Whitaker(1)(2)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63</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John A. Young(1)(3)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78</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460" w:hanging="452"/>
        <w:spacing w:after="0" w:line="221"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460" w:hanging="452"/>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Member of the Nominating and Governance Committee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and has served as our President and Chief Executive Officer and a Director since our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1999. From May 1994 to April 1999, Mr. Worthington held various staff and management positions at Actel Corporation, a public semiconductor corporation. Mr. Worthington received a B.S. in Physics and an M.S. in Electrical Engineering from Stanford University.</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Vikram Jog </w:t>
      </w:r>
      <w:r>
        <w:rPr>
          <w:rFonts w:ascii="Arial" w:cs="Arial" w:eastAsia="Arial" w:hAnsi="Arial"/>
          <w:sz w:val="16"/>
          <w:szCs w:val="16"/>
          <w:color w:val="auto"/>
        </w:rPr>
        <w:t>has served as our Chief Financial Officer since February 2008. From April 2005 to February 2008, Mr. Jog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for XDx, Inc., a molecular diagnostics company. From March 2003 to April 2005, Mr. Jog was a Vice President of Applera Corporation, a life science company that is now part of Life Technologies, Inc.,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Fredric Walder </w:t>
      </w:r>
      <w:r>
        <w:rPr>
          <w:rFonts w:ascii="Arial" w:cs="Arial" w:eastAsia="Arial" w:hAnsi="Arial"/>
          <w:sz w:val="18"/>
          <w:szCs w:val="18"/>
          <w:color w:val="auto"/>
        </w:rPr>
        <w:t>has served as our Chief Business Officer since May 2010. From August 1992 to April 2010 he served in various senior executive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Thermo Fisher Scientific,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Robert C. Jones </w:t>
      </w:r>
      <w:r>
        <w:rPr>
          <w:rFonts w:ascii="Arial" w:cs="Arial" w:eastAsia="Arial" w:hAnsi="Arial"/>
          <w:sz w:val="16"/>
          <w:szCs w:val="16"/>
          <w:color w:val="auto"/>
        </w:rPr>
        <w:t>has served as our Executive Vice President, Research and Development since August 2005. From August 1984 to July 2005, Mr. Jones</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William M. Smith </w:t>
      </w:r>
      <w:r>
        <w:rPr>
          <w:rFonts w:ascii="Arial" w:cs="Arial" w:eastAsia="Arial" w:hAnsi="Arial"/>
          <w:sz w:val="18"/>
          <w:szCs w:val="18"/>
          <w:color w:val="auto"/>
        </w:rPr>
        <w:t>has served as our Vice President, Legal Affairs and General Counsel as well as our Secretary since May 2000 and served as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from May 2000 to April 2008. 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Mai Chan (Grace) Yow </w:t>
      </w:r>
      <w:r>
        <w:rPr>
          <w:rFonts w:ascii="Arial" w:cs="Arial" w:eastAsia="Arial" w:hAnsi="Arial"/>
          <w:sz w:val="16"/>
          <w:szCs w:val="16"/>
          <w:color w:val="auto"/>
        </w:rPr>
        <w:t>has served as our Vice President, Worldwide Manufacturing, and Managing Director, Fluidigm Singapore Pte. Ltd., our Singapore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since March 2006.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Samuel Colella </w:t>
      </w:r>
      <w:r>
        <w:rPr>
          <w:rFonts w:ascii="Arial" w:cs="Arial" w:eastAsia="Arial" w:hAnsi="Arial"/>
          <w:sz w:val="18"/>
          <w:szCs w:val="18"/>
          <w:color w:val="auto"/>
        </w:rPr>
        <w:t>has served as a member and Chairman of our board of directors since July 2000. Mr. Colella is a managing director of Versant Ventures, 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venture capital firm he co-founded in 1999, and has been a general partner of Institutional Venture Partners since 1984. Mr. Colella is currently a member of the board of directors of Alexza Pharmaceuticals, Inc., Genomic Health, Inc. and Jazz Pharmaceuticals, Inc. and served on the board of directors of Solta Medical, Inc. from 1997 to 2007 and Symyx Technology, Inc. from 1997 to 2007. Mr. Colella received a B.S. in business and engineering from the University of Pittsburgh and an M.B.A. from Stanford University. We believe that Mr. Colella’s qualifications to serve on our board and as Chairman include his broad understanding of the life science industry and his extensive experience working with emerging private and public companies, including prior service as chairman of boards of directors.</w:t>
      </w:r>
    </w:p>
    <w:p>
      <w:pPr>
        <w:spacing w:after="0" w:line="14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Jeremy Loh </w:t>
      </w:r>
      <w:r>
        <w:rPr>
          <w:rFonts w:ascii="Arial" w:cs="Arial" w:eastAsia="Arial" w:hAnsi="Arial"/>
          <w:sz w:val="18"/>
          <w:szCs w:val="18"/>
          <w:color w:val="auto"/>
        </w:rPr>
        <w:t>has served as a member of our board of directors since November 2010. Dr. Loh is a Vice President (Investments), San Francisco Centre for</w:t>
      </w:r>
      <w:r>
        <w:rPr>
          <w:rFonts w:ascii="Arial" w:cs="Arial" w:eastAsia="Arial" w:hAnsi="Arial"/>
          <w:sz w:val="18"/>
          <w:szCs w:val="18"/>
          <w:i w:val="1"/>
          <w:iCs w:val="1"/>
          <w:color w:val="auto"/>
        </w:rPr>
        <w:t xml:space="preserve"> </w:t>
      </w:r>
      <w:r>
        <w:rPr>
          <w:rFonts w:ascii="Arial" w:cs="Arial" w:eastAsia="Arial" w:hAnsi="Arial"/>
          <w:sz w:val="18"/>
          <w:szCs w:val="18"/>
          <w:color w:val="auto"/>
        </w:rPr>
        <w:t>EDB Investments Pte Ltd, Singapore, which he joined in 2007. Dr. Loh had his postdoctoral training as a research scientist at Agency for Science, Technology and Research, or A*STAR, Singapore and Imperial College London. He has a Doctorate in Mechanical Engineering from the University of Southampton, U.K., and a Masters in Mechanical Engineering from Nanyang Technological University, Singapore. We believe Dr. Loh’s qualifications to serve on our board include his background as a bioengineer, his experience in developing micro and nano devices and his experience managing investments in biomedical sciences companies for EDB Investments.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Kenneth J. Nussbacher </w:t>
      </w:r>
      <w:r>
        <w:rPr>
          <w:rFonts w:ascii="Arial" w:cs="Arial" w:eastAsia="Arial" w:hAnsi="Arial"/>
          <w:sz w:val="16"/>
          <w:szCs w:val="16"/>
          <w:color w:val="auto"/>
        </w:rPr>
        <w:t>has been a member of our board of directors since July 2003. From 2000 to 2009, Mr. Nussbacher served as an Affymetrix Fellow,</w:t>
      </w:r>
      <w:r>
        <w:rPr>
          <w:rFonts w:ascii="Arial" w:cs="Arial" w:eastAsia="Arial" w:hAnsi="Arial"/>
          <w:sz w:val="16"/>
          <w:szCs w:val="16"/>
          <w:i w:val="1"/>
          <w:iCs w:val="1"/>
          <w:color w:val="auto"/>
        </w:rPr>
        <w:t xml:space="preserve"> </w:t>
      </w:r>
      <w:r>
        <w:rPr>
          <w:rFonts w:ascii="Arial" w:cs="Arial" w:eastAsia="Arial" w:hAnsi="Arial"/>
          <w:sz w:val="16"/>
          <w:szCs w:val="16"/>
          <w:color w:val="auto"/>
        </w:rPr>
        <w:t>a non-executive employee 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Mr. Nussbacher also served on the board of directors of Symyx Technology, Inc. from 1995 to 2008 and XenoPort, Inc. from 2000 to 2009. He received a B.S. in Physics from Cooper Union and a J.D. from Duke University. We believe Mr. Nussbacher’s qualifications to serve on our board include his understanding of the genomic research market and his experience as a chief financial officer, a board member with other public and private companies and as an executive responsible for business, financial, intellectual property and other legal matters.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Raymond J. Whitaker </w:t>
      </w:r>
      <w:r>
        <w:rPr>
          <w:rFonts w:ascii="Arial" w:cs="Arial" w:eastAsia="Arial" w:hAnsi="Arial"/>
          <w:sz w:val="16"/>
          <w:szCs w:val="16"/>
          <w:color w:val="auto"/>
        </w:rPr>
        <w:t>has been a member of our board of directors since December 2008. He has been a general partner, since its inception in</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January 2000, of EuclidSR Partners, L.P., a venture capital firm that focuses on life sciences and information technology companies. From January 1997 to July 2003, he served as Vice President of S.R. One, the venture capital subsidiary of GlaxoSmithKline. Prior to that, for over fifteen years, he had held senior corporate and business development positions at SmithKline Beecham (USA),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Recordati SpA (Italy) and Laboratoires Delagrange (France). Between 1997 and 2008, he served on the boards of sixteen venture backed companies, including Avalon Pharmaceuticals, Hypnion, Kosan Biosciences, Memory Pharmaceuticals, Rib-X Pharmaceuticals, Sequenom and Xenogen, and five companies in the UK. Dr. Whitaker received a Ph.D. in biochemistry and an M.B.A from the National University of Ireland. We believe that Mr. Whitaker’s qualifications to serve on our Board include his experience working with life science companies both as an executive and an investor.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Corporation and has served as our President and Chief Executive Officer and a Director since our</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inception in June 1999. We believe that Mr. Worthington’s qualifications to serve on our board include his understanding of our business, operations and strategy.</w:t>
      </w:r>
    </w:p>
    <w:p>
      <w:pPr>
        <w:spacing w:after="0" w:line="1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John A. Young </w:t>
      </w:r>
      <w:r>
        <w:rPr>
          <w:rFonts w:ascii="Arial" w:cs="Arial" w:eastAsia="Arial" w:hAnsi="Arial"/>
          <w:sz w:val="16"/>
          <w:szCs w:val="16"/>
          <w:color w:val="auto"/>
        </w:rPr>
        <w:t>has been a member of our board of directors since March 2001. Mr. Young retired as President and Chief Executive Officer of Hewlett-Packard Company, a diversified electronics manufacturer, in October 1992, where he had served as President and Chief Executive Officer since 1978. Mr. Young served as a director of Affymetrix, Inc. from 1992 until 2010, Vermillion, Inc., a molecular diagnostics company, from 1994 to 2008, and is currently a director of Nanosys, Inc., a nanotechnology company. Mr. Young received a B.S. in Electrical Engineering from Oregon State University and an M.B.A. from Stanford University. We believe that Mr. Young’s qualifications to serve on our board include his extensive management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of directors is currently composed of six members. Immediately prior to this offering, our board of directors will be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 Annual Meeting of Stockholders to be held during the years 2011 for the Class I directors, 2012 for the Class II directors and 2013 for the Class III directors.</w:t>
      </w:r>
    </w:p>
    <w:p>
      <w:pPr>
        <w:spacing w:after="0" w:line="32"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Class I directors will be Raymond J. Whitaker and Jeremy Loh.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Class II directors will be John Young and Kenneth Nussbacher.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Class III directors will be Samuel Colella and Gajus Worthington.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amended and restated certificate of incorporation and bylaws provide that the number of our directors shall be fixed from time to time by a resolution of the majority of our board of directors. Each officer serves at the discretion of the board of directors and holds office until his successor is duly elected and qualified or until his or her earlier resignation or removal. There are no family relationships among any of our directors or executive officers.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 See “Description of Capital Stock—Anti-Takeover Effects of Delaware Law and Our Certificate of Incorporation and Bylaws” for a discussion of other anti-takeover provisions found in our certificate of incorporation.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closing of this offering, our common stock will be listed on The NASDAQ Global Market. Under the rules of The NASDAQ Stock Market LLC, independent directors must comprise a majority of a listed company’s board of directors within a specified period of the closing of its initial offering. In addition, the rules of The NASDAQ Stock Market LLC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Under the rules of The NASDAQ Stock Market LLC, a director will only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qualify as an “independent director” if, the company’s board of directors affirmatively determines that the person does not have a relationship that would interfere with the exercise of independent judgment in carrying out the responsibilities of a director.</w:t>
      </w:r>
    </w:p>
    <w:p>
      <w:pPr>
        <w:spacing w:after="0" w:line="132"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December 2010, 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none of Dr. Whitaker or Messrs. Colella, Nussbacher and Young, representing four of our six directors, has a relationship that would interfere with the exercise of independent judgment in carrying out the responsibilities of a director and that each of these directors is “independent” as that term is defined under the rules of The NASDAQ Stock Market LLC.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Board has an audit committee, a compensation committee and a nominating and governance committee, each of which has the composition and the responsibilities described below.</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oversees our corporate accounting and financial reporting process and assists the Board in monitoring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systems and our legal and regulatory compliance. Our audit committee is authorized to, among other things:</w:t>
      </w:r>
    </w:p>
    <w:p>
      <w:pPr>
        <w:spacing w:after="0" w:line="51"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 the work of our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 engagements of the independent auditors to render any audit or permissible non-audit services;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the qualifications and independence of the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auditors on our engagement team as required by law;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results of our annual audit, our quarterly financial statements, and our publicly filed reports.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members of our audit committee are Kenneth Nussbacher, Raymond Whitaker and John Young. Mr. Nussbacher is our audit committee chairman. Our board of directors has concluded that the composition of our audit committee meets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Our compensation committee oversees our corporate compensation programs. Our compensation committee is authorized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w:t>
      </w:r>
    </w:p>
    <w:p>
      <w:pPr>
        <w:spacing w:after="0" w:line="51"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and recommend policy relating to compensation and benefits of our officers and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members of our compensation committee are Samuel Colella and Raymond Whitaker. Mr. Colella is the chairman of our compensation committee. Our board of directors has determined 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Nominating and Governance Committee</w:t>
      </w:r>
      <w:r>
        <w:rPr>
          <w:rFonts w:ascii="Arial" w:cs="Arial" w:eastAsia="Arial" w:hAnsi="Arial"/>
          <w:sz w:val="18"/>
          <w:szCs w:val="18"/>
          <w:color w:val="auto"/>
        </w:rPr>
        <w:t>. Our nominating and governance committee oversees and assists our Board of Directors in reviewing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recommending nominees for election as directors. The nominating and governance committee will also:</w:t>
      </w:r>
    </w:p>
    <w:p>
      <w:pPr>
        <w:spacing w:after="0" w:line="51"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the board and its committees;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assess the performance of members of the board and make recommendations regarding committee and chair assignments;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 desired qualifications for board membership and conduct searches for potential Board members;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members of our nominating and governance committee are Samuel Colella, Kenneth Nussbacher and John Young. Mr. Colella is our nominating and governance committee chairman. Our board of directors has determined that each member of our nominating and governance committee is independent within the meaning of the independent director guidelines of The NASDAQ Stock Market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concerning compensation paid or accrued for services rendered to us by members of our board of directors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2010. The table excludes Mr. Worthington, who is a named executive officer, and did not receive any compensation from us in his role as a director in 2010.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Fees Earned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6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or Paid in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9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Cash ($)</w:t>
            </w:r>
          </w:p>
        </w:tc>
        <w:tc>
          <w:tcPr>
            <w:tcW w:w="6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8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xml:space="preserve">Total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00" w:type="dxa"/>
            <w:vAlign w:val="bottom"/>
          </w:tcPr>
          <w:p>
            <w:pPr>
              <w:spacing w:after="0"/>
              <w:rPr>
                <w:sz w:val="14"/>
                <w:szCs w:val="14"/>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Lawrence Chin(2)</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Samuel D. Colella</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33,300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54,150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Michael Hunkapiller(3)</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Jeremy Loh</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833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Raymond J. Whitaker</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John A. Young</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200" w:hanging="452"/>
        <w:spacing w:after="0" w:line="225"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the stock or option award calculated in accordance with Financial Accounting Standards Board Accounting Standards Codification Topic 718, Stock Compensation, as amended, without regard to estimated forfeitures, or, with respect to re-priced options, the incremental fair value as computed in accordance with FASB ASC Topic 718. See Note 10 of the notes to our audited consolidated financial statements for a discussion of valuation assumptions made in determining the grant date fair value and compensation expense of our stock options.</w:t>
      </w:r>
    </w:p>
    <w:p>
      <w:pPr>
        <w:spacing w:after="0" w:line="2"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Resigned from the board of director on November 9, 2010.</w:t>
      </w:r>
    </w:p>
    <w:p>
      <w:pPr>
        <w:ind w:left="460" w:hanging="452"/>
        <w:spacing w:after="0"/>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Resigned from the board of director on May 6,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number of shares subject to stock options outstanding at December 31, 2010 for each non-employee director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Aggregate Number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 Outstanding as of</w:t>
            </w:r>
          </w:p>
        </w:tc>
        <w:tc>
          <w:tcPr>
            <w:tcW w:w="0" w:type="dxa"/>
            <w:vAlign w:val="bottom"/>
          </w:tcPr>
          <w:p>
            <w:pPr>
              <w:spacing w:after="0"/>
              <w:rPr>
                <w:sz w:val="1"/>
                <w:szCs w:val="1"/>
                <w:color w:val="auto"/>
              </w:rPr>
            </w:pPr>
          </w:p>
        </w:tc>
      </w:tr>
      <w:tr>
        <w:trPr>
          <w:trHeight w:val="161"/>
        </w:trPr>
        <w:tc>
          <w:tcPr>
            <w:tcW w:w="9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Chin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Samuel D. Colella</w:t>
            </w:r>
          </w:p>
        </w:tc>
        <w:tc>
          <w:tcPr>
            <w:tcW w:w="1600" w:type="dxa"/>
            <w:vAlign w:val="bottom"/>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Hunkapiller</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Jeremy Loh</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Raymond J. Whitaker</w:t>
            </w:r>
          </w:p>
        </w:tc>
        <w:tc>
          <w:tcPr>
            <w:tcW w:w="1600" w:type="dxa"/>
            <w:vAlign w:val="bottom"/>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Young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Pre-Offering</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board of directors adopted a compensation policy for non-employee directors on January 28, 2010 providing for an annual retainer of $10,000 for each non-employee director’s service as a member of the board and a separate $10,000 annual leadership retainer for service as chairman of the board or a committee of the board effective as of January 1, 2009. The policy also provided that each non-employee director will be automatically granted a stock option to purchase 8,670 shares of our common stock each year. Such stock option grants shall vest 1/12</w:t>
      </w:r>
      <w:r>
        <w:rPr>
          <w:rFonts w:ascii="Arial" w:cs="Arial" w:eastAsia="Arial" w:hAnsi="Arial"/>
          <w:sz w:val="11"/>
          <w:szCs w:val="11"/>
          <w:color w:val="auto"/>
        </w:rPr>
        <w:t>th</w:t>
      </w:r>
      <w:r>
        <w:rPr>
          <w:rFonts w:ascii="Arial" w:cs="Arial" w:eastAsia="Arial" w:hAnsi="Arial"/>
          <w:sz w:val="18"/>
          <w:szCs w:val="18"/>
          <w:color w:val="auto"/>
        </w:rPr>
        <w:t xml:space="preserve"> per month, subject to such non-employee director’s continued service on the board, such that the grant will be fully vested on the first anniversary of the vesting commencement date. These grants were made to each non-employee director on January 28, 2010.</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Post-Offering</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Upon consummation of our initial public offering, non-employee directors will receive an annual retainer of $20,000. In addition, non-employee directors will receive an annual retainer of $10,000 for audit committee service, $7,000 for compensation committee service and $5,000 for nominating and governance committee service. The chairman of the board will be paid an additional annual retainer of $10,000. The chairman of the audit committee will be paid an additional annual retainer of $5,000. The chairman of the compensation committee will be paid an additional annual retainer of $3,500. The chairman of the nominating and governance committee will be paid an additional annual retainer of $2,500.</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outside director equity compensation policy was adopted by our board of directors on December 16, 2010 and will become effective immediately upon the completion of this offering. The policy is intended to formalize the granting of equity compensation to our non-employee directors under the 2011 Equity Incentive Plan. Non-employee directors may receive all types of awards under the 2011 Equity Incentive Plan, including discretionary awards not covered by the policy, except for incentive stock options. The policy provides for automatic and nondiscretionary grants of nonstatutory stock options subject to the terms and conditions of the policy and the 2011 Equity Incentive Plan.</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policy, we will automatically grant an option to purchase 30,000 shares of our common stock to anyone who becomes a non-employee director following the effective date of the registration statement filed by us and declared effective with respect to any class of our securities, on the date such person first becomes a non-employee director. An employee director who subsequently ceases to be an employee, but remains a director, will not receive such an initial award.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each non-employee director will be automatically granted an annual stock option to purchase 12,000 shares of our common stock on the date of each annual meeting beginning on the date of the first annual meeting that is held at least six months after such non-employee director received his or her initial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exercise price of all stock options granted pursuant to the policy will be equal to or greater than the fair market value of our common stock on the date of grant. The term of all stock options will be 10 years. Subject to the adjustment provisions of the 2011 Equity Incentive Plan, initial awards will vest as to 25% of the shares subject to such awards on each anniversary of the date of grant, provided such non-employee director continues to serve as a director through each such date. Subject to the adjustment provisions of the 2011 Equity Incentive Plan, the annual awards will vest on the date of the next annual meeting of our stockholders held after the date of grant, provided such non-employee director continues to serve as a director through such date.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administrator of the 2011 Equity Incentive Plan in its discretion may change or otherwise revise the terms of awards granted under the outside director equity compensation policy.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Employee Conduct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December 2010, we adopted ethics and employee conduct that is applicable to all of our employees, officers and directors effective upon completion of this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None of the members of our compensation committee is or was, during 2010,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seek to have a compensation program that supports a team ethic among our management, fairly rewards executives for corporate and individual performance and provides incentives for executives to meet or exceed our short and long term goals. The primary components of our compensation program are base salary, an annual incentive bonus plan, and option awards. In addition, we provide our executive officers with severance and change of control benefits and typical health and other benefits that are available generally to all salaried employees. Historically our compensation committee has had principal responsibility for evaluating executive compensation and either the compensation committee or the independent members of our board of directors were responsible for final approval. After this offering, we expect our compensation committee will have principal responsibility for approving executive compensation following consultations with our independent directors. In addition, to comply with Rule 16b-3 of the Securities Exchange Act of 1934, we expect equity incentive for executive officers to be approved, on recommendation of the compensation committee, by a committee or our directors who qualify as “non-employee directors” pursuant to the rule.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2010, our named executive officers were:</w:t>
      </w:r>
    </w:p>
    <w:p>
      <w:pPr>
        <w:spacing w:after="0" w:line="90"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Gajus Worthington, President and Chief Executive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Vikram Jog, Chief Financial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Fredric Walder, Chief Business Officer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William Smith, Vice President, Legal Affairs and General Counsel,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Robert Jones, Executive Vice President, Research and Development.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Objectives and Principles of Our Executive Compensation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primary goal of our executive compensation program is to ensure that we hire and retain talented and experienced executives who are motivated toward achieving or exceeding our short-term and long-term corporate goals. As a starting point, we believe that it is critical that our executive officers work together as a team and look beyond departmental lines to achieve overall corporate goals rather than focusing exclusively on individual departmental objectives. Our compensation philosophy is team oriented and our success is dependent on what our management team can accomplish together. Therefore, we seek to provide our named executive officers with comparable levels of base salary, bonuses and annual equity awards that are based largely on overall company 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the form and amount of compensation payable to our named executive officers, we are guided by the following objectives and principles:</w:t>
      </w:r>
    </w:p>
    <w:p>
      <w:pPr>
        <w:spacing w:after="0" w:line="113" w:lineRule="exact"/>
        <w:rPr>
          <w:sz w:val="20"/>
          <w:szCs w:val="20"/>
          <w:color w:val="auto"/>
        </w:rPr>
      </w:pPr>
    </w:p>
    <w:p>
      <w:pPr>
        <w:ind w:left="780" w:right="40" w:hanging="326"/>
        <w:spacing w:after="0" w:line="29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Team oriented approach to establishing compensation levels</w:t>
      </w:r>
      <w:r>
        <w:rPr>
          <w:rFonts w:ascii="Arial" w:cs="Arial" w:eastAsia="Arial" w:hAnsi="Arial"/>
          <w:sz w:val="16"/>
          <w:szCs w:val="16"/>
          <w:color w:val="auto"/>
        </w:rPr>
        <w:t>. Our team oriented approach is demonstrated by the fact that the salaries of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are very similar. While the compensation level of Mr. Worthington, our Chief Executive Officer, or CEO, is marginally higher than our other executive officers, it is based on our compensation philosophy of providing our named executive officers with comparable levels of compensation, rather than on levels reported in market surveys of other companies in the life science industry.</w:t>
      </w:r>
    </w:p>
    <w:p>
      <w:pPr>
        <w:spacing w:after="0" w:line="31" w:lineRule="exact"/>
        <w:rPr>
          <w:rFonts w:ascii="Arial" w:cs="Arial" w:eastAsia="Arial" w:hAnsi="Arial"/>
          <w:sz w:val="16"/>
          <w:szCs w:val="16"/>
          <w:color w:val="auto"/>
        </w:rPr>
      </w:pPr>
    </w:p>
    <w:p>
      <w:pPr>
        <w:ind w:left="780" w:hanging="326"/>
        <w:spacing w:after="0" w:line="28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relate directly to performance and incentive compensation should constitute a significant portion of total compensation.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goals and, to a lesser extent, on achieving departmental performance objectives. Long term elements of compensation have historically been limited to stock options with multi-year vesting designed to retain executives and align their long term interests with those of our stockholders. In 2008, we began to grant stock options with performance related vesting to more closely align the options awards with performance.</w:t>
      </w:r>
    </w:p>
    <w:p>
      <w:pPr>
        <w:spacing w:after="0" w:line="38" w:lineRule="exact"/>
        <w:rPr>
          <w:rFonts w:ascii="Arial" w:cs="Arial" w:eastAsia="Arial" w:hAnsi="Arial"/>
          <w:sz w:val="16"/>
          <w:szCs w:val="16"/>
          <w:color w:val="auto"/>
        </w:rPr>
      </w:pPr>
    </w:p>
    <w:p>
      <w:pPr>
        <w:ind w:left="780" w:right="140" w:hanging="326"/>
        <w:spacing w:after="0" w:line="291"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Align compensation decisions with internal considerations rather than industry benchmarks. </w:t>
      </w:r>
      <w:r>
        <w:rPr>
          <w:rFonts w:ascii="Arial" w:cs="Arial" w:eastAsia="Arial" w:hAnsi="Arial"/>
          <w:sz w:val="16"/>
          <w:szCs w:val="16"/>
          <w:color w:val="auto"/>
        </w:rPr>
        <w:t>We believe that hiring and retaining well performing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is important to our ongoing success. While we have at times reviewed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12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our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board of directors has focused significantly on the affordability of our compensation arrangements. As a result, when weighting forms of compensation, our board of directors and the compensation committee have historically placed greater emphasis on non-cash equity incentive compensation together with base salary.</w:t>
      </w:r>
    </w:p>
    <w:p>
      <w:pPr>
        <w:spacing w:after="0" w:line="8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As a publicly held company, we may periodically engage the services of a compensation consultant to assist us in further aligning our compensation philosophy with our corporate objectives. In addition, in order to attract and retain key executives, we may be required to modify individual executive compensation levels to remain competitive in the market for such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Process and Compensation Committee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January through May 2010, the compensation committee consisted of Messrs. Colella, Nussbacher and Michael Hunkapiller, who was formerly a member of our board of directors. After Mr. Hunkapiller’s resignation from the board, the compensation committee was restructured to consist of Messrs. Colella and Whitaker, each of whom is an independent director under the rules of The NASDAQ Stock Market LLC but is not a “non-employee director” for purposes of Rule 16b-3 under the Securities Exchange Act of 1934, as amended.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compensation committee is responsible for evaluating our compensation structure and goals and individual compensation levels. Depending on the authority granted to it by the board of directors, the compensation committee either approves specific compensation decisions or makes recommendations to our board of directors for consideration and approval by the independent members of the board. The compensation committee makes its compensation recommendations based on input from Mr. Worthington and the judgment of its members based on their tenure and experience in our industry. The compensation committee has the responsibility for formulating, evaluating and recommending to our board of directors the compensation of our executive officers. Historically, our annual compensation review process has been initiated by Mr. Worthington who performs a review of the performance of each executive officer in the prior year and makes proposals regarding the elements of compensation, corporate and individual goals and compensation levels for our executive officers including himself. Mr. Worthington’s proposals for compensation structure, goals and individual compensation levels are typically based on discussions with and directions from members of the compensation committee.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Compensation levels and mix for Mr. Worthington, our Chief Executive Officer, are recommended by the compensation committee based on the committee’s assessment of our overall corporate performance and Mr. Worthington’s contribution to that performance. While Mr. Worthington provides input on his compensation, he does not participate in compensation committee or board deliberations regarding his own compensation. As it does for other members of our executive team, the compensation committee determines Mr. Worthington’s compensation based on achievement of corporate and departmental objectives, his individual performance, and compensation levels of other members of our executive team, rather than attempting to tie Mr. Worthington’s compensation to a specific percentile of CEO compensation reported in market compensation surveys.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any limitations or guidelines that may be adopted by our board of directors in the future, the compensation committee has the authority to approve the grant of stock options or stock purchase rights to individuals eligible for such grants, including officers and directors. The compensation committee met four times during 2009 and three times during 2010.</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compensation committee has the authority under its charter to engage the services of outside advisors, compensation experts and others for assistance and has sole authority to approve the terms of any such engagement. The compensation committee did not engage any such advisors in 2009 and 2010 nor did it rely on any compensation surveys.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and Departmental Performance Goals</w:t>
      </w:r>
    </w:p>
    <w:p>
      <w:pPr>
        <w:spacing w:after="0" w:line="90" w:lineRule="exact"/>
        <w:rPr>
          <w:sz w:val="20"/>
          <w:szCs w:val="20"/>
          <w:color w:val="auto"/>
        </w:rPr>
      </w:pPr>
    </w:p>
    <w:p>
      <w:pPr>
        <w:ind w:right="480" w:firstLine="456"/>
        <w:spacing w:after="0" w:line="286" w:lineRule="auto"/>
        <w:rPr>
          <w:sz w:val="20"/>
          <w:szCs w:val="20"/>
          <w:color w:val="auto"/>
        </w:rPr>
      </w:pPr>
      <w:r>
        <w:rPr>
          <w:rFonts w:ascii="Arial" w:cs="Arial" w:eastAsia="Arial" w:hAnsi="Arial"/>
          <w:sz w:val="16"/>
          <w:szCs w:val="16"/>
          <w:i w:val="1"/>
          <w:iCs w:val="1"/>
          <w:color w:val="auto"/>
        </w:rPr>
        <w:t>2009 Corporate Goals</w:t>
      </w:r>
      <w:r>
        <w:rPr>
          <w:rFonts w:ascii="Arial" w:cs="Arial" w:eastAsia="Arial" w:hAnsi="Arial"/>
          <w:sz w:val="16"/>
          <w:szCs w:val="16"/>
          <w:color w:val="auto"/>
        </w:rPr>
        <w:t>. Our corporate and individual performance goals for each year are formulated by the board of directors with input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and our Chief Executive Officer. For 2009, five corporate goals were established. They were (i) achieving revenue of $32 million;</w:t>
      </w:r>
    </w:p>
    <w:p>
      <w:pPr>
        <w:ind w:right="120" w:firstLine="8"/>
        <w:spacing w:after="0" w:line="292" w:lineRule="auto"/>
        <w:tabs>
          <w:tab w:leader="none" w:pos="2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achieving gross margins of 58% for the year and 65% for the 4th quarter and product margins of 54% for the year and 60% for the 4th quarter; (iii) limiting operating expenditures to $35.3 million; (iv) raising $25 million in funding and (v) generating 600 new customer leads. The compensation committee believed attaining these goals would take a high level of executive performance and that such goals would be very challenging given the difficult economic environment and the need to launch and obtain market acceptance of new products. The committee did not assign weights to these goals when they were approved but instead decided that it would assign weights to them when it determined cash bonuses and performance stock option vesting.</w:t>
      </w:r>
    </w:p>
    <w:p>
      <w:pPr>
        <w:spacing w:after="0" w:line="117" w:lineRule="exact"/>
        <w:rPr>
          <w:sz w:val="20"/>
          <w:szCs w:val="20"/>
          <w:color w:val="auto"/>
        </w:rPr>
      </w:pPr>
    </w:p>
    <w:p>
      <w:pPr>
        <w:ind w:left="460"/>
        <w:spacing w:after="0"/>
        <w:tabs>
          <w:tab w:leader="none" w:pos="2500" w:val="left"/>
        </w:tabs>
        <w:rPr>
          <w:sz w:val="20"/>
          <w:szCs w:val="20"/>
          <w:color w:val="auto"/>
        </w:rPr>
      </w:pPr>
      <w:r>
        <w:rPr>
          <w:rFonts w:ascii="Arial" w:cs="Arial" w:eastAsia="Arial" w:hAnsi="Arial"/>
          <w:sz w:val="18"/>
          <w:szCs w:val="18"/>
          <w:i w:val="1"/>
          <w:iCs w:val="1"/>
          <w:color w:val="auto"/>
        </w:rPr>
        <w:t>2009 Departmental Goals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Departmental goals for 2009 for each of our named executive officers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340" w:type="dxa"/>
            <w:vAlign w:val="bottom"/>
          </w:tcPr>
          <w:p>
            <w:pPr>
              <w:spacing w:after="0"/>
              <w:rPr>
                <w:sz w:val="15"/>
                <w:szCs w:val="15"/>
                <w:color w:val="auto"/>
              </w:rPr>
            </w:pPr>
          </w:p>
        </w:tc>
        <w:tc>
          <w:tcPr>
            <w:tcW w:w="730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2009 Departmental Goals</w:t>
            </w:r>
          </w:p>
        </w:tc>
      </w:tr>
      <w:tr>
        <w:trPr>
          <w:trHeight w:val="269"/>
        </w:trPr>
        <w:tc>
          <w:tcPr>
            <w:tcW w:w="3780" w:type="dxa"/>
            <w:vAlign w:val="bottom"/>
          </w:tcPr>
          <w:p>
            <w:pPr>
              <w:spacing w:after="0"/>
              <w:rPr>
                <w:sz w:val="20"/>
                <w:szCs w:val="20"/>
                <w:color w:val="auto"/>
              </w:rPr>
            </w:pPr>
            <w:r>
              <w:rPr>
                <w:rFonts w:ascii="Arial" w:cs="Arial" w:eastAsia="Arial" w:hAnsi="Arial"/>
                <w:sz w:val="18"/>
                <w:szCs w:val="18"/>
                <w:color w:val="auto"/>
              </w:rPr>
              <w:t>Gajus Worthington,</w:t>
            </w:r>
          </w:p>
        </w:tc>
        <w:tc>
          <w:tcPr>
            <w:tcW w:w="340" w:type="dxa"/>
            <w:vAlign w:val="bottom"/>
          </w:tcPr>
          <w:p>
            <w:pPr>
              <w:spacing w:after="0"/>
              <w:rPr>
                <w:sz w:val="23"/>
                <w:szCs w:val="23"/>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89"/>
              </w:rPr>
              <w:t>Achievement of all the goals specified for the other Named Executive Officers below, and achieving</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5"/>
              </w:rPr>
              <w:t>sales goals on a region by region basis. These sales goals include unit volumes for particular</w:t>
            </w:r>
          </w:p>
        </w:tc>
      </w:tr>
      <w:tr>
        <w:trPr>
          <w:trHeight w:val="222"/>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7"/>
              </w:rPr>
              <w:t>systems, dollar amounts of chip sales, and average selling prices of chips and instruments.</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Vikram Jog,</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8"/>
              </w:rPr>
              <w:t>Raising $25 million in funding, ensuring no material weakness or significant deficiencies in</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4"/>
              </w:rPr>
              <w:t>quarterly reviews and annual audit, ensuring the accurate and timely closing of our books, and</w:t>
            </w:r>
          </w:p>
        </w:tc>
      </w:tr>
      <w:tr>
        <w:trPr>
          <w:trHeight w:val="222"/>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completion of our 2008 audit.</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William Smith,</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0"/>
              </w:rPr>
              <w:t>Maintaining intellectual property position for the BioMark business, reducing legal expenditures by</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Vice President, Legal Affairs and General</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8"/>
              </w:rPr>
              <w:t>$200,000, raising $25 million of funding, selling two BioMark systems, and renegotiating a</w:t>
            </w: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Counsel</w:t>
            </w: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specified contract to reduce costs.</w:t>
            </w:r>
          </w:p>
        </w:tc>
      </w:tr>
      <w:tr>
        <w:trPr>
          <w:trHeight w:val="291"/>
        </w:trPr>
        <w:tc>
          <w:tcPr>
            <w:tcW w:w="3780" w:type="dxa"/>
            <w:vAlign w:val="bottom"/>
          </w:tcPr>
          <w:p>
            <w:pPr>
              <w:spacing w:after="0"/>
              <w:rPr>
                <w:sz w:val="20"/>
                <w:szCs w:val="20"/>
                <w:color w:val="auto"/>
              </w:rPr>
            </w:pPr>
            <w:r>
              <w:rPr>
                <w:rFonts w:ascii="Arial" w:cs="Arial" w:eastAsia="Arial" w:hAnsi="Arial"/>
                <w:sz w:val="18"/>
                <w:szCs w:val="18"/>
                <w:color w:val="auto"/>
              </w:rPr>
              <w:t>Robert Jones,</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2"/>
              </w:rPr>
              <w:t>Launching four specified products and achieving target cost levels for specified instrumentation.</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Executive Vice President, Research and</w:t>
            </w:r>
          </w:p>
        </w:tc>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Development</w:t>
            </w:r>
          </w:p>
        </w:tc>
        <w:tc>
          <w:tcPr>
            <w:tcW w:w="340" w:type="dxa"/>
            <w:vAlign w:val="bottom"/>
          </w:tcPr>
          <w:p>
            <w:pPr>
              <w:spacing w:after="0"/>
              <w:rPr>
                <w:sz w:val="19"/>
                <w:szCs w:val="19"/>
                <w:color w:val="auto"/>
              </w:rPr>
            </w:pPr>
          </w:p>
        </w:tc>
        <w:tc>
          <w:tcPr>
            <w:tcW w:w="7300" w:type="dxa"/>
            <w:vAlign w:val="bottom"/>
          </w:tcPr>
          <w:p>
            <w:pPr>
              <w:spacing w:after="0"/>
              <w:rPr>
                <w:sz w:val="19"/>
                <w:szCs w:val="19"/>
                <w:color w:val="auto"/>
              </w:rPr>
            </w:pPr>
          </w:p>
        </w:tc>
      </w:tr>
    </w:tbl>
    <w:p>
      <w:pPr>
        <w:spacing w:after="0" w:line="16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i w:val="1"/>
          <w:iCs w:val="1"/>
          <w:color w:val="auto"/>
        </w:rPr>
        <w:t>2010 Corporate Goals</w:t>
      </w:r>
      <w:r>
        <w:rPr>
          <w:rFonts w:ascii="Arial" w:cs="Arial" w:eastAsia="Arial" w:hAnsi="Arial"/>
          <w:sz w:val="16"/>
          <w:szCs w:val="16"/>
          <w:color w:val="auto"/>
        </w:rPr>
        <w:t>. Our 2010 corporate goals were proposed by Mr. Worthington and revised and approved by our compensation committee. These</w:t>
      </w:r>
      <w:r>
        <w:rPr>
          <w:rFonts w:ascii="Arial" w:cs="Arial" w:eastAsia="Arial" w:hAnsi="Arial"/>
          <w:sz w:val="16"/>
          <w:szCs w:val="16"/>
          <w:i w:val="1"/>
          <w:iCs w:val="1"/>
          <w:color w:val="auto"/>
        </w:rPr>
        <w:t xml:space="preserve"> </w:t>
      </w:r>
      <w:r>
        <w:rPr>
          <w:rFonts w:ascii="Arial" w:cs="Arial" w:eastAsia="Arial" w:hAnsi="Arial"/>
          <w:sz w:val="16"/>
          <w:szCs w:val="16"/>
          <w:color w:val="auto"/>
        </w:rPr>
        <w:t>goals were developed in January 2010, and our operating plan at that time assumed that we would not engage in any significant fundraising activities during</w:t>
      </w:r>
    </w:p>
    <w:p>
      <w:pPr>
        <w:ind w:right="20"/>
        <w:spacing w:after="0" w:line="286" w:lineRule="auto"/>
        <w:rPr>
          <w:sz w:val="20"/>
          <w:szCs w:val="20"/>
          <w:color w:val="auto"/>
        </w:rPr>
      </w:pPr>
      <w:r>
        <w:rPr>
          <w:rFonts w:ascii="Arial" w:cs="Arial" w:eastAsia="Arial" w:hAnsi="Arial"/>
          <w:sz w:val="16"/>
          <w:szCs w:val="16"/>
          <w:color w:val="auto"/>
        </w:rPr>
        <w:t>2010. The 2010 corporate goals were (i) ending 2010 with $5 million of available cash; (ii) releasing the FC1 thermal cycler in the second quarter, releasing the FR48.48 Dynamic Array chip in the second quarter, entering into a non-invasive pre-natal diagnostic collaboration by the second quarter, releasing a BioMark system with a high throughput thermal cycler in the third quarter, and having a peer-reviewed article published in a specific field by the third quarter; (iii) increasing our identified sales opportunities to specified levels for each of our three actively marketed microfluidic systems and (iv) achieving a ratio of 64% for cost of product sales divided by total revenue for 2010 and profitability for the fourth quarter. In June of 2010, we revised our operating plan in light of changed economic and business conditions. While these goals remain in effect for executive compensation purposes, the financial metrics contained in these corporate goals should not be taken as indicative of our actual performance for 2010. For example, as discussed elsewhere in this prospectus, we expect to raise additional funds in this offering and incur operating and net losses for the foreseeable future. The compensation committee believed attaining the 2010 corporate goals would take a high level of executive performance. The committee did not assign weights to these goals when they were approved but has reserved the authority to assign weights to them when determining bonuses and performance stock option vesting.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i w:val="1"/>
          <w:iCs w:val="1"/>
          <w:color w:val="auto"/>
        </w:rPr>
        <w:t>2010 Departmental Goals</w:t>
      </w:r>
      <w:r>
        <w:rPr>
          <w:rFonts w:ascii="Arial" w:cs="Arial" w:eastAsia="Arial" w:hAnsi="Arial"/>
          <w:sz w:val="15"/>
          <w:szCs w:val="15"/>
          <w:color w:val="auto"/>
        </w:rPr>
        <w:t>. The compensation committee did not define specific departmental goals in 2010 as it felt that the corporate goals were broad</w:t>
      </w:r>
      <w:r>
        <w:rPr>
          <w:rFonts w:ascii="Arial" w:cs="Arial" w:eastAsia="Arial" w:hAnsi="Arial"/>
          <w:sz w:val="15"/>
          <w:szCs w:val="15"/>
          <w:i w:val="1"/>
          <w:iCs w:val="1"/>
          <w:color w:val="auto"/>
        </w:rPr>
        <w:t xml:space="preserve"> </w:t>
      </w:r>
      <w:r>
        <w:rPr>
          <w:rFonts w:ascii="Arial" w:cs="Arial" w:eastAsia="Arial" w:hAnsi="Arial"/>
          <w:sz w:val="15"/>
          <w:szCs w:val="15"/>
          <w:color w:val="auto"/>
        </w:rPr>
        <w:t>and challenging enough that it was sufficient that each department focus on achieving those goals. As such, the compensation committee intends to determine the departmental component of bonuses based on the extent to which each executive’s performance contributed to achieving or not achieving the corporate goals.</w:t>
      </w:r>
    </w:p>
    <w:p>
      <w:pPr>
        <w:spacing w:after="0" w:line="88" w:lineRule="exact"/>
        <w:rPr>
          <w:sz w:val="20"/>
          <w:szCs w:val="20"/>
          <w:color w:val="auto"/>
        </w:rPr>
      </w:pPr>
    </w:p>
    <w:p>
      <w:pPr>
        <w:ind w:left="460"/>
        <w:spacing w:after="0"/>
        <w:tabs>
          <w:tab w:leader="none" w:pos="3560" w:val="left"/>
        </w:tabs>
        <w:rPr>
          <w:sz w:val="20"/>
          <w:szCs w:val="20"/>
          <w:color w:val="auto"/>
        </w:rPr>
      </w:pPr>
      <w:r>
        <w:rPr>
          <w:rFonts w:ascii="Arial" w:cs="Arial" w:eastAsia="Arial" w:hAnsi="Arial"/>
          <w:sz w:val="18"/>
          <w:szCs w:val="18"/>
          <w:i w:val="1"/>
          <w:iCs w:val="1"/>
          <w:color w:val="auto"/>
        </w:rPr>
        <w:t>2011 Corporate and Departmental Goals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compensation committee has not yet determined corporate or departmental goals for 2011.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executive compensation program consists of four main elements: base salary, an annual incentive bonus plan, option awards and change of control arrangements. The following is a discussion of each element.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2007, the compensation committee and the board of directors have developed our compensation policy with the view that our company and its stockholders would be best served if compensation policies focused on creating a team ethic among our executive officers. A central element of this policy is that a team ethic will be best supported if all executive officers received approximately the same salary. For 2008, Messrs. Smith and Jones were paid the same base salary of $275,600. Mr. Jog received a slightly higher salary of $278,000 pursuant to an offer letter we entered into with him when he joined us in 2008, which salary amount was designed to attract Mr. Jog to us and provide him with a salary comparable to his salary at his former position. Mr. Worthington’s base salary of $294,840 reflected the substantial additional responsibility he has as Chief Executive Officer as compared to the other executive officers.</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April 2009, the compensation committee reviewed 2009 base salaries in light of general market conditions in the San Francisco Bay Area life science industry and our financial condition. The compensation committee concluded that due to the depressed economic conditions locally and nationally and our constrained financial position that no increases in compensation were appropriate. However, given the ongoing competition for executive talent in the industry and region, the specialized skills and experiences required to manage life science companies and the overall strong performance of the executive team, the compensation committee decided not to reduce salaries. The compensation committee’s assessment of general market conditions in the life science industry, and the life science industry in the San Francisco Bay Area in particular, was based on the experience of the committee members who were and are actively involved in venture capital investing in such industry and area. The compensation committee did not rely on any formal compensation survey data in making its assessment.</w:t>
      </w:r>
    </w:p>
    <w:p>
      <w:pPr>
        <w:spacing w:after="0" w:line="1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January 2010, the compensation committee again reviewed base salaries for our executive officers using the same methodology used in 2009. The compensation committee concluded that economic conditions locally and nationally had stabilized and were improving but were not yet robust. The compensation committee also concluded that hiring in the life science industry in the San Francisco Bay Area had increased somewhat and that there was greater competition for executive talent. As our executive officers had forgone raises in 2009, the compensation committee felt that modest raises of between 2% and 4% were appropriate to keep our executive salaries competitive. Where each executive fell in this range was based on the extent to which the executive achieved his or her departmental goals in 2009. The compensation committee approved the following base salaries for 2010: Gajus Worthington, $303,644, an increase of 3%; Vikram Jog, $289,120, an increase of 4%; Bob Jones, 281,112, an increase of 2%; and Bill Smith, $286,624, an increase of 4%.</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May 2010, we hired Fredric Walder to be our Chief Business Officer with a salary of $290,000 which is similar to the salaries of our other named executive officers. In addition, in order to induce him to relocate to California from Wisconsin, we agreed to reimburse up to $105,000 of relocation expenses and reimburse, with a tax gross up, the costs of his commuting from Wisconsin to California prior to his relocation.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has not made any decisions regarding changes to base salaries for 2011.</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Bonus Plan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For 2009, the compensation committee and the board of directors established a bonus structure for all named executive officers that provided for performance bonuses of up to 35% of base salary for each officer. 80% of the performance bonus was payable based upon our reaching our corporate goals described above, and the remaining 20% was payable to each executive based on the attainment of his or her departmental goals described above. Payment of performance bonuses was allocated among corporate and departmental goals in this manner in recognition of our compensation philosophy in which the compensation committee sought to incentivize executive officers to look beyond their departmental goals and work with other executive officers to achieve our overall corporate goals. The entire bonus of 35% of salary was payable to an executive only if all of the corporate goals and all of his or her departmental goals were attained. If a particular corporate or department goal was only partially attained, then the compensation committee would determine in its discretion whether all, part, or none of the portion of the bonus tied to that goal would be awarded; provided that, no bonus was payable with respect to a goal where performance was less than 80% of the targeted level. The 80% requirement was set so that executives would receive a bonus only for high levels of performance. For departmental goals, each goal was treated as having equal weight, so an equal portion of the executive’s bonus is tied to attaining each goal. The weighting of the corporate goals was not pre-determined as the compensation committee wished to retain the ability to adjust the bonus payments based on an analysis of how attainment or failure to attain each particular goal impacted us. The compensation committee also retained the discretion to change the bonus structure and increase or decrease the bonus payment amounts as it considered appropriate.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Achievement of Corporate Goals in 2009</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January 2010, the compensation committee reviewed our performance in 2009 and determined that three of our five corporate goals had been fully met and two had been partially met. Specifically, it concluded that:</w:t>
      </w:r>
    </w:p>
    <w:p>
      <w:pPr>
        <w:spacing w:after="0" w:line="51" w:lineRule="exact"/>
        <w:rPr>
          <w:sz w:val="20"/>
          <w:szCs w:val="20"/>
          <w:color w:val="auto"/>
        </w:rPr>
      </w:pPr>
    </w:p>
    <w:p>
      <w:pPr>
        <w:ind w:right="120" w:firstLine="464"/>
        <w:spacing w:after="0" w:line="306" w:lineRule="auto"/>
        <w:tabs>
          <w:tab w:leader="none" w:pos="6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had partially met our revenue goal, which the compensation committee recognized was aggressive at the time it was adopted and which proved difficult to achieve in an extremely unfavorable economic environment in 2009. Our revenue was more than 80% of the targeted level but not equal to the target. The compensation committee determined in its discretion to award 40% of the bonus tied to achievement of this goal.</w:t>
      </w:r>
    </w:p>
    <w:p>
      <w:pPr>
        <w:spacing w:after="0" w:line="106" w:lineRule="exact"/>
        <w:rPr>
          <w:rFonts w:ascii="Arial" w:cs="Arial" w:eastAsia="Arial" w:hAnsi="Arial"/>
          <w:sz w:val="16"/>
          <w:szCs w:val="16"/>
          <w:color w:val="auto"/>
        </w:rPr>
      </w:pPr>
    </w:p>
    <w:p>
      <w:pPr>
        <w:ind w:right="360" w:firstLine="464"/>
        <w:spacing w:after="0" w:line="259" w:lineRule="auto"/>
        <w:tabs>
          <w:tab w:leader="none" w:pos="7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had partially met our margin goal. Our margins were better than had been targeted, but this level was achieved only by including in revenue the unanticipated receipt of a license fee in the fourth quarter of 2009 which positively impacted our margins. The compensation committee determined in its discretion to award 94% of the bonus tied to achievement of this goal.</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had fully achieved our operating expense goal. Our operating expenses were below targeted levels.</w:t>
      </w:r>
    </w:p>
    <w:p>
      <w:pPr>
        <w:spacing w:after="0" w:line="171" w:lineRule="exact"/>
        <w:rPr>
          <w:rFonts w:ascii="Arial" w:cs="Arial" w:eastAsia="Arial" w:hAnsi="Arial"/>
          <w:sz w:val="18"/>
          <w:szCs w:val="18"/>
          <w:color w:val="auto"/>
        </w:rPr>
      </w:pPr>
    </w:p>
    <w:p>
      <w:pPr>
        <w:ind w:right="360" w:firstLine="464"/>
        <w:spacing w:after="0" w:line="332" w:lineRule="auto"/>
        <w:tabs>
          <w:tab w:leader="none" w:pos="754"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had fully achieved our financing goals. We raised less than the targeted amount of financing, but the compensation committee deemed the goal fully achieved because of the extremely difficult financing environment in 2009 and the favorable valuation which we achieved.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had fully achieved our customer leads goal. We generated more leads than were targeted.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weighting these goals, the compensation committee decided that our revenue goal should be weighted at 60% and the other goals at 10% each, because it viewed achieving greater revenue as the most critical element of our long term success at this stage of our development. Applying the percentage achievement to the weighting of the goals, the compensation committee determined that our corporate goals had been 60% met which equated to a bonus equal to 17% of base salary for each executive officer for attainment of those goals.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Achievement of Department Goals in 2009</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compensation committee also considered the achievement of 2009 departmental performance goals in January 2010 and made the following determinations with respect to each of the executive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Gajus Worthington, Chief Executive Officer</w:t>
      </w:r>
      <w:r>
        <w:rPr>
          <w:rFonts w:ascii="Arial" w:cs="Arial" w:eastAsia="Arial" w:hAnsi="Arial"/>
          <w:sz w:val="16"/>
          <w:szCs w:val="16"/>
          <w:color w:val="auto"/>
        </w:rPr>
        <w:t>. Mr. Worthington partially met his goal related to the attainment by each individual executive officer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departmental goals as our executives met or partially met some but not all of their departmental goals. In addition, Mr. Worthington met the sales goal for the United States but not for Europe. The compensation committee equally weighted and averaged the attainment of each of the sales goals and each of the departmental goals and awarded Mr. Worthington 45% of the bonus associated with his attaining his departmental goals.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Vikram Jog, Chief Financial Officer</w:t>
      </w:r>
      <w:r>
        <w:rPr>
          <w:rFonts w:ascii="Arial" w:cs="Arial" w:eastAsia="Arial" w:hAnsi="Arial"/>
          <w:sz w:val="18"/>
          <w:szCs w:val="18"/>
          <w:color w:val="auto"/>
        </w:rPr>
        <w:t>. Mr. Jog fully met his departmental goals as the compensation committee deemed that he raised the targeted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capital, there were no material weaknesses or deficiencies in our quarterly reviews or audits, our books were accurately closed in a timely manner each quarter and our 2008 audit was completed. Therefore, the compensation committee awarded Mr. Jog 100% of the bonus associated with his attaining his departmental goals.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William Smith, Vice President Legal Affairs and General Counsel</w:t>
      </w:r>
      <w:r>
        <w:rPr>
          <w:rFonts w:ascii="Arial" w:cs="Arial" w:eastAsia="Arial" w:hAnsi="Arial"/>
          <w:sz w:val="16"/>
          <w:szCs w:val="16"/>
          <w:color w:val="auto"/>
        </w:rPr>
        <w:t>. Mr. Smith fully met four of his five goals as he maintained the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of our BioMark business, reduced legal expenditures by the targeted amount, raised the targeted amount of capital, and achieved targeted cost reductions through a contract renegotiation. However, his sales goal was only 50% met because he did not achieve the targeted unit volume of sales. The compensation committee equally weighted each goal and awarded Mr. Smith 90% of the bonus associated with his attaining of his departmental goals.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Robert Jones, Executive Vice President, Research and Development</w:t>
      </w:r>
      <w:r>
        <w:rPr>
          <w:rFonts w:ascii="Arial" w:cs="Arial" w:eastAsia="Arial" w:hAnsi="Arial"/>
          <w:sz w:val="18"/>
          <w:szCs w:val="18"/>
          <w:color w:val="auto"/>
        </w:rPr>
        <w:t>. Mr. Jones met only one of his four goals with respect to product launches as only</w:t>
      </w:r>
      <w:r>
        <w:rPr>
          <w:rFonts w:ascii="Arial" w:cs="Arial" w:eastAsia="Arial" w:hAnsi="Arial"/>
          <w:sz w:val="18"/>
          <w:szCs w:val="18"/>
          <w:i w:val="1"/>
          <w:iCs w:val="1"/>
          <w:color w:val="auto"/>
        </w:rPr>
        <w:t xml:space="preserve"> </w:t>
      </w:r>
      <w:r>
        <w:rPr>
          <w:rFonts w:ascii="Arial" w:cs="Arial" w:eastAsia="Arial" w:hAnsi="Arial"/>
          <w:sz w:val="18"/>
          <w:szCs w:val="18"/>
          <w:color w:val="auto"/>
        </w:rPr>
        <w:t>one product was launched when targeted. In addition, Mr. Jones did not meet his goals with respect to the cost of goods. Therefore, the compensation committee award Mr. Jones 20% of the bonus associated with his attaining his departmental goals.</w:t>
      </w:r>
    </w:p>
    <w:p>
      <w:pPr>
        <w:spacing w:after="0" w:line="14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intend for the bonus plan to provide a significant portion of an executive’s potential compensation. It is designed to help ensure that executives are focused on our near-term performance and on working together to achieve key corporate objectives. We expect that corporate and departmental goals will be reviewed each year and adjusted to reflect changes in our stage of development, competitive position and corporate objectives. As discussed above, the compensation committee and the board of directors retain the discretion to award compensation absent attainment of a relevant performance goal and to reduce the size of an award following attainment of a relevant performance goal, and exercised that discretion in 2009. We believe that maintaining this flexibility is helpful in ensuring that executives are appropriately compensated for their performance and are neither rewarded nor penalized as a result of unusual circumstances that were not foreseeable at the time the goals were developed.</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compensation committee has concluded that the 2009 bonus plan was effective and, therefore, our 2010 bonus plan has the same structure and bonus percentages with updated corporate and departmental goals. The compensation committee has not yet determined whether the 2010 corporate or departmental goals have been achieved.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Option Awards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grant options to new executives upon the commencement of their employment and on an annual basis consider making additional grants to existing executives based on our overall corporate performance, individual performance and the executives’ existing option grants and equity holdings. In addition, on an annual basis we make option grants to our executive officers that have provisions for accelerated vesting if corporate or departmental goals are achieved. We believe that option awards are an effective means of aligning the interests of executives and stockholders, rewarding executives for our achieving success over the long term and providing executives an incentive to remain with us.</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November 17, 2009, the compensation committee recommended and the Board approved two performance based option grants to each of our executive officers — one based on attainment of our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corporate goals and one based on attainment of the executive’s 2009 departmental goals. Each executive was awarded an option to purchase 5,780 shares related to the achievement of departmental goals and an option to purchase 5,780 shares related to attainment of corporate goals. While the number of shares subject to each grant was fixed, the options were considered performance based because the vesting schedule associated with each grant was tied to achievement of corporate or departmental goals for 2009. The compensation committee’s selection of an aggregate grant of 11,560 shares was based on the committee’s determination that such number of shares would provide meaningful compensation to our executive officers and meaningful incentive to achieve the corporate and departmental goals. The committee did not rely on compensation surveys or other third party sources in arriving at this number.</w:t>
      </w:r>
    </w:p>
    <w:p>
      <w:pPr>
        <w:spacing w:after="0" w:line="39" w:lineRule="exact"/>
        <w:rPr>
          <w:sz w:val="20"/>
          <w:szCs w:val="20"/>
          <w:color w:val="auto"/>
        </w:rPr>
      </w:pPr>
    </w:p>
    <w:p>
      <w:pPr>
        <w:ind w:left="780" w:right="20" w:hanging="326"/>
        <w:spacing w:after="0" w:line="294"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the first option grant, 25% of the shares subject to the grant would vest on April 1, 2010 and 1/48th of the shares would vest each month thereafter; provided, that a percentage of the option equal to the percentage of corporate goals that are achieved would become fully vested as of December 31, 2009. Thus, for 2009, because the committee determined that 60% of our corporate goals had been achieved, 60% of the performance options related to the attainment of corporate goals vested effective as of December 31, 2009. 25% of the remaining 40% of such performance options vested on April 1, 2010 and 1/48th of the remaining unvested shares will vest each month thereafter.</w:t>
      </w:r>
    </w:p>
    <w:p>
      <w:pPr>
        <w:spacing w:after="0" w:line="34" w:lineRule="exact"/>
        <w:rPr>
          <w:rFonts w:ascii="Arial" w:cs="Arial" w:eastAsia="Arial" w:hAnsi="Arial"/>
          <w:sz w:val="16"/>
          <w:szCs w:val="16"/>
          <w:color w:val="auto"/>
        </w:rPr>
      </w:pPr>
    </w:p>
    <w:p>
      <w:pPr>
        <w:ind w:left="780" w:hanging="326"/>
        <w:spacing w:after="0" w:line="306"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the second option grant, all of the shares subject to the option will vest on December 31, 2012, provided that a percentage of the option equal to the percentage of the executive’s departmental goals that are achieved would become fully vested effective as of December 31, 2009. Thus, for each executive officer all or a portion of their option became vested on December 31, 2009 based on their attainment of their departmental goals.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these performance related option grants provide an additional incentive for executives to achieve corporate and departmental goals for each year while also providing them a form of compensation that is appropriately linked to our long term success.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indicated under “Achievement of Corporate Goals in 2009” and “Achievement of Department Goals in 2009” above, in January 2010, our compensation committee determined that our 2009 corporate goals had been 60% met and our 2009 department goals had been met to varying degrees. As a result of these determinations, our compensation committee approved acceleration of vesting under the first option grant to each executive officer of 60%, resulting in the immediate vesting of 60% of the shares subject to each first option on January 28, 2010. In addition, our compensation committee approved acceleration of vesting of each second option based on achievement of individual department goals, with Mr. Worthington receiving 45% acceleration, Mr. Smith receiving 90% acceleration, Mr. Jones receiving 25% acceleration and Mr. Jog receiving 100% acceleration.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the compensation committee made grants of performance based options to our executive officers that were tied to their performance in</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2010. Specifically each executive officer received one option to purchase 5,780 shares related to the achievement of departmental goals and an option to purchase 5,780 shares related to the attainment of corporate goals. The initial vesting of these options and the acceleration provisions of these options is the same as for the 2009 performance based options described above except that acceleration is contingent upon attainment of 2010 corporate and departmental goals. The compensation committee’s selection of an aggregate grant of 11,560 shares was based on the committee’s determination that such number of shares would provide meaningful compensation to our executive officers and a meaningful incentive to achieve the corporate and departmental goals. This determination was based in part on the committee’s experience with the 2009 options and a desire to maintain consistency in our compensation policies. The committee did not rely on compensation surveys or other third party sources in arriving at this number. The compensation committee has not yet determined whether the 2010 corporate or departmental goals have been achieved. This determination will be based in part on financial metrics that will not be determined until our 2010 financial statements have been prepared and audited. We anticipate that the compensation committee will determine the accelerated vesting, if any, of the January 2011 performance based grants at some point during the first quarter of 2011 after our audited financial statements are available.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November 2009, the board granted to Mr. Worthington an option to purchase 15,014 shares vesting over four years. The number of shares subject to this grant is equal to the number of shares Mr. Worthington surrendered in 2008 in connection with the repayment of a loan we had made to him. The compensation committee made this grant in order to give Mr. Worthington the opportunity restore his original equity position by providing continuing services to us. In addition, in November 2009, the compensation committee granted Mr. Worthington two options to purchase 8,257 shares. These options were performance related grants which the compensation committee had intended to grant to Mr. Worthington in 2008 at the same time it made similar grants to all other executive officers. As a result of an administrative error, the grants were not made in 2008, so the compensation committee made these grants to correct that oversight.</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2009, we offered all employees of the company including our executive officers the opportunity to exchange their outstanding options with exercise prices above the then fair value of our common stock, for new options for the same number of shares with an exercise price equal to the then fair value of our common stock and a lengthened vesting schedule. Pursuant to this exchange offer we issued options to purchase 48,719 shares to Gajus Worthington, 99,090 shares to Vikram Jog, 47,892 shares to Bob Jones and 75,638 to Bill Smith.</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commencement of his employment with us, we granted Fredric Walder an option to purchase 115,606 shares of our common stock. The compensation committee determined that this amount would ensure that a significant portion of Mr. Walder’s compensation was tied to the value of our equity and to provide him a potential ownership interest that was comparable to the potential ownership interests of the other named executive officers, other than Mr. Worthington, who was one of our co-founders.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and Severance Agreements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February 2008, we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 following a change of control. The terms of these agreements are described under “Potential Payments upon Termination or Change of 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our board of directors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1"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expected time required for an officer to find comparable employment following a termination event;</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feedback received from potential candidates for officer positions at our company as to the level of severance payments and benefits they would require to leave other employment and join our company;</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period of time following a change of control during which management positions are evaluated and subject to a heightened risk of elimination.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all outstanding options granted to our employees will become fully vested upon a change of control if the options are not assumed by the acquiring company.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for purposes of the Code Section 162(m) limit provided the arrangement is adequately described in this prospectus. Accordingly, we believe that deductibility of all income recognized by executives pursuant to equity compensation granted by us prior to this offering, as well as any equity compensation granted by us under the 2011 Equity Incentive Plan following this offering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33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following table presents information concerning the total compensation of our Chief Executive Officer, Chief Financial Officer and our three other most highly compensated officers during the last fiscal year who were serving as executive officers at the end of 2010 (the “Named Executive Officers”) for services rendered to us in all capacities in 2009 and 2010: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Non-Equity</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Salary</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8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w w:val="98"/>
              </w:rPr>
              <w:t>Year</w:t>
            </w:r>
          </w:p>
        </w:tc>
        <w:tc>
          <w:tcPr>
            <w:tcW w:w="106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4"/>
                <w:szCs w:val="14"/>
                <w:color w:val="auto"/>
              </w:rPr>
            </w:pPr>
          </w:p>
        </w:tc>
        <w:tc>
          <w:tcPr>
            <w:tcW w:w="840" w:type="dxa"/>
            <w:vAlign w:val="bottom"/>
          </w:tcPr>
          <w:p>
            <w:pPr>
              <w:jc w:val="right"/>
              <w:ind w:right="178"/>
              <w:spacing w:after="0"/>
              <w:rPr>
                <w:sz w:val="20"/>
                <w:szCs w:val="20"/>
                <w:color w:val="auto"/>
              </w:rPr>
            </w:pPr>
            <w:r>
              <w:rPr>
                <w:rFonts w:ascii="Arial" w:cs="Arial" w:eastAsia="Arial" w:hAnsi="Arial"/>
                <w:sz w:val="14"/>
                <w:szCs w:val="14"/>
                <w:b w:val="1"/>
                <w:bCs w:val="1"/>
                <w:color w:val="auto"/>
              </w:rPr>
              <w:t>($)(2)</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Gajus V. Worthington</w:t>
            </w:r>
          </w:p>
        </w:tc>
        <w:tc>
          <w:tcPr>
            <w:tcW w:w="30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2010</w:t>
            </w:r>
          </w:p>
        </w:tc>
        <w:tc>
          <w:tcPr>
            <w:tcW w:w="4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303,644</w:t>
            </w:r>
          </w:p>
        </w:tc>
        <w:tc>
          <w:tcPr>
            <w:tcW w:w="4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8"/>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303,644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294,840</w:t>
            </w:r>
          </w:p>
        </w:tc>
        <w:tc>
          <w:tcPr>
            <w:tcW w:w="4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203,948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59,402</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558,190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840" w:type="dxa"/>
            <w:vAlign w:val="bottom"/>
            <w:gridSpan w:val="4"/>
          </w:tcPr>
          <w:p>
            <w:pPr>
              <w:spacing w:after="0"/>
              <w:rPr>
                <w:sz w:val="20"/>
                <w:szCs w:val="20"/>
                <w:color w:val="auto"/>
              </w:rPr>
            </w:pPr>
            <w:r>
              <w:rPr>
                <w:rFonts w:ascii="Arial" w:cs="Arial" w:eastAsia="Arial" w:hAnsi="Arial"/>
                <w:sz w:val="18"/>
                <w:szCs w:val="18"/>
                <w:color w:val="auto"/>
              </w:rPr>
              <w:t>Vikram Jog</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289,120</w:t>
            </w:r>
          </w:p>
        </w:tc>
        <w:tc>
          <w:tcPr>
            <w:tcW w:w="42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289,120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278,000</w:t>
            </w:r>
          </w:p>
        </w:tc>
        <w:tc>
          <w:tcPr>
            <w:tcW w:w="4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246,340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66,720</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591,060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281,112</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Research</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133,224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51,675</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460,499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Development</w:t>
            </w: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840" w:type="dxa"/>
            <w:vAlign w:val="bottom"/>
            <w:gridSpan w:val="4"/>
          </w:tcPr>
          <w:p>
            <w:pPr>
              <w:spacing w:after="0"/>
              <w:rPr>
                <w:sz w:val="20"/>
                <w:szCs w:val="20"/>
                <w:color w:val="auto"/>
              </w:rPr>
            </w:pPr>
            <w:r>
              <w:rPr>
                <w:rFonts w:ascii="Arial" w:cs="Arial" w:eastAsia="Arial" w:hAnsi="Arial"/>
                <w:sz w:val="18"/>
                <w:szCs w:val="18"/>
                <w:color w:val="auto"/>
              </w:rPr>
              <w:t>William M. Smith</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286,624</w:t>
            </w:r>
          </w:p>
        </w:tc>
        <w:tc>
          <w:tcPr>
            <w:tcW w:w="42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286,624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Vice President, Legal Affairs,</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190,875</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64,215</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530,590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and General Counsel</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166,750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194,000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32,073(3)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Business Officer</w:t>
            </w: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right="200" w:hanging="452"/>
        <w:spacing w:after="0" w:line="227"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represent the aggregate fair market value of options granted in 2009 to the named executive officer calculated in accordance with FASB ASC 718 without regard to estimated forfeitures. For options granted in connection with our repricing, only the incremental value of the grant is included. See Note 10 of the notes to our audited consolidated financial statements for a discussion of assumptions made in determining the grant date fair value and compensation expense of our stock options.</w:t>
      </w:r>
    </w:p>
    <w:p>
      <w:pPr>
        <w:ind w:left="460" w:right="100" w:hanging="452"/>
        <w:spacing w:after="0" w:line="258" w:lineRule="auto"/>
        <w:tabs>
          <w:tab w:leader="none" w:pos="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amounts in this column for 2009 represent total performance-based bonuses earned for service rendered during fiscal 2009 under our incentive bonus plan. Our compensation committee has not yet determined performance based bonuses for 2010, as these bonuses are based in part on financial metrics that will not be determined until our 2010 financial statements have been prepared and audited. We anticipate that the compensation committee will determine the 2010 performance bonuses at some point during the first quarter of 2011 after our audited financial statements are available, but a specific date for determination has not yet been set. For a description of our 2009 and 2010 bonus plans, please see “Incentive Bonus Plan” under “Compensation Discussion and Analysis” above.</w:t>
      </w:r>
    </w:p>
    <w:p>
      <w:pPr>
        <w:ind w:left="460" w:hanging="452"/>
        <w:spacing w:after="0"/>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amounts paid to Mr. Walder to reimburse him for the cost of commuting to California prior to his relocation, including a tax gross up.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concerning grants of plan-based awards to each of the Named Executive Officers during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All Option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Option</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56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Target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)(3)</w:t>
            </w:r>
          </w:p>
        </w:tc>
        <w:tc>
          <w:tcPr>
            <w:tcW w:w="5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Options (#)</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($/Sh)(1)</w:t>
            </w:r>
          </w:p>
        </w:tc>
        <w:tc>
          <w:tcPr>
            <w:tcW w:w="5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89"/>
              </w:rPr>
              <w:t>Awards($</w:t>
            </w:r>
            <w:r>
              <w:rPr>
                <w:rFonts w:ascii="Arial" w:cs="Arial" w:eastAsia="Arial" w:hAnsi="Arial"/>
                <w:sz w:val="14"/>
                <w:szCs w:val="14"/>
                <w:b w:val="1"/>
                <w:bCs w:val="1"/>
                <w:color w:val="auto"/>
                <w:w w:val="89"/>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106,275</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660" w:type="dxa"/>
            <w:vAlign w:val="bottom"/>
            <w:gridSpan w:val="4"/>
          </w:tcPr>
          <w:p>
            <w:pPr>
              <w:spacing w:after="0"/>
              <w:rPr>
                <w:sz w:val="20"/>
                <w:szCs w:val="20"/>
                <w:color w:val="auto"/>
              </w:rPr>
            </w:pPr>
            <w:r>
              <w:rPr>
                <w:rFonts w:ascii="Arial" w:cs="Arial" w:eastAsia="Arial" w:hAnsi="Arial"/>
                <w:sz w:val="18"/>
                <w:szCs w:val="18"/>
                <w:color w:val="auto"/>
              </w:rPr>
              <w:t>Vikram Jog</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tcPr>
          <w:p>
            <w:pPr>
              <w:jc w:val="right"/>
              <w:spacing w:after="0"/>
              <w:rPr>
                <w:sz w:val="20"/>
                <w:szCs w:val="20"/>
                <w:color w:val="auto"/>
              </w:rPr>
            </w:pPr>
            <w:r>
              <w:rPr>
                <w:rFonts w:ascii="Arial" w:cs="Arial" w:eastAsia="Arial" w:hAnsi="Arial"/>
                <w:sz w:val="18"/>
                <w:szCs w:val="18"/>
                <w:color w:val="auto"/>
              </w:rPr>
              <w:t>101,192</w:t>
            </w:r>
          </w:p>
        </w:tc>
        <w:tc>
          <w:tcPr>
            <w:tcW w:w="5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98,389</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660" w:type="dxa"/>
            <w:vAlign w:val="bottom"/>
            <w:gridSpan w:val="4"/>
          </w:tcPr>
          <w:p>
            <w:pPr>
              <w:spacing w:after="0"/>
              <w:rPr>
                <w:sz w:val="20"/>
                <w:szCs w:val="20"/>
                <w:color w:val="auto"/>
              </w:rPr>
            </w:pPr>
            <w:r>
              <w:rPr>
                <w:rFonts w:ascii="Arial" w:cs="Arial" w:eastAsia="Arial" w:hAnsi="Arial"/>
                <w:sz w:val="18"/>
                <w:szCs w:val="18"/>
                <w:color w:val="auto"/>
              </w:rPr>
              <w:t>William M. Smith</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tcPr>
          <w:p>
            <w:pPr>
              <w:jc w:val="right"/>
              <w:spacing w:after="0"/>
              <w:rPr>
                <w:sz w:val="20"/>
                <w:szCs w:val="20"/>
                <w:color w:val="auto"/>
              </w:rPr>
            </w:pPr>
            <w:r>
              <w:rPr>
                <w:rFonts w:ascii="Arial" w:cs="Arial" w:eastAsia="Arial" w:hAnsi="Arial"/>
                <w:sz w:val="18"/>
                <w:szCs w:val="18"/>
                <w:color w:val="auto"/>
              </w:rPr>
              <w:t>100,318</w:t>
            </w:r>
          </w:p>
        </w:tc>
        <w:tc>
          <w:tcPr>
            <w:tcW w:w="5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8/26/2010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115,606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58,363</w:t>
            </w:r>
          </w:p>
        </w:tc>
        <w:tc>
          <w:tcPr>
            <w:tcW w:w="5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right="80" w:hanging="452"/>
        <w:spacing w:after="0" w:line="230"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shares of common stock were not publicly traded during 2010. The exercise price of all options was the fair value of a share of our common stock on the date of grant as determined in good faith by our board of directors.</w:t>
      </w:r>
    </w:p>
    <w:p>
      <w:pPr>
        <w:ind w:left="460" w:right="120" w:hanging="452"/>
        <w:spacing w:after="0" w:line="258" w:lineRule="auto"/>
        <w:tabs>
          <w:tab w:leader="none" w:pos="4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represent the grant date fair value of the stock options, calculated in accordance with FASB ASC Topic 718 without regard to estimated forfeitures, or, in the case of grants made as part of our repricing, amounts represent the incremental fair value of the stock options granted calculated in accordance with FASB ASC Topic 718. See note 10 of the notes to our audited consolidated financial statements for a discussion of assumptions made in determining the grant date fair value or incremental fair value of our stock options.</w:t>
      </w:r>
    </w:p>
    <w:p>
      <w:pPr>
        <w:ind w:left="460" w:right="80" w:hanging="452"/>
        <w:spacing w:after="0" w:line="271" w:lineRule="auto"/>
        <w:tabs>
          <w:tab w:leader="none" w:pos="4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in this column represent the maximum amount payable to each of our Named Executive Officers pursuant to our 2010 bonus plan for attainment of 2010 corporate and departmental goals. Our compensation committee has not yet determined the amounts payable under our 2010 bonus plan as the bonuses are based in part on financial metrics that will not be determined until our 2010 financial statements have been prepared and audited. We anticipate that the compensation committee will determine the 2010 performance bonuses at some point during the first quarter of 2011 after our audited financial statements are available, but a specific date for determination has not yet been set.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information concerning equity awards held by the Named Executive Officers at December 31,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380"/>
              <w:spacing w:after="0"/>
              <w:rPr>
                <w:sz w:val="20"/>
                <w:szCs w:val="20"/>
                <w:color w:val="auto"/>
              </w:rPr>
            </w:pPr>
            <w:r>
              <w:rPr>
                <w:rFonts w:ascii="Arial" w:cs="Arial" w:eastAsia="Arial" w:hAnsi="Arial"/>
                <w:sz w:val="14"/>
                <w:szCs w:val="14"/>
                <w:b w:val="1"/>
                <w:bCs w:val="1"/>
                <w:color w:val="auto"/>
                <w:w w:val="86"/>
              </w:rPr>
              <w:t>Option Awards</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660" w:type="dxa"/>
            <w:vAlign w:val="bottom"/>
          </w:tcPr>
          <w:p>
            <w:pPr>
              <w:spacing w:after="0"/>
              <w:rPr>
                <w:sz w:val="12"/>
                <w:szCs w:val="12"/>
                <w:color w:val="auto"/>
              </w:rPr>
            </w:pPr>
          </w:p>
        </w:tc>
        <w:tc>
          <w:tcPr>
            <w:tcW w:w="16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4"/>
              </w:rPr>
              <w:t>Option Exercise</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Exercisable(1)</w:t>
            </w:r>
          </w:p>
        </w:tc>
        <w:tc>
          <w:tcPr>
            <w:tcW w:w="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660" w:type="dxa"/>
            <w:vAlign w:val="bottom"/>
          </w:tcPr>
          <w:p>
            <w:pPr>
              <w:spacing w:after="0"/>
              <w:rPr>
                <w:sz w:val="14"/>
                <w:szCs w:val="14"/>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Price ($)</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Gajus V. Worthington</w:t>
            </w:r>
          </w:p>
        </w:tc>
        <w:tc>
          <w:tcPr>
            <w:tcW w:w="1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33,030(2)</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3.39</w:t>
            </w:r>
          </w:p>
        </w:tc>
        <w:tc>
          <w:tcPr>
            <w:tcW w:w="10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01/17/2015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25,598(3)</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05/08/2017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11,560(15)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11,560(23)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3,179(4)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4,768(7)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4,065(25)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10,948(4)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205"/>
        </w:trPr>
        <w:tc>
          <w:tcPr>
            <w:tcW w:w="5260" w:type="dxa"/>
            <w:vAlign w:val="bottom"/>
            <w:gridSpan w:val="3"/>
          </w:tcPr>
          <w:p>
            <w:pPr>
              <w:spacing w:after="0"/>
              <w:rPr>
                <w:sz w:val="20"/>
                <w:szCs w:val="20"/>
                <w:color w:val="auto"/>
              </w:rPr>
            </w:pPr>
            <w:r>
              <w:rPr>
                <w:rFonts w:ascii="Arial" w:cs="Arial" w:eastAsia="Arial" w:hAnsi="Arial"/>
                <w:sz w:val="14"/>
                <w:szCs w:val="14"/>
                <w:color w:val="auto"/>
              </w:rPr>
              <w:t>Vikram Jog</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82,576(8)</w:t>
            </w:r>
          </w:p>
        </w:tc>
        <w:tc>
          <w:tcPr>
            <w:tcW w:w="60" w:type="dxa"/>
            <w:vAlign w:val="bottom"/>
          </w:tcPr>
          <w:p>
            <w:pPr>
              <w:spacing w:after="0"/>
              <w:rPr>
                <w:sz w:val="17"/>
                <w:szCs w:val="17"/>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8,257(9)</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8,257(10)</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5,780(6)</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4,768(7)</w:t>
            </w:r>
          </w:p>
        </w:tc>
        <w:tc>
          <w:tcPr>
            <w:tcW w:w="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1,011(4)</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11/17/2009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80" w:type="dxa"/>
            <w:vAlign w:val="bottom"/>
            <w:gridSpan w:val="3"/>
          </w:tcPr>
          <w:p>
            <w:pPr>
              <w:spacing w:after="0"/>
              <w:rPr>
                <w:sz w:val="4"/>
                <w:szCs w:val="4"/>
                <w:color w:val="auto"/>
              </w:rPr>
            </w:pPr>
          </w:p>
        </w:tc>
        <w:tc>
          <w:tcPr>
            <w:tcW w:w="142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C. Jones</w:t>
            </w:r>
          </w:p>
        </w:tc>
        <w:tc>
          <w:tcPr>
            <w:tcW w:w="1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66,060(11)</w:t>
            </w: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3.39</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08/03/2015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13,211(12)</w:t>
            </w: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8,257(13)</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8,257(24)</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6,605(14)</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11,560(15)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4,768(7)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205"/>
        </w:trPr>
        <w:tc>
          <w:tcPr>
            <w:tcW w:w="5260" w:type="dxa"/>
            <w:vAlign w:val="bottom"/>
            <w:gridSpan w:val="3"/>
          </w:tcPr>
          <w:p>
            <w:pPr>
              <w:spacing w:after="0"/>
              <w:rPr>
                <w:sz w:val="20"/>
                <w:szCs w:val="20"/>
                <w:color w:val="auto"/>
              </w:rPr>
            </w:pPr>
            <w:r>
              <w:rPr>
                <w:rFonts w:ascii="Arial" w:cs="Arial" w:eastAsia="Arial" w:hAnsi="Arial"/>
                <w:sz w:val="14"/>
                <w:szCs w:val="14"/>
                <w:color w:val="auto"/>
              </w:rPr>
              <w:t>William M. Smith</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6,440(16)</w:t>
            </w:r>
          </w:p>
        </w:tc>
        <w:tc>
          <w:tcPr>
            <w:tcW w:w="60" w:type="dxa"/>
            <w:vAlign w:val="bottom"/>
          </w:tcPr>
          <w:p>
            <w:pPr>
              <w:spacing w:after="0"/>
              <w:rPr>
                <w:sz w:val="17"/>
                <w:szCs w:val="17"/>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12/04/2011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28,901(17)</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7/15/2013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7,431(18)</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2.42</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4/18/2014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16,515(19)</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3.39</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01/17/2015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16,515(20)</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08/14/2016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12,143(21)</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7,344(22)</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11,560(15)</w:t>
            </w: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11,560(23)</w:t>
            </w: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8,257(13)</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8,257(24)</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5,202(6)</w:t>
            </w:r>
          </w:p>
        </w:tc>
        <w:tc>
          <w:tcPr>
            <w:tcW w:w="6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578(4)</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4,768(7)</w:t>
            </w:r>
          </w:p>
        </w:tc>
        <w:tc>
          <w:tcPr>
            <w:tcW w:w="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1,011(4)</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Fredric Walder</w:t>
            </w: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115,606(4)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8/25/2020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120" w:hanging="452"/>
        <w:spacing w:after="0" w:line="268" w:lineRule="auto"/>
        <w:tabs>
          <w:tab w:leader="none" w:pos="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to us for any reason which right lapses in accordance with the vesting schedule of the option.</w:t>
      </w:r>
    </w:p>
    <w:p>
      <w:pPr>
        <w:ind w:left="460" w:right="40" w:hanging="452"/>
        <w:spacing w:after="0" w:line="221" w:lineRule="auto"/>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options were granted on January 18, 2005 and vested over 4 years. 20% of the shares subject to the stock option vested one year after grant, 1.667% of the shares vested at the end of each monthly period during the subsequent year, and 2.5% of the shares vested at the end of each monthly period thereafter.</w:t>
      </w:r>
    </w:p>
    <w:p>
      <w:pPr>
        <w:ind w:left="460" w:right="220" w:hanging="452"/>
        <w:spacing w:after="0" w:line="230" w:lineRule="auto"/>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12,436 of the shares subject to this grant were vested as of re-grant date, 11,560 shares vested as of February 1, 2010, and 533 shares vest each month thereafter.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may not be exercised prior to vesting.</w:t>
      </w:r>
    </w:p>
    <w:p>
      <w:pPr>
        <w:ind w:left="460" w:hanging="452"/>
        <w:spacing w:after="0"/>
        <w:tabs>
          <w:tab w:leader="none" w:pos="4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These options were granted on November 17, 2009. 6,399 shares subject to the options were vested as of the date of grant and 68 shares vest each month on after December 1, 2009.</w:t>
      </w:r>
    </w:p>
    <w:p>
      <w:pPr>
        <w:spacing w:after="0" w:line="10" w:lineRule="exact"/>
        <w:rPr>
          <w:rFonts w:ascii="Arial" w:cs="Arial" w:eastAsia="Arial" w:hAnsi="Arial"/>
          <w:sz w:val="12"/>
          <w:szCs w:val="12"/>
          <w:color w:val="auto"/>
        </w:rPr>
      </w:pPr>
    </w:p>
    <w:p>
      <w:pPr>
        <w:ind w:left="460" w:right="1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granted on November 17, 2009 and are performance related options tied to achievement of 2009 departmental goals. The remaining unvested shares subject to these grants will vest on December 31, 2012.</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granted on November 17, 2009 and are performance related grants tied to achievement of 2009 corporate goals. 6,100 of the unvested shares vested on December 31, 2009, 563 shares vested on April 1, 2010 and 46 shares vest at the end of each month thereafter.</w:t>
      </w:r>
    </w:p>
    <w:p>
      <w:pPr>
        <w:ind w:left="460" w:right="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3,526 of the shares subject to the grants were vested as of re-grant date, and 1,720 shares vest each month on and after January 7, 2010.</w:t>
      </w:r>
    </w:p>
    <w:p>
      <w:pPr>
        <w:ind w:left="460" w:right="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5,215 of the shares subject to the grants were vested as of re-grant date, 97 shares vest each month on and after January 1, 2010 until March 1, 2012, and 171 shares will vest each month on and after March 1, 2012.</w:t>
      </w:r>
    </w:p>
    <w:p>
      <w:pPr>
        <w:ind w:left="460" w:right="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5,263 of the shares subject to this grant were vested as of re-grant date, 2,477 shares will vest on December 31, 2011 and 171 shares will vest each month thereafter.</w:t>
      </w:r>
    </w:p>
    <w:p>
      <w:pPr>
        <w:ind w:left="460" w:hanging="452"/>
        <w:spacing w:after="0"/>
        <w:tabs>
          <w:tab w:leader="none" w:pos="4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This option was granted on August 3, 2005 and vested over 4 years. Twenty-five percent of the shares vested one year after grant and 2.083% of the shares vested each month thereafter.</w:t>
      </w:r>
    </w:p>
    <w:p>
      <w:pPr>
        <w:spacing w:after="0" w:line="10" w:lineRule="exact"/>
        <w:rPr>
          <w:rFonts w:ascii="Arial" w:cs="Arial" w:eastAsia="Arial" w:hAnsi="Arial"/>
          <w:sz w:val="12"/>
          <w:szCs w:val="12"/>
          <w:color w:val="auto"/>
        </w:rPr>
      </w:pPr>
    </w:p>
    <w:p>
      <w:pPr>
        <w:ind w:left="460" w:right="3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granted on May 8, 2007 and was re-granted on December 23, 2009 as part of our option re-pricing. 825 shares subject to this grant were vested as of the re-grant date, 11,560 shares vested as of February 1, 2010, and 275 shares vest each month thereafter.</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6,089 of the shares subject to the grant were vested as of re-grant date, 1,651 shares vest as of December 31, 2011, and 172 shares will vest each month thereafter.</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6,192 of the shares subject to the grant were vested as of re-grant date, and 136 shares vest each month on and after January 22, 2010.</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originally granted on April 23, 2008 and were re-granted on December 23, 2009 as part of our option re-pricing. None of the shares subject to the grants were vested as of re-grant date, 10,838 shares vest as of December 31, 2011, and 241 shares vest each month thereafter.</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December 4, 2001 and vest over 4 years at the rate of 2.083% of the shares per month.</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July 16, 2003 and vested over 4 years at the rate of 2.083% of the shares per month.</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April 19, 2004 and vested over 4 years at the rate of 2.083% of the shares per month.</w:t>
      </w:r>
    </w:p>
    <w:p>
      <w:pPr>
        <w:ind w:left="460" w:right="1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January 18, 2005 and vested over 4 years. 20% of the shares subject to the stock option vested one year after grant. 1.667% of the shares vested each month during the subsequent year and 2.5% of the shares vested each month thereafter.</w:t>
      </w:r>
    </w:p>
    <w:p>
      <w:pPr>
        <w:ind w:left="460" w:right="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August 15, 2006 and was re-granted on December 23, 2009 as part of our option re-pricing. 14,656 of the shares subject to the grant were vested as of re- grant date, 412 shares vest each month on and after January 1, 2010 until March 1, 2010, and 343 shares vest each month on and after March 1, 2010.</w:t>
      </w:r>
    </w:p>
    <w:p>
      <w:pPr>
        <w:ind w:left="460" w:right="34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None of the shares subject to the grant were vested as of re-grant date, 11,343 shares vested February 1, 2010, and 253 shares vest each month thereafter.</w:t>
      </w:r>
    </w:p>
    <w:p>
      <w:pPr>
        <w:ind w:left="460" w:right="10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6,884 of the shares subject to the grant were vested as of re-grant date, and 153 shares vest each month on and after January 22, 2010.</w:t>
      </w:r>
    </w:p>
    <w:p>
      <w:pPr>
        <w:ind w:left="460" w:right="14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10,836 of the shares subject to the grant were vested as of re-grant date, and 241 shares vest each month on and after January 22, 2010.</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originally granted on April 23, 2008 and were re-granted on December 23, 2009 as part of our option re-pricing. 5,215 of the shares subject to the grants were vested as of re-grant date, 97 shares vest each month on and after January 1, 2010 until March 1, 2012, and 171 shares vest each month on and after March 1, 2012.</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25% of the shares subject to this option vest on November 17, 2010 and 1/48th of the shares subject to the option vest every month thereafter.</w:t>
      </w:r>
    </w:p>
    <w:p>
      <w:pPr>
        <w:ind w:left="460" w:hanging="452"/>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25% of the shares subject to this option vest on August 25, 2011 and 1/48th of the shares vest every month thereafter.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Repricing of Outstanding Stock Options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November 2009, we offered eligible holders of our stock options, including our executive officers and all our employees, the opportunity to exchange certain outstanding options for new options with an exercise price equal to the fair value of our common stock on December 23, 2009, the date on which this exchange offer ended. Options eligible for exchange included all options with an exercise price greater than $4.08 per share that remained outstanding and unexercised on December 23, 2009. We determined that the fair market value of our stock on December 23, 2009 was $4.45. The new options issued in this exchange were exercisable for the same number of shares as the old options and were subject to the same terms and conditions, except that the vesting period for the new options was extended by three months. Approximately 800,578 options were exchanged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including 363,658 held by our directors and executive officers. We made this exchange offer because many of the outstanding options held by our employees had exercise prices significantly above the fair value of our common stock, and we believed that such options provided little incentive to employees. Our executive officers were entitled to participate in the exchange offer on the same basis as other employees because we intend for options to be an important form of incentive compensation for our executive officers.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 and Offer Letters</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Fredric Walder</w:t>
      </w:r>
      <w:r>
        <w:rPr>
          <w:rFonts w:ascii="Arial" w:cs="Arial" w:eastAsia="Arial" w:hAnsi="Arial"/>
          <w:sz w:val="16"/>
          <w:szCs w:val="16"/>
          <w:color w:val="auto"/>
        </w:rPr>
        <w:t>. We are party to an offer letter dated May 3, 2010, with Fredric Walder, our Chief Business Officer. As Chief Business Officer, Mr.</w:t>
      </w:r>
      <w:r>
        <w:rPr>
          <w:rFonts w:ascii="Arial" w:cs="Arial" w:eastAsia="Arial" w:hAnsi="Arial"/>
          <w:sz w:val="16"/>
          <w:szCs w:val="16"/>
          <w:i w:val="1"/>
          <w:iCs w:val="1"/>
          <w:color w:val="auto"/>
        </w:rPr>
        <w:t xml:space="preserve"> </w:t>
      </w:r>
      <w:r>
        <w:rPr>
          <w:rFonts w:ascii="Arial" w:cs="Arial" w:eastAsia="Arial" w:hAnsi="Arial"/>
          <w:sz w:val="16"/>
          <w:szCs w:val="16"/>
          <w:color w:val="auto"/>
        </w:rPr>
        <w:t>Walder is responsible for overseeing all global marketing activities, developing our global sales strategy, and managing our corporate brand and positioning. Under this offer letter, we employ Mr. Walder on an at-will basis for no specified term and agree to pay him an annual base salary of $290,000, which continues to be his base salary. We have also agreed to provide him with up to $105,000 in relocation benefits and to reimburse, with a tax gross up, his commuting costs prior to relocation. Pursuant to the offer letter, we granted him an option to purchase 115,606 shares of our common stock with an exercise price of $4.45, per share, the fair value of our common stock on the date of grant. 1/4 of the shares subject to this grant vest one year after the date of his commencement of employment with us and 1/48</w:t>
      </w:r>
      <w:r>
        <w:rPr>
          <w:rFonts w:ascii="Arial" w:cs="Arial" w:eastAsia="Arial" w:hAnsi="Arial"/>
          <w:sz w:val="10"/>
          <w:szCs w:val="10"/>
          <w:color w:val="auto"/>
        </w:rPr>
        <w:t>th</w:t>
      </w:r>
      <w:r>
        <w:rPr>
          <w:rFonts w:ascii="Arial" w:cs="Arial" w:eastAsia="Arial" w:hAnsi="Arial"/>
          <w:sz w:val="16"/>
          <w:szCs w:val="16"/>
          <w:color w:val="auto"/>
        </w:rPr>
        <w:t xml:space="preserve"> of the shares vest at the end of each month thereafter subject to Mr. Walder’s continued employment with us at each applicable vesting date. Mr. Walder is also eligible to participate in our executive bonus plan and receive the same benefits upon termination or change of control as our other executive officers.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have entered into employment and severance agreements with Gajus V. Worthington, William M. Smith, Robert C. Jones, Vikram Jog and Fredric Walder, which require us to make payments if the named executive officer’s employment with us is terminated in certain circumstances.</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our employment and severance agreements with our named executive officers, a “change of control” is defined as the occurrence of the following events:</w:t>
      </w:r>
    </w:p>
    <w:p>
      <w:pPr>
        <w:spacing w:after="0" w:line="51" w:lineRule="exact"/>
        <w:rPr>
          <w:sz w:val="20"/>
          <w:szCs w:val="20"/>
          <w:color w:val="auto"/>
        </w:rPr>
      </w:pPr>
    </w:p>
    <w:p>
      <w:pPr>
        <w:jc w:val="both"/>
        <w:ind w:left="780" w:right="400" w:hanging="326"/>
        <w:spacing w:after="0" w:line="259"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59"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61" w:lineRule="exact"/>
        <w:rPr>
          <w:rFonts w:ascii="Arial" w:cs="Arial" w:eastAsia="Arial" w:hAnsi="Arial"/>
          <w:sz w:val="18"/>
          <w:szCs w:val="18"/>
          <w:color w:val="auto"/>
        </w:rPr>
      </w:pPr>
    </w:p>
    <w:p>
      <w:pPr>
        <w:ind w:left="780" w:right="180" w:hanging="326"/>
        <w:spacing w:after="0" w:line="255"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of the consummation of the sale or disposition by us of all or substantially all of our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our employment and severance agreements with our named executive officers, “cause” is defined as:</w:t>
      </w:r>
    </w:p>
    <w:p>
      <w:pPr>
        <w:spacing w:after="0" w:line="90"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act of dishonesty in connection with a named executive officer’s responsibilities as an employee;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conviction of, or plea of nolo contendere to, a felony or any crime involving fraud, embezzlement or any other act of moral turpitude;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gross misconduct;</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unauthorized use or disclosure of any of our proprietary information or of any other party to whom he or she owes an obligation of nondisclosure as a result of his or her relationship with 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willful breach of any obligations under any written agreement or covenant with us; or</w:t>
      </w:r>
    </w:p>
    <w:p>
      <w:pPr>
        <w:spacing w:after="0" w:line="9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our employment and severance agreements with Gajus V. Worthington, William M. Smith, Robert C. Jones, Vikram Jog and Fredric Walder, “good reason” means the occurrence of one or more of the following events effected without the named executive officer’s prior consent, provided that he or she terminates his or her employment within one year thereafter:</w:t>
      </w:r>
    </w:p>
    <w:p>
      <w:pPr>
        <w:spacing w:after="0" w:line="59" w:lineRule="exact"/>
        <w:rPr>
          <w:sz w:val="20"/>
          <w:szCs w:val="20"/>
          <w:color w:val="auto"/>
        </w:rPr>
      </w:pPr>
    </w:p>
    <w:p>
      <w:pPr>
        <w:ind w:left="780" w:hanging="326"/>
        <w:spacing w:after="0" w:line="256"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reduction of the named executive officer’s 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relocation of the named executive officer to a facility or a location greater than 50 miles from his or her present location;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breach by us of any material provision of the employment and severance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However, no act or omission by us shall constitute “good reason” if we fully cure that act or omission within 30 days of receiving notice from the named executive officer.</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32" w:lineRule="exact"/>
        <w:rPr>
          <w:sz w:val="20"/>
          <w:szCs w:val="20"/>
          <w:color w:val="auto"/>
        </w:rPr>
      </w:pPr>
    </w:p>
    <w:p>
      <w:pPr>
        <w:ind w:left="780" w:right="42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amount, payable in accordance with our customary payroll practices, equal to six months of the named executive officer’s base salary in effect immediately prior to the time of termination; and</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employment and severance agreements further provide that in the event the named executive officer’s employment is terminated (i) by us or our successor without “cause” and within 12 months following a “change of control” or (ii) by the executive officer for “good reason” and within 12 months following a “change of control”, and in each case the named executive officer executes a standard release of claims with us,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51" w:lineRule="exact"/>
        <w:rPr>
          <w:sz w:val="20"/>
          <w:szCs w:val="20"/>
          <w:color w:val="auto"/>
        </w:rPr>
      </w:pPr>
    </w:p>
    <w:p>
      <w:pPr>
        <w:ind w:left="780" w:right="80" w:hanging="326"/>
        <w:spacing w:after="0" w:line="332"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50" w:lineRule="exact"/>
        <w:rPr>
          <w:rFonts w:ascii="Arial" w:cs="Arial" w:eastAsia="Arial" w:hAnsi="Arial"/>
          <w:sz w:val="18"/>
          <w:szCs w:val="18"/>
          <w:color w:val="auto"/>
        </w:rPr>
      </w:pPr>
    </w:p>
    <w:p>
      <w:pPr>
        <w:ind w:left="780" w:right="40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describes the payments and benefits that each of our named executive officers would be entitled to receive pursuant to the employment and severance agreements, assuming that each of the following triggers occurred in December 31, 2010: (i) their employment was terminated without “cause” prior to or after 12 months following a “change of control” and (ii) their employment was terminated without “cause” or by them for “good reason” within 12 months following a “change of control”.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Employment Terminated without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2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Cause Prior to or After 12 Months</w:t>
            </w:r>
          </w:p>
        </w:tc>
        <w:tc>
          <w:tcPr>
            <w:tcW w:w="32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Employment Terminated within 12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Following Change of Control</w:t>
            </w:r>
          </w:p>
        </w:tc>
        <w:tc>
          <w:tcPr>
            <w:tcW w:w="3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Following Change of Control(1)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w w:val="97"/>
              </w:rPr>
              <w:t>Severance</w:t>
            </w:r>
          </w:p>
        </w:tc>
        <w:tc>
          <w:tcPr>
            <w:tcW w:w="5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Health Care</w:t>
            </w:r>
          </w:p>
        </w:tc>
        <w:tc>
          <w:tcPr>
            <w:tcW w:w="5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5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Severance</w:t>
            </w: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Health Care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w w:val="99"/>
              </w:rPr>
              <w:t>Payments</w:t>
            </w:r>
          </w:p>
        </w:tc>
        <w:tc>
          <w:tcPr>
            <w:tcW w:w="540" w:type="dxa"/>
            <w:vAlign w:val="bottom"/>
          </w:tcPr>
          <w:p>
            <w:pPr>
              <w:spacing w:after="0"/>
              <w:rPr>
                <w:sz w:val="12"/>
                <w:szCs w:val="12"/>
                <w:color w:val="auto"/>
              </w:rPr>
            </w:pP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Benefits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5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Payments</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Name and Principal Position</w:t>
            </w:r>
          </w:p>
        </w:tc>
        <w:tc>
          <w:tcPr>
            <w:tcW w:w="2000" w:type="dxa"/>
            <w:vAlign w:val="bottom"/>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Gajus V. Worthington</w:t>
            </w:r>
          </w:p>
        </w:tc>
        <w:tc>
          <w:tcPr>
            <w:tcW w:w="8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82"/>
              </w:rPr>
              <w:t>147,420</w:t>
            </w:r>
          </w:p>
        </w:tc>
        <w:tc>
          <w:tcPr>
            <w:tcW w:w="2000" w:type="dxa"/>
            <w:vAlign w:val="bottom"/>
            <w:gridSpan w:val="3"/>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279,522</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147,420</w:t>
            </w:r>
          </w:p>
        </w:tc>
        <w:tc>
          <w:tcPr>
            <w:tcW w:w="1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40" w:type="dxa"/>
            <w:vAlign w:val="bottom"/>
            <w:gridSpan w:val="5"/>
          </w:tcPr>
          <w:p>
            <w:pPr>
              <w:spacing w:after="0"/>
              <w:rPr>
                <w:sz w:val="20"/>
                <w:szCs w:val="20"/>
                <w:color w:val="auto"/>
              </w:rPr>
            </w:pPr>
            <w:r>
              <w:rPr>
                <w:rFonts w:ascii="Arial" w:cs="Arial" w:eastAsia="Arial" w:hAnsi="Arial"/>
                <w:sz w:val="18"/>
                <w:szCs w:val="18"/>
                <w:color w:val="auto"/>
              </w:rPr>
              <w:t>Vikram Jog</w:t>
            </w:r>
          </w:p>
        </w:tc>
        <w:tc>
          <w:tcPr>
            <w:tcW w:w="820" w:type="dxa"/>
            <w:vAlign w:val="bottom"/>
          </w:tcPr>
          <w:p>
            <w:pPr>
              <w:ind w:left="260"/>
              <w:spacing w:after="0"/>
              <w:rPr>
                <w:sz w:val="20"/>
                <w:szCs w:val="20"/>
                <w:color w:val="auto"/>
              </w:rPr>
            </w:pPr>
            <w:r>
              <w:rPr>
                <w:rFonts w:ascii="Arial" w:cs="Arial" w:eastAsia="Arial" w:hAnsi="Arial"/>
                <w:sz w:val="18"/>
                <w:szCs w:val="18"/>
                <w:color w:val="auto"/>
                <w:w w:val="82"/>
              </w:rPr>
              <w:t>139,000</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tcPr>
          <w:p>
            <w:pPr>
              <w:jc w:val="right"/>
              <w:spacing w:after="0"/>
              <w:rPr>
                <w:sz w:val="20"/>
                <w:szCs w:val="20"/>
                <w:color w:val="auto"/>
              </w:rPr>
            </w:pPr>
            <w:r>
              <w:rPr>
                <w:rFonts w:ascii="Arial" w:cs="Arial" w:eastAsia="Arial" w:hAnsi="Arial"/>
                <w:sz w:val="18"/>
                <w:szCs w:val="18"/>
                <w:color w:val="auto"/>
              </w:rPr>
              <w:t>335,817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2"/>
              </w:rPr>
              <w:t>137,800</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40" w:type="dxa"/>
            <w:vAlign w:val="bottom"/>
            <w:gridSpan w:val="5"/>
          </w:tcPr>
          <w:p>
            <w:pPr>
              <w:spacing w:after="0"/>
              <w:rPr>
                <w:sz w:val="20"/>
                <w:szCs w:val="20"/>
                <w:color w:val="auto"/>
              </w:rPr>
            </w:pPr>
            <w:r>
              <w:rPr>
                <w:rFonts w:ascii="Arial" w:cs="Arial" w:eastAsia="Arial" w:hAnsi="Arial"/>
                <w:sz w:val="18"/>
                <w:szCs w:val="18"/>
                <w:color w:val="auto"/>
              </w:rPr>
              <w:t>William M. Smith</w:t>
            </w:r>
          </w:p>
        </w:tc>
        <w:tc>
          <w:tcPr>
            <w:tcW w:w="820" w:type="dxa"/>
            <w:vAlign w:val="bottom"/>
          </w:tcPr>
          <w:p>
            <w:pPr>
              <w:ind w:left="260"/>
              <w:spacing w:after="0"/>
              <w:rPr>
                <w:sz w:val="20"/>
                <w:szCs w:val="20"/>
                <w:color w:val="auto"/>
              </w:rPr>
            </w:pPr>
            <w:r>
              <w:rPr>
                <w:rFonts w:ascii="Arial" w:cs="Arial" w:eastAsia="Arial" w:hAnsi="Arial"/>
                <w:sz w:val="18"/>
                <w:szCs w:val="18"/>
                <w:color w:val="auto"/>
                <w:w w:val="82"/>
              </w:rPr>
              <w:t>137,800</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10,737</w:t>
            </w:r>
          </w:p>
        </w:tc>
        <w:tc>
          <w:tcPr>
            <w:tcW w:w="760" w:type="dxa"/>
            <w:vAlign w:val="bottom"/>
          </w:tcPr>
          <w:p>
            <w:pPr>
              <w:jc w:val="right"/>
              <w:spacing w:after="0"/>
              <w:rPr>
                <w:sz w:val="20"/>
                <w:szCs w:val="20"/>
                <w:color w:val="auto"/>
              </w:rPr>
            </w:pPr>
            <w:r>
              <w:rPr>
                <w:rFonts w:ascii="Arial" w:cs="Arial" w:eastAsia="Arial" w:hAnsi="Arial"/>
                <w:sz w:val="18"/>
                <w:szCs w:val="18"/>
                <w:color w:val="auto"/>
              </w:rPr>
              <w:t>176,836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Vice President, Legal Affairs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and General Counsel</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2"/>
              </w:rPr>
              <w:t>145,000</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1,161,840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Chief Business Officer</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involuntary termination other than for cause, death or disability, and voluntary termination by the employee for good reason.</w:t>
      </w:r>
    </w:p>
    <w:p>
      <w:pPr>
        <w:ind w:left="460" w:hanging="452"/>
        <w:spacing w:after="0" w:line="221"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in this column are equal to six months of the named executive officer’s base salary as of December 31, 2010.</w:t>
      </w:r>
    </w:p>
    <w:p>
      <w:pPr>
        <w:ind w:left="460" w:right="100" w:hanging="452"/>
        <w:spacing w:after="0" w:line="221"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460" w:right="160" w:hanging="452"/>
        <w:spacing w:after="0" w:line="227"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in this column are equal to the spread value between (i) the unvested portion of all outstanding stock options, equity appreciation rights or similar equity awards held by the named executive officer on December 31, 2010 and (ii) the initial public offering price of our common stock, which we have assumed to be the midpoint of the price range set forth on the cover page of this prospectus.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benefits described above, our 2009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adopted our 2011 Equity Incentive Plan on January 20, 2011 and our stockholders approved the plan on January 28, 2011. The 2011 Equity Incentive Plan will be effective upon completion of this offering. Our 2011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116" w:lineRule="exact"/>
        <w:rPr>
          <w:sz w:val="20"/>
          <w:szCs w:val="20"/>
          <w:color w:val="auto"/>
        </w:rPr>
      </w:pPr>
    </w:p>
    <w:p>
      <w:pPr>
        <w:jc w:val="both"/>
        <w:ind w:right="120" w:firstLine="456"/>
        <w:spacing w:after="0" w:line="314" w:lineRule="auto"/>
        <w:rPr>
          <w:sz w:val="20"/>
          <w:szCs w:val="20"/>
          <w:color w:val="auto"/>
        </w:rPr>
      </w:pPr>
      <w:r>
        <w:rPr>
          <w:rFonts w:ascii="Arial" w:cs="Arial" w:eastAsia="Arial" w:hAnsi="Arial"/>
          <w:sz w:val="15"/>
          <w:szCs w:val="15"/>
          <w:color w:val="auto"/>
        </w:rPr>
        <w:t>A total of 1,250,000 shares of our common stock are reserved for issuance pursuant to the 2011 Equity Incentive Plan, of which no options are issued and outstanding. In addition, the shares reserved for issuance under our 2011 Equity Incentive Plan will also include (a) those shares reserved but unissued under the 2009 Equity Incentive Plan as of the effective date of the first registration statement filed by us and declared effective with respect to any class of our securities and (b) shares returned to the 1999 Stock Option Plan and the 2009 Equity Incentive Plan as the result of expiration or termination of options (provided that the maximum number of shares that may be added to the 2011 Equity Incentive Plan pursuant to (a) and (b) is 3,022,096 shares. The number of shares available for issuance under the 2011 Equity Incentive Plan will also include an annual increase on the first day of each fiscal year beginning in 2012, equal to the least of:</w:t>
      </w:r>
    </w:p>
    <w:p>
      <w:pPr>
        <w:spacing w:after="0" w:line="24" w:lineRule="exact"/>
        <w:rPr>
          <w:sz w:val="20"/>
          <w:szCs w:val="20"/>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1,000,000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4.0% of the outstanding shares of common stock as of the last day of our immediately preceding fiscal year;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Board of Directors or a committee appointed by our board administers our 2011 Equity Incentive Plan. Our compensation committee will administer our 2011 Equity Incentive Plan after the completion of the offering. In the case of awards intended to qualify as “performance-based compensation” within the meaning of Section 162(m) of the Internal Revenue Code, the committee will consist of two or more “outside directors” within the meaning of Section 162(m).</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provisions of our 2011 Equity Incentive Plan, the administrator has the power to determine the terms of the awards, including the 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exercise price of options granted under our 2011 Equity Incentive Plan must at least be equal to the fair market value of our common stock on the date of grant. The term of an incentive stock option may not exceed 10 years, except that with respect to any participant who owns 10% of the voting power of all classes of our outstanding stock, the term must not exceed 5 years and the exercise price must equal at least 110% of the fair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market value on the grant date. Subject to the provisions of our 2011 Equity Incentive Plan, the administrator determines the term of all other options.</w:t>
      </w:r>
    </w:p>
    <w:p>
      <w:pPr>
        <w:spacing w:after="0" w:line="19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 appreciation rights may be granted under our 2011 Equity Incentive Plan. Stock appreciation rights allow the recipient to receive the appreciation in the fair market value of our common stock between the exercise date and the date of grant. Subject to the provisions of our 2011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1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Restricted stock may be granted under our 2011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Shares of restricted stock that do not vest are subject to our right of repurchase or forfeiture.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stock units may be granted under our 2011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Performance units and performance shares may be granted under our 2011 Equity Incentive Plan. Performance units and 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2011 Equity Incentive Plan provides that all non-employee directors will be eligible to receive all types of awards (except for incentive stock options) under the 2011 Equity Incentive Plan. Please see the description of our outside director equity compensation policy above under “Director Compensation—Post Offering.”</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Unless the administrator provides otherwise, our 2011 Equity Incentive Plan generally does not allow for the transfer of awards and only the recipient of an award may exercise an award during his or her lifetime.</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2011 Equity Incentive Plan provides that in the event of a merger or “change in control,” as defined in the 2011 Equity Incentive Plan, each outstanding award will be treated as the administrator determines, including that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The administrator will provide notice to the recipient that he or she has the right to exercise the option and stock appreciation right as to all of the shares subject to the award, all restrictions on restricted stock will lapse, and all performance goals or other vesting requirements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2009 Equity Incentive Plan, as Amended</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2009 Equity Incentive Plan was adopted by our Board of Directors on April 30, 2009 and approved by our stockholders on August 14, 2009, and subsequently amended on November 13, 2009. Our 2009 Equity Incentive Plan provides for the grant of incentive stock options, within the meaning of Section 422 of the Internal Revenue Code, to our employees and any parent and subsidiary corporations’ employees, and for the grant of nonstatutory stock options, stock appreciation rights, restricted stock, and restricted stock units to our employees, directors and consultants and our parent and subsidiary corporations’ employees and consultants. Our Board of Directors has decided not to grant any additional options under our 2009 Equity Incentive Plan upon the completion of this offering. However, our 2009 Equity Incentive Plan will continue to govern the terms and conditions of the outstanding stock options previously granted thereunder.</w:t>
      </w:r>
    </w:p>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Subject to the provisions of our 2009 Equity Incentive Plan, the maximum aggregate number of shares which may be subject to options and sold under our 2009 Equity Incentive Plan is 1,009,524 shares, plus 1,696,667 shares that were subject to stock options or similar awards granted under the 1999 Stock Option Plan that expired or terminated without having been exercised in full and unvested shares issued pursuant to awards granted under the 1999 Stock Option Plan that were forfeited to or repurchased by us.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Shares issued pursuant to awards under the 2009 Equity Incentive Plan that we repurchase or that expire or are forfeited, as well as shares used to pay the exercise price of an award or to satisfy the tax withholding obligations related to an award, will become available for future grant under the 2009 Equity Incentive Plan. In addition, to the extent that an award is paid out in cash rather than shares, such cash payment will not reduce the number of shares available for issuance under the 2009 Equity Incentive Plan.</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compensation committee appointed by our board of directors currently administers our 2009 Equity Incentive Plan. Under our 2009 Equity Incentive Plan, the administrator has the power to determine the terms of awards, including the recipients, the exercise price, if any, the number of shares covering each award, the fair market value of a share of our common stock, the vesting schedule applicable to the awards, together with any vesting acceleration, the form of consideration, if any, payable upon exercise of the award, and the terms of the award agreement for use under the 2009 Equity Incentive Plan. The administrator also has the authority, subject to the terms of the 2009 Equity Incentive Plan, to amend existing awards to reduce or increase their exercise price, to allow participants the opportunity to transfer outstanding awards to a financial institution or other person or entity selected by the administrator, to institute an exchange program by which outstanding awards may be surrendered in exchange for awards that may have different exercise prices and terms, to prescribe rules and to construe and interpret the 2009 Equity Incentive Plan and awards granted under the 2009 Equity Incentive Plan.</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administrator may grant incentive and/or nonstatutory stock options under our 2009 Equity Incentive Plan, provided that incentive stock options are only granted to employees. The exercise price of such options must equal at least the fair market value of our common stock on the date of grant. The term of an incentive stock option may not exceed ten years; provided, however, that an incentive stock option held by a participant who owns more than 10% of the total combined voting power of all classes of our stock, or of certain of our parent or subsidiary corporations, may not have a term in excess of five years and must have an exercise price of at least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110% of the fair market value of our common stock on the grant date. The administrator will determine the methods of payment of the exercise price of an option, which may include cash, shares or other property acceptable to the administrator. Subject to the provisions of our 2009 Plan, the administrator determines the remaining terms of the options (e.g., vesting). After the termination of service of an employee, director or consultant, the participant may exercise his or her option, to the extent vested as of such date of termination, for the period of time stated in his or her award agreement. However, in no event may an option be exercised later than the expiration of its term. The specific terms will be set forth in an award agreement.</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6 months. In all other cases, the option will generally remain exercisable for 30 days following the termination of service. In some cases, options issued to consultants pursuant to our 2009 Equity Incentive Plan provide that they may be exercised at anytime prior to the expiration of the ten year term of the option. However, in no event may an option be exercised later than the expiration of its term.</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Stock appreciation rights may be granted under our 2009 Equity Incentive Plan. Stock appreciation rights allow the recipient to receive the appreciation in the fair market value of our common stock between the exercise date and the date of grant. Subject to the provisions of our 2009 Equity Incentive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Restricted stock may be granted under our 2009 Equity Incentive Plan. Restricted stock awards are grants of shares of our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forfeited by the recipient and will revert to us. The specific terms will be set forth in an award agreement.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Restricted stock units may be granted under our 2009 Equity Incentive Plan.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to us, and the form and timing of payment. The administrator, in its sole discretion, may reduce or waive any vesting criteria that must be met to receive a payout. The administrator determines in its sole discretion whether an award will be settled in stock, cash or a combination of both. The specific terms will be set forth in an award agreement.</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administrator provides otherwise, our 2009 Equity Incentive Plan generally does not allow for the transfer of awards and only the recipient of an award may exercise an award during his or her lifetime.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event of certain changes in our capitalization, to prevent diminution or enlargement of the benefits or potential benefits available under the 2009 Equity Incentive Plan, the administrator will make adjustments to one or more of the number and class of shares that may be delivered under the plan and/or the number, class and price of shares covered by each outstanding award. In the event of our proposed liquidation or dissolution, the administrator will notify participants as soon as practicable and all awards will terminate immediately prior to the consummation of such proposed transaction.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2009 Equity Incentive Plan provides that in the event of a merger or change in control, as defined under the 2009 Equity Incentive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board of directors has the authority to amend, alter, suspend or terminate the 2009 Equity Incentive Plan provided such action does not impair the existing rights of any participant. Our 2009 Equity Incentive Plan will automatically terminate in 2019, unless we terminate it sooner.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1999 Stock Option Plan</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1999 Stock Option Plan was adopted by our board of directors and approved by our stockholders on May 12, 1999. The 1999 Stock Option Plan was terminated on April 30, 2009. Following the termination of our 1999 Stock Option Plan, we did not grant any additional awards under the 1999 Stock Option Plan, but the 1999 Stock Option Plan will continue to govern the terms and conditions of the outstanding awards previously granted thereunder.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1999 Stock Option Plan provided for the grant of incentive stock options, within the meaning of Section 422 of the Internal Revenue Code, to our employees and any parent and subsidiary corporations’ employees, and for the grant of nonstatutory stock options to our employees, directors and consultants and our parent and subsidiary corporations’ employees and consultants.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provisions of our 1999 Stock Option Plan, the maximum aggregate number of shares issuable under our 1999 Stock Option Plan was 2,444,260 shares. As of September 30, 2010, options to purchase 428,479 shares of our common stock were outstanding under the 1999 Stock Option Plan. If an option expires or becomes unexercisable without having been exercised in full or is surrendered pursuant to an option exchange program, such shares will become available for future grant or sale.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compensation committee appointed by our board of directors currently administers our 1999 Stock Option Plan. Under our 1999 Stock Option Plan, the administrator has the power to determine the terms of the stock options, including the employees, directors and consultants who will receive stock options, the number of shares subject to each stock option, the vesting schedule, any vesting acceleration, and the exercisability of stock options. The administrator also has the authority to initiate an option exchange program whereby stock options are exchanged for stock options with a lower exercise price. The administrator may also reduce the exercise price of any option to the then current fair market value if the fair market value of our common stock has declined since the date the option was granted.</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exercise price of options granted under our 1999 Stock Option Plan had to be at least equal to the fair market value of our common stock on the date of grant. The term of an incentive stock option had to not exceed 10 years, except that with respect to any optionee who owned 10% of the voting power of all classes of our outstanding stock as of the grant date, the term could not exceed 5 years and the exercise price had to equal at least 110% of the fair market value on the grant date. Subject to the provisions of our 1999 Stock Option Plan, the administrator determined the terms of all other options in its discretion.</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In some cases, options issued to consultants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our 1999 Stock Option Plan provide that they may be exercised at anytime prior to the expiration of the ten year term of the option. However, in no event may an option be exercised later than the expiration of its term.</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the administrator provides otherwise, our 1999 Stock Option Plan generally does not allow for the transfer of awards and only the recipient of an award may exercise an award during his or her lifetime.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1999 Stock Option Plan provides that in the event of a merger of our company or a sale of substantially all of our assets, each outstanding stock option will be assumed or an equivalent option or right substituted by the successor corporation. If there is no assumption or substitution of outstanding options (or portions thereof), the options (or portions thereof) will fully vest and become fully exercisable. In such case, the administrator will provide notice to the optionee that he or she has the right to exercise the option as to all of the shares subject to the option for a period of at least 15 days. The option will terminate upon the expiration of the period of time the administrator provides in the notice.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board of directors has the authority to amend, suspend or terminate the 1999 Stock Option Plan provided such action does not impair the rights of any optionee without his or her written consent.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401(k) Plan</w:t>
      </w:r>
      <w:r>
        <w:rPr>
          <w:rFonts w:ascii="Arial" w:cs="Arial" w:eastAsia="Arial" w:hAnsi="Arial"/>
          <w:sz w:val="16"/>
          <w:szCs w:val="16"/>
          <w:color w:val="auto"/>
        </w:rPr>
        <w:t>. We maintain a tax-qualified retirement plan that provides eligible employees with an opportunity to save for retirement on a tax advantaged</w:t>
      </w:r>
      <w:r>
        <w:rPr>
          <w:rFonts w:ascii="Arial" w:cs="Arial" w:eastAsia="Arial" w:hAnsi="Arial"/>
          <w:sz w:val="16"/>
          <w:szCs w:val="16"/>
          <w:i w:val="1"/>
          <w:iCs w:val="1"/>
          <w:color w:val="auto"/>
        </w:rPr>
        <w:t xml:space="preserve"> </w:t>
      </w:r>
      <w:r>
        <w:rPr>
          <w:rFonts w:ascii="Arial" w:cs="Arial" w:eastAsia="Arial" w:hAnsi="Arial"/>
          <w:sz w:val="16"/>
          <w:szCs w:val="16"/>
          <w:color w:val="auto"/>
        </w:rPr>
        <w:t>basis. Eligible employees are able to participate in the 401(k) plan as of the first day of the month on or following the date they begin employment and participants are able to defer up to 60% of their eligible compensation subject to applicable annual Internal Revenue Code limits. All participants’ interests in their deferrals are 100% vested when contributed. The 401(k) plan permits us to make matching contributions and profit sharing contributions to eligible participants, although we have not made any such contributions to date. Pre-tax contributions are allocated to each participant’s individual account and are then invested in selected investment alternatives according to the participants’ directions. The 401(k) plan is intended to qualify under Sections 401(a) and 501(a) of the Internal Revenue Code. As a tax-qualified retirement plan, contributions to the 401(k) plan and earnings on those contributions are not taxable to the employees until distributed from the 401(k) plan and all contributions are deductible by us when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amended and restated certificate of incorporation and bylaws that will become effective upon the completion of this offering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26"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amended and restated certificate of incorporation that will become effective upon the completion of this offering, provides that we indemnify our directors to the fullest extent permitted by Delaware law. In addition, our amended and restated bylaws, that will become effective upon the completion of this offering, provide that we indemnify our directors and officers to the fullest extent permitted by Delaware law. Our amended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restated bylaws, that will become effective upon the completion of this offering,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that will become effective upon the completion of this offering,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In addition to the director and executive compensation arrangements discussed above in “Management,” we have been a party to the following transactions since January 1, 2008,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Note Financing</w:t>
      </w:r>
    </w:p>
    <w:p>
      <w:pPr>
        <w:spacing w:after="0" w:line="9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January 2011, we sold subordinated secured promissory notes, or the 2011 Notes, to certain of our existing investors for an aggregate purchase price of $5.0 million. The 2011 Notes accrue interest at a rate of 8% per year and all unpaid principal, accrued interest and any other amounts payable under the</w:t>
      </w:r>
    </w:p>
    <w:p>
      <w:pPr>
        <w:ind w:right="60"/>
        <w:spacing w:after="0" w:line="290" w:lineRule="auto"/>
        <w:rPr>
          <w:sz w:val="20"/>
          <w:szCs w:val="20"/>
          <w:color w:val="auto"/>
        </w:rPr>
      </w:pPr>
      <w:r>
        <w:rPr>
          <w:rFonts w:ascii="Arial" w:cs="Arial" w:eastAsia="Arial" w:hAnsi="Arial"/>
          <w:sz w:val="16"/>
          <w:szCs w:val="16"/>
          <w:color w:val="auto"/>
        </w:rPr>
        <w:t>2011 Notes are due and payable on the earliest to occur of: (i) the closing of the next transaction or series of transactions pursuant to which we issue and sell shares of our capital stock with the principal purpose of raising capital for aggregate gross proceeds of at least $25,000,000; (ii) the closing of a change of control of our company; (iii) January 6, 2012, or (iv) when, upon the occurrence and during the continuance of an event of default, such amounts are declared due and payable by the holders of a majority of the aggregate outstanding principal amount of the 2011 Notes. The notes are secured by substantially all of our assets excluding intellectual property. We currently expect that the 2011 Notes will become due and payable upon the closing of this offering and we intend to use a portion of the net proceeds from this offering to satisfy our repayment obligations under the 2011 Notes.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investor who purchased a 2011 Note also received a warrant to purchase a number of shares of our Series E-1 convertible preferred stock equal to the quotient obtained by dividing (x) 25% of the principal amount of the 2011 Note purchased by such investor by (y) $12.11, which warrants are currently exercisable for rights to purchase an aggregate of 103,182 shares of our Series E-1 convertible preferred stock at a purchase price per share of $0.02.</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connection with these sales, we granted the investors certain registration rights with respect to the shares issuable upon exercise of the warrants. See “Description of Capital Stock—Registration Rights.”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table below sets forth (i) the principal amount of 2011 Notes purchased by each of our directors, executive officers, holders of more than 5% of any class of our voting securities, or any member of the immediate family of or any entities affiliated with any of the foregoing persons, and (ii) the number of shares of our Series E-1 convertible preferred stock currently issuable upon the exercise of warrants issued in connection with the purchase of our 2011 Notes.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Number 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Series E-1 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Currently Issuable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Exercise of Warrant(s)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2"/>
          </w:tcPr>
          <w:p>
            <w:pPr>
              <w:jc w:val="right"/>
              <w:ind w:right="1320"/>
              <w:spacing w:after="0" w:line="149" w:lineRule="exact"/>
              <w:rPr>
                <w:sz w:val="20"/>
                <w:szCs w:val="20"/>
                <w:color w:val="auto"/>
              </w:rPr>
            </w:pPr>
            <w:r>
              <w:rPr>
                <w:rFonts w:ascii="Arial" w:cs="Arial" w:eastAsia="Arial" w:hAnsi="Arial"/>
                <w:sz w:val="14"/>
                <w:szCs w:val="14"/>
                <w:b w:val="1"/>
                <w:bCs w:val="1"/>
                <w:color w:val="auto"/>
                <w:w w:val="87"/>
              </w:rPr>
              <w:t>Principal Amount of</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 in connection with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w w:val="84"/>
              </w:rPr>
              <w:t>Purchaser</w:t>
            </w: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2011 Note(s) Purchased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2011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Colella Family Trust U/D/T dated September 21, 1992(1)(4)</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400,000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Entities affiliated with Fidelity Funds(2)</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533,625</w:t>
            </w:r>
          </w:p>
        </w:tc>
        <w:tc>
          <w:tcPr>
            <w:tcW w:w="1540" w:type="dxa"/>
            <w:vAlign w:val="bottom"/>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Entities affiliated with Lehman Brothers Holdings, Inc.(3)</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310,153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Entities affiliated with Versant Ventures(1)(4)</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400,000</w:t>
            </w:r>
          </w:p>
        </w:tc>
        <w:tc>
          <w:tcPr>
            <w:tcW w:w="1540" w:type="dxa"/>
            <w:vAlign w:val="bottom"/>
          </w:tcPr>
          <w:p>
            <w:pPr>
              <w:jc w:val="right"/>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Vikram and Pratima Jog Family Trust u/a dated 6/23/2009(5)</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Worthington Family Trust UAD 03/06/07(6)</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25,000</w:t>
            </w:r>
          </w:p>
        </w:tc>
        <w:tc>
          <w:tcPr>
            <w:tcW w:w="15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1,768,778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Samuel D. Colella, a member of our Board of Directors and a managing director of Versant Ventures is a co-trustee of the Colella Family Trust U/D/T dated September 21, 1992.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Consists of a 2011 Note in the principal amount of $41,275 and a related warrant currently exercisable for 852 shares issued to Fidelity Contrafund: Fidelity Advisor New Insights Fund, a 2011 Note in</w:t>
      </w:r>
    </w:p>
    <w:p>
      <w:pPr>
        <w:spacing w:after="0" w:line="22"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the principal amount of $376,568 and a related warrant currently exercisable for 7,773 shares issued to Fidelity Contrafund: Fidelity Contrafund, and a 2011 Note in the principal amount of $115,782 and</w:t>
      </w:r>
    </w:p>
    <w:p>
      <w:pPr>
        <w:spacing w:after="0" w:line="10" w:lineRule="exact"/>
        <w:rPr>
          <w:rFonts w:ascii="Arial" w:cs="Arial" w:eastAsia="Arial" w:hAnsi="Arial"/>
          <w:sz w:val="12"/>
          <w:szCs w:val="12"/>
          <w:color w:val="auto"/>
        </w:rPr>
      </w:pPr>
    </w:p>
    <w:p>
      <w:pPr>
        <w:ind w:left="460" w:right="360"/>
        <w:spacing w:after="0" w:line="221" w:lineRule="auto"/>
        <w:rPr>
          <w:rFonts w:ascii="Arial" w:cs="Arial" w:eastAsia="Arial" w:hAnsi="Arial"/>
          <w:sz w:val="12"/>
          <w:szCs w:val="12"/>
          <w:color w:val="auto"/>
        </w:rPr>
      </w:pPr>
      <w:r>
        <w:rPr>
          <w:rFonts w:ascii="Arial" w:cs="Arial" w:eastAsia="Arial" w:hAnsi="Arial"/>
          <w:sz w:val="14"/>
          <w:szCs w:val="14"/>
          <w:color w:val="auto"/>
        </w:rPr>
        <w:t>a related warrant currently exercisable for 2,390 shares issued to Variable Insurance Products Fund II: Contrafund Portfolio, which entities are aggregated for purposes of reporting share ownership information and collectively hold 5% or more of our capital stock.</w:t>
      </w:r>
    </w:p>
    <w:p>
      <w:pPr>
        <w:ind w:left="460" w:right="12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a 2011 Note in the principal amount of $77,538 and a related warrant currently exercisable for 1,600 shares issued to Lehman Brothers Healthcare Venture Capital L.P., a 2011 Note in the principal amount of $17,341 and a related warrant currently exercisable for 357 shares issued to Lehman Brothers Offshore Partnership Account 2000/2001, L.P., a 2011 Note in the principal amount of $148,409 and a related warrant currently exercisable for 3,063 shares issued to Lehman Brothers P.A., LLC, and a 2011 Note in the principal amount of $66,865 and a related warrant currently exercisable for 1,380 shares issued to Lehman Brothers Partnership Account 2001/2001, L.P., which entities are aggregated for purposes of reporting our share ownership information and collectively hold 5% or more of our capital stock.</w:t>
      </w:r>
    </w:p>
    <w:p>
      <w:pPr>
        <w:spacing w:after="0" w:line="1" w:lineRule="exact"/>
        <w:rPr>
          <w:rFonts w:ascii="Arial" w:cs="Arial" w:eastAsia="Arial" w:hAnsi="Arial"/>
          <w:sz w:val="14"/>
          <w:szCs w:val="14"/>
          <w:color w:val="auto"/>
        </w:rPr>
      </w:pPr>
    </w:p>
    <w:p>
      <w:pPr>
        <w:ind w:left="460" w:right="18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a 2011 Note in the principal amount of $8,000 and a related warrant currently exercisable for 164 shares issued to Versant Affiliates Fund 1-A, L.P., a 2011 Note in the principal amount of $16,800 and a related warrant currently exercisable for 346 shares issued to Versant Affiliates Fund 1-B, L.P., a 2011 Note in the principal amount of $7,200 and a related warrant currently exercisable for 148 shares issued to Versant Side Fund I, L.P. and a 2011 Note in the principal amount of $368,000 and a related warrant currently exercisable for 7,596 shares issued to Versant Venture Capital I, L.P., which entities are aggregated for purposes of reporting our share ownership information and collectively hold 5% or more of our capital stock. Samuel D. Colella, a managing director of Versant Ventures, is a member of our Board of Directors.</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Vikram and Pratima Jog Family Trust u/a dated 6/23/2009 is controlled by Vikram Jog, our Chief Financial Officer.</w:t>
      </w:r>
    </w:p>
    <w:p>
      <w:pPr>
        <w:ind w:left="460" w:hanging="452"/>
        <w:spacing w:after="0"/>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Worthington Family Trust UAD 03/06/07 is controlled by Gajus V. Worthington, our President and Chief Executive Officer and a member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Repricing</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 August 2010, we allowed the holders of outstanding preferred stock warrants with exercise prices greater than $12.11 per share to amend such warrants to provide that (i) the exercise price of such warrants would be $12.11 per share and (ii) such warrants would be exercisable for (a) a number of shares of an alternative series of our preferred stock equal to the number of shares of the preferred stock issuable upon exercise of the non-repriced warrants and (b) an equivalent number of shares of our common stock, subject to such holder’s agreement to exercise the amended warrants immediately in full and for cash.</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participation in the Warrant Repricing by our directors, executive officers and 5% stockholders and their affiliates.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shares of new</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shares of</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common stock</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issued in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issued in</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jc w:val="right"/>
              <w:ind w:right="167"/>
              <w:spacing w:after="0" w:line="149" w:lineRule="exact"/>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connection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connection</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jc w:val="right"/>
              <w:ind w:right="227"/>
              <w:spacing w:after="0" w:line="149" w:lineRule="exact"/>
              <w:rPr>
                <w:sz w:val="20"/>
                <w:szCs w:val="20"/>
                <w:color w:val="auto"/>
              </w:rPr>
            </w:pPr>
            <w:r>
              <w:rPr>
                <w:rFonts w:ascii="Arial" w:cs="Arial" w:eastAsia="Arial" w:hAnsi="Arial"/>
                <w:sz w:val="14"/>
                <w:szCs w:val="14"/>
                <w:b w:val="1"/>
                <w:bCs w:val="1"/>
                <w:color w:val="auto"/>
              </w:rPr>
              <w:t>shares of</w:t>
            </w: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with Warrant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with Warrant</w:t>
            </w:r>
          </w:p>
        </w:tc>
      </w:tr>
      <w:tr>
        <w:trPr>
          <w:trHeight w:val="161"/>
        </w:trPr>
        <w:tc>
          <w:tcPr>
            <w:tcW w:w="27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Purchasers</w:t>
            </w:r>
          </w:p>
        </w:tc>
        <w:tc>
          <w:tcPr>
            <w:tcW w:w="34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Warrants Repriced</w:t>
            </w:r>
          </w:p>
        </w:tc>
        <w:tc>
          <w:tcPr>
            <w:tcW w:w="8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8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100" w:type="dxa"/>
            <w:vAlign w:val="bottom"/>
          </w:tcPr>
          <w:p>
            <w:pPr>
              <w:spacing w:after="0"/>
              <w:rPr>
                <w:sz w:val="14"/>
                <w:szCs w:val="14"/>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25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13,977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Entities affiliated with Fidelity Funds(2)</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18,240</w:t>
            </w:r>
          </w:p>
        </w:tc>
        <w:tc>
          <w:tcPr>
            <w:tcW w:w="2500" w:type="dxa"/>
            <w:vAlign w:val="bottom"/>
            <w:gridSpan w:val="3"/>
          </w:tcPr>
          <w:p>
            <w:pPr>
              <w:jc w:val="right"/>
              <w:ind w:right="800"/>
              <w:spacing w:after="0"/>
              <w:rPr>
                <w:sz w:val="20"/>
                <w:szCs w:val="20"/>
                <w:color w:val="auto"/>
              </w:rPr>
            </w:pPr>
            <w:r>
              <w:rPr>
                <w:rFonts w:ascii="Arial" w:cs="Arial" w:eastAsia="Arial" w:hAnsi="Arial"/>
                <w:sz w:val="18"/>
                <w:szCs w:val="18"/>
                <w:color w:val="auto"/>
              </w:rPr>
              <w:t>18,240</w:t>
            </w:r>
          </w:p>
        </w:tc>
        <w:tc>
          <w:tcPr>
            <w:tcW w:w="840" w:type="dxa"/>
            <w:vAlign w:val="bottom"/>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InterWest Funds(3)</w:t>
            </w:r>
          </w:p>
        </w:tc>
        <w:tc>
          <w:tcPr>
            <w:tcW w:w="34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8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r>
      <w:tr>
        <w:trPr>
          <w:trHeight w:val="221"/>
        </w:trPr>
        <w:tc>
          <w:tcPr>
            <w:tcW w:w="3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46,630</w:t>
            </w:r>
          </w:p>
        </w:tc>
        <w:tc>
          <w:tcPr>
            <w:tcW w:w="2500" w:type="dxa"/>
            <w:vAlign w:val="bottom"/>
            <w:gridSpan w:val="3"/>
          </w:tcPr>
          <w:p>
            <w:pPr>
              <w:jc w:val="right"/>
              <w:ind w:right="800"/>
              <w:spacing w:after="0"/>
              <w:rPr>
                <w:sz w:val="20"/>
                <w:szCs w:val="20"/>
                <w:color w:val="auto"/>
              </w:rPr>
            </w:pPr>
            <w:r>
              <w:rPr>
                <w:rFonts w:ascii="Arial" w:cs="Arial" w:eastAsia="Arial" w:hAnsi="Arial"/>
                <w:sz w:val="18"/>
                <w:szCs w:val="18"/>
                <w:color w:val="auto"/>
              </w:rPr>
              <w:t>46,630</w:t>
            </w:r>
          </w:p>
        </w:tc>
        <w:tc>
          <w:tcPr>
            <w:tcW w:w="840" w:type="dxa"/>
            <w:vAlign w:val="bottom"/>
          </w:tcPr>
          <w:p>
            <w:pPr>
              <w:jc w:val="right"/>
              <w:spacing w:after="0"/>
              <w:rPr>
                <w:sz w:val="20"/>
                <w:szCs w:val="20"/>
                <w:color w:val="auto"/>
              </w:rPr>
            </w:pPr>
            <w:r>
              <w:rPr>
                <w:rFonts w:ascii="Arial" w:cs="Arial" w:eastAsia="Arial" w:hAnsi="Arial"/>
                <w:sz w:val="18"/>
                <w:szCs w:val="18"/>
                <w:color w:val="auto"/>
              </w:rPr>
              <w:t>46,630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183 shares issued to Alloy Partners 2002, L.P., 6,805 shares issued to Alloy Ventures 2002, L.P. and 6,989 shares issued to Alloy Ventures 2005, L.P.</w:t>
      </w:r>
    </w:p>
    <w:p>
      <w:pPr>
        <w:ind w:left="460" w:hanging="452"/>
        <w:spacing w:after="0" w:line="221"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1,801 shares issued to Fidelity Contrafund: Fidelity Advisor New Insights Fund and 16,438 shares issued to Fidelity Contrafund: Fidelity Contrafund.</w:t>
      </w: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646 shares issued to InterWest Investors VII, L.P. and 13,497 shares issued to InterWest Partners VII, 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Bridge Financing and Issuance of Series E Convertible Preferred Stock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August 2009, we sold convertible promissory notes, or the 2009 Notes, to certain of our existing investors for an aggregate purchase price of $10.7 million. The 2009 Notes (a) accrued interest (i) during the first 60 days the 2009 Notes were outstanding, at a rate equal to 1% per month, and (ii) following such initial 60 day period, at a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equal to 2% per month, in each case compounded monthly and computed on the basis of the actual number of days elapsed and a year consisting of twelve (12) 30-day months; and (b) had a maturity date of approximately 4 months.</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Under the terms of the 2009 bridge financing, upon the closing of a qualified equity financing or upon the election of the holders of a majority of the 2009 Notes, the 2009 Notes and the interest accrued thereon would automatically convert into the security sold in such financing at the price at which such securities were sold. In November 2009, in connection with our Series E convertible preferred stock financing with a strategic investor, a majority of the investors who had purchased 2009 Notes elected to have their 2009 Notes convert into Series E convertible preferred stock at a conversion price of $24.22 per share. Each investor who purchased 2009 Notes also received warrants to purchase a number of shares of our Series E convertible preferred stock equal to the product of 50% of the principal amount of 2009 Notes purchased by such investor plus an additional 5% of the original principal amount of the 2009 Notes for each full month that elapsed after the date that was two (2) months after the issuance date of the 2009 Notes, for so long as the 2009 Notes remained outstanding or converted into equity securities of the Company under the 2009 Notes, provided, however, that in no event will the additional coverage exceed 15% of the original principal amount of the 2009 Note.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these sales, we granted the purchasers certain registration rights with respect to their securities. See “Description of Capital Stock— Registration Rights.” Each outstanding share of our preferred stock will be converted automatically into one share of our common stock upon the completion of this offering.</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 below summarizes (i) the amount invested by each of our directors, executive officers, holders of more than 5% of any class of our voting securities, or any member of the immediate family of or any entities affiliated with any of the foregoing persons in the 2009 bridge financing, (ii) the number of shares of Series E preferred stock received by each such person upon conversion of their 2009 Note, and (iii) the number of shares of Series E Preferred Stock for which the warrants issued to such persons are now exercisable.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Series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 Preferred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issuable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9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Series 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upon exercise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9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Preferred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4"/>
              </w:rPr>
              <w:t>Purchaser</w:t>
            </w: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9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677,172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28,916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Bruce Burrows(2)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652,619</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27,868</w:t>
            </w:r>
          </w:p>
        </w:tc>
        <w:tc>
          <w:tcPr>
            <w:tcW w:w="800" w:type="dxa"/>
            <w:vAlign w:val="bottom"/>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EuclidSR Funds(3)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888,762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37,952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Biomedical Sciences Investment Fund Pte Ltd(4)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1,634,383</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69,793</w:t>
            </w:r>
          </w:p>
        </w:tc>
        <w:tc>
          <w:tcPr>
            <w:tcW w:w="800" w:type="dxa"/>
            <w:vAlign w:val="bottom"/>
          </w:tcPr>
          <w:p>
            <w:pPr>
              <w:jc w:val="right"/>
              <w:spacing w:after="0"/>
              <w:rPr>
                <w:sz w:val="20"/>
                <w:szCs w:val="20"/>
                <w:color w:val="auto"/>
              </w:rPr>
            </w:pPr>
            <w:r>
              <w:rPr>
                <w:rFonts w:ascii="Arial" w:cs="Arial" w:eastAsia="Arial" w:hAnsi="Arial"/>
                <w:sz w:val="18"/>
                <w:szCs w:val="18"/>
                <w:color w:val="auto"/>
              </w:rPr>
              <w:t>33,736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685,191</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29,259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Entities affiliated with Lehman Brothers Holdings, Inc.(6)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670,137</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28,616</w:t>
            </w:r>
          </w:p>
        </w:tc>
        <w:tc>
          <w:tcPr>
            <w:tcW w:w="800" w:type="dxa"/>
            <w:vAlign w:val="bottom"/>
          </w:tcPr>
          <w:p>
            <w:pPr>
              <w:jc w:val="right"/>
              <w:spacing w:after="0"/>
              <w:rPr>
                <w:sz w:val="20"/>
                <w:szCs w:val="20"/>
                <w:color w:val="auto"/>
              </w:rPr>
            </w:pPr>
            <w:r>
              <w:rPr>
                <w:rFonts w:ascii="Arial" w:cs="Arial" w:eastAsia="Arial" w:hAnsi="Arial"/>
                <w:sz w:val="18"/>
                <w:szCs w:val="18"/>
                <w:color w:val="auto"/>
              </w:rPr>
              <w:t>13,832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SMALLCAP World Fund, Inc.(7)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794,372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33,921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Entities affiliated with Versant Ventures(8)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1,066,728</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45,552</w:t>
            </w:r>
          </w:p>
        </w:tc>
        <w:tc>
          <w:tcPr>
            <w:tcW w:w="800" w:type="dxa"/>
            <w:vAlign w:val="bottom"/>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Fidelity Funds(9)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1,133,858</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48,418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3"/>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6,002,835</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350,295</w:t>
            </w:r>
          </w:p>
        </w:tc>
        <w:tc>
          <w:tcPr>
            <w:tcW w:w="800" w:type="dxa"/>
            <w:vAlign w:val="bottom"/>
          </w:tcPr>
          <w:p>
            <w:pPr>
              <w:jc w:val="right"/>
              <w:spacing w:after="0"/>
              <w:rPr>
                <w:sz w:val="20"/>
                <w:szCs w:val="20"/>
                <w:color w:val="auto"/>
              </w:rPr>
            </w:pPr>
            <w:r>
              <w:rPr>
                <w:rFonts w:ascii="Arial" w:cs="Arial" w:eastAsia="Arial" w:hAnsi="Arial"/>
                <w:sz w:val="18"/>
                <w:szCs w:val="18"/>
                <w:color w:val="auto"/>
              </w:rPr>
              <w:t>169,323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30"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$8,901 invested by Alloy Partners 2002, L.P. and $329,685 invested by Alloy Ventures 2002, L.P. and $338,586 invested by Alloy Ventures 2005 L.P. Michael Hunkapiller, an affiliate of Alloy Ventures, was a member of our Board of Directors until May 6, 2010.</w:t>
      </w:r>
    </w:p>
    <w:p>
      <w:pPr>
        <w:ind w:left="46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Bruce Burrows is a holder of 5% or more of our capital stock. He served as a member of our Board of Directors from January 3, 2000 to January 15, 2008.</w:t>
      </w:r>
    </w:p>
    <w:p>
      <w:pPr>
        <w:ind w:left="460" w:right="28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$444,381 invested by EuclidSR Biotechnology Partners, L.P. and $444,381 invested by EuclidSR Partners, L.P. Raymond Whitaker, an affiliate of Euclid SR Partners, is a member of our Board of Directors.</w:t>
      </w:r>
    </w:p>
    <w:p>
      <w:pPr>
        <w:ind w:left="460" w:right="38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Biomedical Sciences Investment Fund Pte Ltd is a holder of 5% or more of our capital stock. Jeremy Loh, an affiliate of Biomedical Sciences Investment Fund Pte Ltd is a member of our Board of Directors.</w:t>
      </w:r>
    </w:p>
    <w:p>
      <w:pPr>
        <w:ind w:left="460" w:hanging="452"/>
        <w:spacing w:after="0"/>
        <w:tabs>
          <w:tab w:leader="none" w:pos="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$653,880 invested by InterWest Investors VII, L.P. and $31,312 invested by InterWest Partners VII, L.P. These affiliated entities collectively hold 5% or more of our capital stock.</w:t>
      </w:r>
    </w:p>
    <w:p>
      <w:pPr>
        <w:spacing w:after="0" w:line="10" w:lineRule="exact"/>
        <w:rPr>
          <w:rFonts w:ascii="Arial" w:cs="Arial" w:eastAsia="Arial" w:hAnsi="Arial"/>
          <w:sz w:val="12"/>
          <w:szCs w:val="12"/>
          <w:color w:val="auto"/>
        </w:rPr>
      </w:pPr>
    </w:p>
    <w:p>
      <w:pPr>
        <w:ind w:left="460" w:right="80" w:hanging="452"/>
        <w:spacing w:after="0" w:line="297" w:lineRule="auto"/>
        <w:tabs>
          <w:tab w:leader="none" w:pos="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$167,534 invested by Lehman Brothers Healthcare Venture Capital L.P., $37,468 invested by Lehman Brothers Offshore Partnership Account 2000/2001, L.P., $320,662 invested by Lehman Brothers P.A., LLC, and $144,473 invested by Lehman Brothers Partnership Account 2001/2001, L.P. These affiliated entities collectively hold 5% or more of our capital stock.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SMALLCAP World Fund, Inc. is a holder of 5% or more of our capital stock.</w:t>
      </w:r>
    </w:p>
    <w:p>
      <w:pPr>
        <w:ind w:left="460" w:right="40" w:hanging="452"/>
        <w:spacing w:after="0" w:line="221" w:lineRule="auto"/>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$17,898 invested by Versant Affiliates Fund 1-A, L.P., $52,818 invested by Versant Affiliates Fund 1-B, L.P., $20,345 invested by Versant Side Fund I, L.P. and $975,666 invested by Versant Venture Capital I, L.P. Sam Colella, an affiliate of Versant Ventures, is a member of our Board of Directors.</w:t>
      </w:r>
    </w:p>
    <w:p>
      <w:pPr>
        <w:ind w:left="460" w:hanging="452"/>
        <w:spacing w:after="0"/>
        <w:tabs>
          <w:tab w:leader="none" w:pos="4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Consists of $87,292 invested by Fidelity Contrafund: Fidelity Advisor New Insights Fund, $796,398 invested by Fidelity Contrafund: Fidelity Contrafund, and $250,168 invested by Variable Insurance</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Products Fund II: Contrafund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the Singapore Government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Incentive Grants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In October 2005, Fluidigm Singapore entered into a letter agreement providing for up to SG$10 million (approximately US$7.6 million using a September 30, 2010 exchange rate) in incentive grants from the Singapore Economic Development Board, or EDB. The incentive grants are payable for the period August 1, 2005 through July 31, 2010 in connection with the establishment and operation of a research, development and manufacturing center for chips in Singapore.</w:t>
      </w:r>
    </w:p>
    <w:p>
      <w:pPr>
        <w:spacing w:after="0" w:line="1" w:lineRule="exact"/>
        <w:rPr>
          <w:sz w:val="20"/>
          <w:szCs w:val="20"/>
          <w:color w:val="auto"/>
        </w:rPr>
      </w:pPr>
    </w:p>
    <w:p>
      <w:pPr>
        <w:jc w:val="both"/>
        <w:ind w:right="160"/>
        <w:spacing w:after="0" w:line="331" w:lineRule="auto"/>
        <w:rPr>
          <w:sz w:val="20"/>
          <w:szCs w:val="20"/>
          <w:color w:val="auto"/>
        </w:rPr>
      </w:pPr>
      <w:r>
        <w:rPr>
          <w:rFonts w:ascii="Arial" w:cs="Arial" w:eastAsia="Arial" w:hAnsi="Arial"/>
          <w:sz w:val="15"/>
          <w:szCs w:val="15"/>
          <w:color w:val="auto"/>
        </w:rPr>
        <w:t>Incentive grant payments are calculated as a portion of qualifying expenses we incur in Singapore relating to salaries, overhead, outsourcing and subcontracting expenses, operating expenses and royalties paid. Fluidigm Singapore is required to submit requests for incentive grant payments on a quarterly basis along with reports regarding its compliance with the development, hiring, expenditure and other conditions through the end of the applicable quarter.</w:t>
      </w:r>
    </w:p>
    <w:p>
      <w:pPr>
        <w:spacing w:after="0" w:line="90"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On January 11,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our incentive grant payment requests on a semi-annual rather than an annual basis.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Fluidigm Singapore’s continued eligibility for such incentive grant payments is subject to its compliance with increasing levels of research,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Fluidigm Singapore remain with Fluidigm Singapore and no such rights are conveyed to EDB under the agreement.</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February 12, 2007, Fluidigm Singapore entered into a second letter agreement with EDB which provided for up to an additional SG$3.7 million (approximately US$2.8 million using a September 30, 2010 exchange rate) in incentive grant payments. The terms and conditions of this letter agreement are substantially the same as the October 2005 letter agreement, with the exception of the size of the potential grant, the term of the agreement and the specific levels of research, development and manufacturing activity required to maintain eligibility for such grants. This letter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to remain eligible for incentive grant payments. The requirements of the February 2007 agreement may only be satisfied by personnel employed in the research and development of our microfluidic instrumentation. The primary focus of this grant agreement was the ongoing development and manufacture in Singapore of instrumentation to be used with our microfluidic systems. This letter agreement applies to research, development and manufacturing activity by Fluidigm Singapore in Singapore from June 1, 2006 through May 31, 2011.</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27, 2008, Fluidigm Singapore entered into amended and restated versions of our October 2005 and February 2007 letter agreements with EDB. The purpose of these amendments was to consolidate and streamline the original agreements to eliminate sub-categories of eligible expenditures and rely on more general descriptions of the eligible expenditures that the parties had been applying in practice, to consolidate certain administrative terms and conditions of the incentive grant payments, and to remove various forms attached to the original letter agreements that had changed over time or were not part of the ongoing agreement between the parties. The January 2006 supplement to the October 2005 letter agreement remains in effect.</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first letter agreement with EDB was completed in July 2010. The maximum amount of grant revenue available to us under our second letter agreement with EDB from September 30, 2010 through May 31, 2011 is SG$1.1 million (approximately US$0.8 million using a September 30, 2010 exchange rate) although we expect actual grant revenue to be significantly lower.</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As of December 31, 2009 and September 30, 2010, we had accounts receivable from EDB in the amounts of $666,000 and $594,000, respectively, and deferred revenue of $144,000 and $75,000, respectively, related to incentive payments from EDB for equipment expenditures. The deferred revenue is being recognized ratably over the estimated useful life of the equipment of four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to Gajus Worthington</w:t>
      </w:r>
    </w:p>
    <w:p>
      <w:pPr>
        <w:spacing w:after="0" w:line="96"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On January 20, 2004, we entered into an Employee Loan Agreement, Secured Promissory Note and Stock Pledge Agreement with Mr. Worthington pursuant to which we loaned Mr. Worthington $250,000 at an interest rate of 3.52% per annum and the principal and interest were not due and payable until</w:t>
      </w:r>
    </w:p>
    <w:p>
      <w:pPr>
        <w:spacing w:after="0" w:line="287" w:lineRule="auto"/>
        <w:rPr>
          <w:sz w:val="20"/>
          <w:szCs w:val="20"/>
          <w:color w:val="auto"/>
        </w:rPr>
      </w:pPr>
      <w:r>
        <w:rPr>
          <w:rFonts w:ascii="Arial" w:cs="Arial" w:eastAsia="Arial" w:hAnsi="Arial"/>
          <w:sz w:val="16"/>
          <w:szCs w:val="16"/>
          <w:color w:val="auto"/>
        </w:rPr>
        <w:t>7 years after the date of the loan or upon the earlier occurrence of certain events. The loan was secured by the pledge of 137,627 shares of our common stock held by Mr. Worthington and was otherwise non-recourse. The loan was extended to Mr. Worthington to assist him in purchasing a home for his personal residence in Northern California. On April 10, 2008, Mr. Worthington repaid the loan in full in accordance with Section 2.2(d) of the note by selling shares of our common stock held by Mr. Worthington to us at the fair value of such stock on the date of such sale, which was determined by the board of directors to be $19.31 per share. The note and Mr. Worthington’s loan were repaid in full and cancelled in exchange for 15,014 shares of our common stock which Mr. Worthington transferred to us pursuant to the terms of a repurchase agreement dated April 10, 2008. This loan repayment and share cancellation transaction was approved by the board based on its determination that we received full and fair consideration for the cancellation of the loan and that the cancellation of the loan was in the best interests of our company and its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of Townsend and Townsend and Crew LLP</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before 2007, the law firm of Townsend and Townsend and Crew LLP, or Townsend, has served as our primary outside patent counsel. William Smith, our Vice President, Legal Affairs, General Counsel and Secretary as well a director from May 2000 until April 7, 2008, was a partner at Townsend from 1985 to April 1, 2008. Amounts paid to Townsend for services and direct patent fees were $576,000 and $312,000 for 2007 and the six months ended June 28, 2008. The accrued amount payable to Townsend as of June 28, 2008, was $411,000.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Holders of our preferred stock and our co-founders are entitled to certain registration rights with respect to the common stock issued or issuable upon conversion of the preferred stock. See “Registration Rights” under “Description of Capital Stock” below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stock option grants to our directors and executive officers and related option grant policies are described above in this prospectus under the caption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Stock Option Repricing</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November 2009, we offered eligible holders of our stock options the opportunity to exchange certain options for new options with an exercise price per share equal to the fair value of our common stock on December 23, 2009. The participation of our executive officers and directors in this repricing is described in this prospectus under the caption “Management.”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of Series E Conversion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early December 2010, we engaged in discussions with the holders of our preferred stock to remove the requirement in our fifth amended and restated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certificate incorporation that shares issued in our initial public offering must be issued at a price of at least $34.453 per share in order to cause the automatic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our outstanding preferred stock into common stock. In addition, holders of our Series E preferred stock were entitled to an adjustment to the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such stock into common stock in the event that shares were sold in this offering at a price per share of less than $24.22 per share. Based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offering price, our board concluded that this minimum price requirement and Series E preferred stock conversion rate adjustment could prevent, or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add uncertainty to our initial public offering. In an effort to reduce this uncertainty, we proposed to amend our certificate of incorporation to remove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$34.453 minimum threshold for automatic conversion, adjust the Series E conversion price from $24.22 to $18.632 to give the holders of our Series E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some, but not all, of their expected conversion rate adjustment, and waive any further adjustment of the Series E conversion rate in connection with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public offering. As a result of this adjustment, upon a conversion of Series E preferred stock to common stock, each holder of Series 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be entitled to receive 1.30 shares of common stock for each share of Series E preferred stock. Our sixth amended and restated certificate of incorporation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giving effect to these changes was approved by the holders of our common stock and preferred stock on January 6, 2011.</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table below sets forth the additional number of shares of common stock issued or issuable to our directors, executive officers, holders of more than 5% of any class of our voting securities, or any member of the immediate family of or any entities affiliated with any of the foregoing persons, as a result of the adjustment to the conversion rate of the Series E preferred stock. The table also sets out the value of the additional shares of common stock assuming an initial public offering price of $14.50, the midpoint of the range set forth on the cover page of this prospectus.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Shares of</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Shares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7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Additional Shares</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7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of Common Stock</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Conversion Before</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7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Series E</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Series 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Series 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Series E</w:t>
            </w: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Holder</w:t>
            </w:r>
          </w:p>
        </w:tc>
        <w:tc>
          <w:tcPr>
            <w:tcW w:w="26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7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7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7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55,544</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72,209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Bruce Burrows(2)</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106,531</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138,496</w:t>
            </w:r>
          </w:p>
        </w:tc>
        <w:tc>
          <w:tcPr>
            <w:tcW w:w="1000" w:type="dxa"/>
            <w:vAlign w:val="bottom"/>
          </w:tcPr>
          <w:p>
            <w:pPr>
              <w:jc w:val="right"/>
              <w:spacing w:after="0"/>
              <w:rPr>
                <w:sz w:val="20"/>
                <w:szCs w:val="20"/>
                <w:color w:val="auto"/>
              </w:rPr>
            </w:pPr>
            <w:r>
              <w:rPr>
                <w:rFonts w:ascii="Arial" w:cs="Arial" w:eastAsia="Arial" w:hAnsi="Arial"/>
                <w:sz w:val="18"/>
                <w:szCs w:val="18"/>
                <w:color w:val="auto"/>
              </w:rPr>
              <w:t>31,965</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463,493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EuclidSR Funds(3)</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91,266</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118,648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Biomedical Sciences Investment Fund Pte Ltd(4)</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839,824</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1,091,815</w:t>
            </w:r>
          </w:p>
        </w:tc>
        <w:tc>
          <w:tcPr>
            <w:tcW w:w="1000" w:type="dxa"/>
            <w:vAlign w:val="bottom"/>
          </w:tcPr>
          <w:p>
            <w:pPr>
              <w:jc w:val="right"/>
              <w:spacing w:after="0"/>
              <w:rPr>
                <w:sz w:val="20"/>
                <w:szCs w:val="20"/>
                <w:color w:val="auto"/>
              </w:rPr>
            </w:pPr>
            <w:r>
              <w:rPr>
                <w:rFonts w:ascii="Arial" w:cs="Arial" w:eastAsia="Arial" w:hAnsi="Arial"/>
                <w:sz w:val="18"/>
                <w:szCs w:val="18"/>
                <w:color w:val="auto"/>
              </w:rPr>
              <w:t>251,991</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3,653,870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Funds(5)</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37,513</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48,770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Entities affiliated with Lehman Brothers Holdings, Inc.(6)</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68,827</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89,475</w:t>
            </w:r>
          </w:p>
        </w:tc>
        <w:tc>
          <w:tcPr>
            <w:tcW w:w="1000" w:type="dxa"/>
            <w:vAlign w:val="bottom"/>
          </w:tcPr>
          <w:p>
            <w:pPr>
              <w:jc w:val="right"/>
              <w:spacing w:after="0"/>
              <w:rPr>
                <w:sz w:val="20"/>
                <w:szCs w:val="20"/>
                <w:color w:val="auto"/>
              </w:rPr>
            </w:pPr>
            <w:r>
              <w:rPr>
                <w:rFonts w:ascii="Arial" w:cs="Arial" w:eastAsia="Arial" w:hAnsi="Arial"/>
                <w:sz w:val="18"/>
                <w:szCs w:val="18"/>
                <w:color w:val="auto"/>
              </w:rPr>
              <w:t>20,648</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SMALLCAP World Fund, Inc.(7)</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773,470</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1,005,551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232,081</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Entities affiliated with Versant Ventures(8)</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108,853</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141,512</w:t>
            </w:r>
          </w:p>
        </w:tc>
        <w:tc>
          <w:tcPr>
            <w:tcW w:w="1000" w:type="dxa"/>
            <w:vAlign w:val="bottom"/>
          </w:tcPr>
          <w:p>
            <w:pPr>
              <w:jc w:val="right"/>
              <w:spacing w:after="0"/>
              <w:rPr>
                <w:sz w:val="20"/>
                <w:szCs w:val="20"/>
                <w:color w:val="auto"/>
              </w:rPr>
            </w:pPr>
            <w:r>
              <w:rPr>
                <w:rFonts w:ascii="Arial" w:cs="Arial" w:eastAsia="Arial" w:hAnsi="Arial"/>
                <w:sz w:val="18"/>
                <w:szCs w:val="18"/>
                <w:color w:val="auto"/>
              </w:rPr>
              <w:t>32,659</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Fidelity Funds(9)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1,085,783</w:t>
            </w:r>
          </w:p>
        </w:tc>
        <w:tc>
          <w:tcPr>
            <w:tcW w:w="7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1,411,575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325,792</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3"/>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3,167,611</w:t>
            </w:r>
          </w:p>
        </w:tc>
        <w:tc>
          <w:tcPr>
            <w:tcW w:w="700" w:type="dxa"/>
            <w:vAlign w:val="bottom"/>
          </w:tcPr>
          <w:p>
            <w:pPr>
              <w:spacing w:after="0"/>
              <w:rPr>
                <w:sz w:val="19"/>
                <w:szCs w:val="19"/>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4,118,051</w:t>
            </w:r>
          </w:p>
        </w:tc>
        <w:tc>
          <w:tcPr>
            <w:tcW w:w="1000" w:type="dxa"/>
            <w:vAlign w:val="bottom"/>
          </w:tcPr>
          <w:p>
            <w:pPr>
              <w:jc w:val="right"/>
              <w:spacing w:after="0"/>
              <w:rPr>
                <w:sz w:val="20"/>
                <w:szCs w:val="20"/>
                <w:color w:val="auto"/>
              </w:rPr>
            </w:pPr>
            <w:r>
              <w:rPr>
                <w:rFonts w:ascii="Arial" w:cs="Arial" w:eastAsia="Arial" w:hAnsi="Arial"/>
                <w:sz w:val="18"/>
                <w:szCs w:val="18"/>
                <w:color w:val="auto"/>
              </w:rPr>
              <w:t>950,440</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13,781,383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80" w:type="dxa"/>
            <w:vAlign w:val="bottom"/>
          </w:tcPr>
          <w:p>
            <w:pPr>
              <w:jc w:val="right"/>
              <w:ind w:right="260"/>
              <w:spacing w:after="0"/>
              <w:rPr>
                <w:sz w:val="20"/>
                <w:szCs w:val="20"/>
                <w:color w:val="auto"/>
              </w:rPr>
            </w:pPr>
            <w:r>
              <w:rPr>
                <w:rFonts w:ascii="Arial" w:cs="Arial" w:eastAsia="Arial" w:hAnsi="Arial"/>
                <w:sz w:val="18"/>
                <w:szCs w:val="18"/>
                <w:color w:val="auto"/>
              </w:rPr>
              <w:t>126</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60" w:hanging="452"/>
        <w:spacing w:after="0" w:line="268" w:lineRule="auto"/>
        <w:tabs>
          <w:tab w:leader="none" w:pos="4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Consists of 728 shares of our Series E Preferred Stock held of record by Alloy Partners 2002, L.P.; 27,043 shares of our Series E Preferred Stock held of record by Alloy Ventures 2002, L.P.; and 27,773 shares of our Series E Preferred Stock held of record by Alloy Ventures 2005, L.P. Michael Hunkapiller, an affiliate of Alloy Ventures, served a member of our Board of Directors until May 6, 2010.</w:t>
      </w:r>
    </w:p>
    <w:p>
      <w:pPr>
        <w:ind w:left="460" w:right="34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93,060 shares of our Series E Preferred Stock and a warrant to purchase 13,471 shares of our Series E Preferred Stock. Bruce Burrows is a holder of 5% or more of our capital stock. He served as a member of our Board of Directors from January 3, 2000 to January 15, 2008.</w:t>
      </w:r>
    </w:p>
    <w:p>
      <w:pPr>
        <w:ind w:left="460" w:right="24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36,461 shares of our Series E Preferred Stock and a warrant to purchase 9,172 shares of our Series E Preferred Stock held of record by EuclidSR Biotechnology Partners, L.P., and 36,461 shares of our Series E Preferred Stock and a warrant to purchase 9,172 shares of our Series E Preferred Stock held of record by EuclidSR Partners, L.P. Raymond Whitaker, an affiliate of Euclid SR Partners, is a member of our Board of Directors.</w:t>
      </w:r>
    </w:p>
    <w:p>
      <w:pPr>
        <w:ind w:left="460" w:right="20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806,088 shares of our Series E Preferred Stock and a warrant to purchase 33,736 shares of our Series E Preferred Stock. Biomedical Sciences Investment Fund Pte Ltd is a holder of 5% or more of our capital stock. Jeremy Loh, an affiliate of Biomedical Sciences Investment Fund Pte Ltd is a member of our Board of Directors.</w:t>
      </w:r>
    </w:p>
    <w:p>
      <w:pPr>
        <w:ind w:left="460" w:right="20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1,712 shares of our Series E Preferred Stock held of record by Interwest Investors VII, L.P. and 35,801 shares of our Series E Preferred Stock held of record by Interwest Partners VII, L.P. These affiliated entities collectively hold 5% or more of our capital stock.</w:t>
      </w:r>
    </w:p>
    <w:p>
      <w:pPr>
        <w:ind w:left="460" w:right="6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13,748 shares of our Series E Preferred Stock and a warrant to purchase 3,457 shares of our Series E Preferred Stock held of record by Lehman Brothers Healthcare Venture Capital L.P.; 3,075 shares of our Series E Preferred Stock and a warrant to purchase 773 shares of our Series E Preferred Stock held of record by Lehman Brothers Offshore Partnership Account 2000/2001, L.P.; 26,317 shares of our Series E Preferred Stock and a warrant to purchase 6,691 shares of our Series E Preferred Stock held of record by Lehman Brothers P.A. LLC; and 11,856 shares of our Series E Preferred Stock and a warrant to purchase 2,982 shares of our Series E Preferred Stock held of record by Lehman Brothers Partnership Account 2000/2001, L.P. These affiliated entities collectively hold 5% or more of our capital stock.</w:t>
      </w:r>
    </w:p>
    <w:p>
      <w:pPr>
        <w:spacing w:after="0" w:line="1" w:lineRule="exact"/>
        <w:rPr>
          <w:rFonts w:ascii="Arial" w:cs="Arial" w:eastAsia="Arial" w:hAnsi="Arial"/>
          <w:sz w:val="14"/>
          <w:szCs w:val="14"/>
          <w:color w:val="auto"/>
        </w:rPr>
      </w:pPr>
    </w:p>
    <w:p>
      <w:pPr>
        <w:ind w:left="460" w:right="36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757,073 shares of our Series E Preferred Stock and a warrant to purchase 16,397 shares of our Series E Preferred Stock. SMALLCAP World Fund, Inc. is a holder of 5% or more of our capital stock.</w:t>
      </w:r>
    </w:p>
    <w:p>
      <w:pPr>
        <w:ind w:left="460" w:right="120" w:hanging="452"/>
        <w:spacing w:after="0" w:line="258" w:lineRule="auto"/>
        <w:tabs>
          <w:tab w:leader="none" w:pos="4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Consists of 1,589 shares of our Series E Preferred Stock and a warrant to purchase 369 shares of our Series E Preferred Stock held of record by Versant Affiliates Fund 1-A, L.P.; 3,989 shares of our Series E Preferred Stock and a warrant to purchase 1,090 shares of our Series E Preferred Stock held of record by Versant Affiliates Fund 1-B, L.P.; 1,610 shares of our Series E Preferred Stock and a warrant to purchase 419 shares of our Series E Preferred Stock held of record by Versant Side Fund I, L.P.; and 79,684 shares of our Series E Preferred Stock and a warrant to purchase 20,139 shares of our Series E Preferred Stock held of record by Versant Venture Capital I, L.P. Samuel D. Colella, an affiliate of Versant Ventures, is a member of our Board of Directors.</w:t>
      </w:r>
    </w:p>
    <w:p>
      <w:pPr>
        <w:ind w:left="460" w:hanging="452"/>
        <w:spacing w:after="0"/>
        <w:tabs>
          <w:tab w:leader="none" w:pos="4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Consists of 83,193 shares of our Series E Preferred Stock held of record by Fidelity Contrafund: Fidelity Advisor New Insights Fund; 759,006 shares of our Series E Preferred Stock held of record by</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Fidelity Contrafund: Fidelity Contrafund; and 238,421 shares of our Series E Preferred Stock and a warrant to purchase 5,163 shares of our Series E Preferred Stock held of record by Variable Insurance</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Products Fund II: Contrafund Portfolio. These affiliated entities collectively hold 5% or more of our capital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employment arrangements with certain of our executive officers. See “Management—Employment Agreements and Offer Letters” above.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“Management— Limitations on Liability and Indemnification Matters”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current policy.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January 11, 2011, as adjusted to reflect the sale of common stock offered by us in this offering, for:</w:t>
      </w:r>
    </w:p>
    <w:p>
      <w:pPr>
        <w:spacing w:after="0" w:line="51"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person who we know beneficially owns more than five percent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Applicable percentage ownership is based on 13,417,235 shares of common stock outstanding at January 11, 2011. For purposes of the table below, we have assumed that 18,589,649 shares of common stock will be outstanding upon completion of this offering, based upon an assumed initial public offering price of $14.50 per share. In computing the number of shares of common stock beneficially owned by a person and the percentage ownership of that person, we deemed to be outstanding all shares of common stock subject to options, warrants or other convertible securities held by that person or entity that are currently exercisable or exercisable within 60 days of January 11, 2011. We did not deem these shares outstanding, however, for the purpose of computing the percentage ownership of any other person. Beneficial ownership representing less than one percent is denoted with an “*.”</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otherwise indicated, the address of each beneficial owner listed in the table below is c/o Fluidigm Corporation, 7000 Shoreline Court, Suite 100, South San Francisco, California 94080.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Beneficial Ownership</w:t>
            </w:r>
          </w:p>
        </w:tc>
        <w:tc>
          <w:tcPr>
            <w:tcW w:w="1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 of Beneficial Owner</w:t>
            </w:r>
          </w:p>
        </w:tc>
        <w:tc>
          <w:tcPr>
            <w:tcW w:w="2980" w:type="dxa"/>
            <w:vAlign w:val="bottom"/>
          </w:tcPr>
          <w:p>
            <w:pPr>
              <w:spacing w:after="0"/>
              <w:rPr>
                <w:sz w:val="14"/>
                <w:szCs w:val="14"/>
                <w:color w:val="auto"/>
              </w:rPr>
            </w:pPr>
          </w:p>
        </w:tc>
        <w:tc>
          <w:tcPr>
            <w:tcW w:w="2260" w:type="dxa"/>
            <w:vAlign w:val="bottom"/>
            <w:gridSpan w:val="4"/>
          </w:tcPr>
          <w:p>
            <w:pPr>
              <w:ind w:left="320"/>
              <w:spacing w:after="0"/>
              <w:rPr>
                <w:sz w:val="20"/>
                <w:szCs w:val="20"/>
                <w:color w:val="auto"/>
              </w:rPr>
            </w:pPr>
            <w:r>
              <w:rPr>
                <w:rFonts w:ascii="Arial" w:cs="Arial" w:eastAsia="Arial" w:hAnsi="Arial"/>
                <w:sz w:val="14"/>
                <w:szCs w:val="14"/>
                <w:b w:val="1"/>
                <w:bCs w:val="1"/>
                <w:color w:val="auto"/>
              </w:rPr>
              <w:t>Prior to the Offering</w:t>
            </w:r>
          </w:p>
        </w:tc>
        <w:tc>
          <w:tcPr>
            <w:tcW w:w="19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Shares</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Percentage</w:t>
            </w:r>
          </w:p>
        </w:tc>
        <w:tc>
          <w:tcPr>
            <w:tcW w:w="4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Shares</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Alloy Funds(1)</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692,157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760" w:type="dxa"/>
            <w:vAlign w:val="bottom"/>
          </w:tcPr>
          <w:p>
            <w:pPr>
              <w:jc w:val="right"/>
              <w:spacing w:after="0"/>
              <w:rPr>
                <w:sz w:val="20"/>
                <w:szCs w:val="20"/>
                <w:color w:val="auto"/>
              </w:rPr>
            </w:pPr>
            <w:r>
              <w:rPr>
                <w:rFonts w:ascii="Arial" w:cs="Arial" w:eastAsia="Arial" w:hAnsi="Arial"/>
                <w:sz w:val="18"/>
                <w:szCs w:val="18"/>
                <w:color w:val="auto"/>
              </w:rPr>
              <w:t>692,157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EuclidSR Funds(2)</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892,756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the Singapore government(3)</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1,843,369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13.69%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1,843,369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Fidelity Funds(4)</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1,459,067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1,459,067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InterWest Funds(5)</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692,555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760" w:type="dxa"/>
            <w:vAlign w:val="bottom"/>
          </w:tcPr>
          <w:p>
            <w:pPr>
              <w:jc w:val="right"/>
              <w:spacing w:after="0"/>
              <w:rPr>
                <w:sz w:val="20"/>
                <w:szCs w:val="20"/>
                <w:color w:val="auto"/>
              </w:rPr>
            </w:pPr>
            <w:r>
              <w:rPr>
                <w:rFonts w:ascii="Arial" w:cs="Arial" w:eastAsia="Arial" w:hAnsi="Arial"/>
                <w:sz w:val="18"/>
                <w:szCs w:val="18"/>
                <w:color w:val="auto"/>
              </w:rPr>
              <w:t>692,555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Lehman Funds(6)</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679,543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SMALLCAP World Fund, Inc.(7)</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1,005,550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7.48%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1,005,550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 Funds(8)</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1,079,561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1,079,561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Bruce Burrows(9)</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675,665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5.03%</w:t>
            </w:r>
          </w:p>
        </w:tc>
        <w:tc>
          <w:tcPr>
            <w:tcW w:w="760" w:type="dxa"/>
            <w:vAlign w:val="bottom"/>
          </w:tcPr>
          <w:p>
            <w:pPr>
              <w:jc w:val="right"/>
              <w:spacing w:after="0"/>
              <w:rPr>
                <w:sz w:val="20"/>
                <w:szCs w:val="20"/>
                <w:color w:val="auto"/>
              </w:rPr>
            </w:pPr>
            <w:r>
              <w:rPr>
                <w:rFonts w:ascii="Arial" w:cs="Arial" w:eastAsia="Arial" w:hAnsi="Arial"/>
                <w:sz w:val="18"/>
                <w:szCs w:val="18"/>
                <w:color w:val="auto"/>
              </w:rPr>
              <w:t>675,665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Gajus V. Worthington(10)</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484,070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3.58%</w:t>
            </w:r>
          </w:p>
        </w:tc>
        <w:tc>
          <w:tcPr>
            <w:tcW w:w="760" w:type="dxa"/>
            <w:vAlign w:val="bottom"/>
          </w:tcPr>
          <w:p>
            <w:pPr>
              <w:jc w:val="right"/>
              <w:spacing w:after="0"/>
              <w:rPr>
                <w:sz w:val="20"/>
                <w:szCs w:val="20"/>
                <w:color w:val="auto"/>
              </w:rPr>
            </w:pPr>
            <w:r>
              <w:rPr>
                <w:rFonts w:ascii="Arial" w:cs="Arial" w:eastAsia="Arial" w:hAnsi="Arial"/>
                <w:sz w:val="18"/>
                <w:szCs w:val="18"/>
                <w:color w:val="auto"/>
              </w:rPr>
              <w:t>484,070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D. Colella(11)</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1,097,210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1,097,210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Vikram Jog(12)</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111,810</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111,810</w:t>
            </w:r>
          </w:p>
        </w:tc>
        <w:tc>
          <w:tcPr>
            <w:tcW w:w="10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Jones(13)</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119,981</w:t>
            </w:r>
          </w:p>
        </w:tc>
        <w:tc>
          <w:tcPr>
            <w:tcW w:w="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119,981</w:t>
            </w:r>
          </w:p>
        </w:tc>
        <w:tc>
          <w:tcPr>
            <w:tcW w:w="10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Kenneth Nussbacher(14)</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42,422</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42,422</w:t>
            </w:r>
          </w:p>
        </w:tc>
        <w:tc>
          <w:tcPr>
            <w:tcW w:w="10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Smith(15)</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194,544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29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 Whitaker(16)</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902,148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80" w:type="dxa"/>
            <w:vAlign w:val="bottom"/>
          </w:tcPr>
          <w:p>
            <w:pPr>
              <w:jc w:val="right"/>
              <w:ind w:right="1292"/>
              <w:spacing w:after="0"/>
              <w:rPr>
                <w:sz w:val="20"/>
                <w:szCs w:val="20"/>
                <w:color w:val="auto"/>
              </w:rPr>
            </w:pPr>
            <w:r>
              <w:rPr>
                <w:rFonts w:ascii="Arial" w:cs="Arial" w:eastAsia="Arial" w:hAnsi="Arial"/>
                <w:sz w:val="18"/>
                <w:szCs w:val="18"/>
                <w:color w:val="auto"/>
              </w:rPr>
              <w:t>129</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Beneficial Ownership</w:t>
            </w: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 of Beneficial Owner</w:t>
            </w:r>
          </w:p>
        </w:tc>
        <w:tc>
          <w:tcPr>
            <w:tcW w:w="306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Prior to the Offering</w:t>
            </w: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After the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306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Young(17)</w:t>
            </w:r>
          </w:p>
        </w:tc>
        <w:tc>
          <w:tcPr>
            <w:tcW w:w="4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13,727</w:t>
            </w: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13,727</w:t>
            </w: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Jeremy Loh(18)</w:t>
            </w:r>
          </w:p>
        </w:tc>
        <w:tc>
          <w:tcPr>
            <w:tcW w:w="4140" w:type="dxa"/>
            <w:vAlign w:val="bottom"/>
            <w:gridSpan w:val="3"/>
          </w:tcPr>
          <w:p>
            <w:pPr>
              <w:jc w:val="right"/>
              <w:ind w:right="320"/>
              <w:spacing w:after="0"/>
              <w:rPr>
                <w:sz w:val="20"/>
                <w:szCs w:val="20"/>
                <w:color w:val="auto"/>
              </w:rPr>
            </w:pPr>
            <w:r>
              <w:rPr>
                <w:rFonts w:ascii="Arial" w:cs="Arial" w:eastAsia="Arial" w:hAnsi="Arial"/>
                <w:sz w:val="18"/>
                <w:szCs w:val="18"/>
                <w:color w:val="auto"/>
              </w:rPr>
              <w:t>1,845,536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13.71%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1,845,536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8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 directors and executive officers as a group (11 persons)</w:t>
            </w:r>
          </w:p>
        </w:tc>
        <w:tc>
          <w:tcPr>
            <w:tcW w:w="4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4,905,052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4,905,052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Less than one percent.</w:t>
      </w:r>
    </w:p>
    <w:p>
      <w:pPr>
        <w:ind w:left="460" w:right="6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346,082 shares held of record by Alloy Ventures 2005, L.P., 336,983 shares held of record by Alloy Ventures 2002, L.P., and 9,092 shares held of record by Alloy Partners 2002, L.P. Alloy Ventures 2002, LLC is the General Partner of Alloy Ventures 2002, L.P. and Alloy Partners 2002, L.P. The Managing Members of Alloy Ventures 2002, LLC are Craig C. Taylor, John F. Shoch, Douglas E. Kelly, Daniel I. Rubin and Tony Di Bona. Each of the Managing Members of Alloy Ventures 2002, LLC is also a Managing Member of Alloy Ventures 2005, LLC together with Michael Hunkapiller and Ammar Hanafi. The individuals listed herein may be deemed to have shared voting and dispositive power over the shares which are or may be deemed to be beneficially owned by Alloy Ventures 2005, L.P., Alloy Ventures 2002, L.P. and Alloy Partners 2002, L.P. Each Managing Member disclaims beneficial ownership of the shares except to extent of their pecuniary interest therein. The address of the entities affiliated with Alloy Ventures is 400 Hamilton Avenue, Fourth Floor, Palo Alto, CA 94301.</w:t>
      </w:r>
    </w:p>
    <w:p>
      <w:pPr>
        <w:spacing w:after="0" w:line="1" w:lineRule="exact"/>
        <w:rPr>
          <w:rFonts w:ascii="Arial" w:cs="Arial" w:eastAsia="Arial" w:hAnsi="Arial"/>
          <w:sz w:val="12"/>
          <w:szCs w:val="12"/>
          <w:color w:val="auto"/>
        </w:rPr>
      </w:pPr>
    </w:p>
    <w:p>
      <w:pPr>
        <w:ind w:left="460" w:right="2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434,454 shares and a warrant to purchase 11,924 shares held of record by EuclidSR Partners, L.P. and 434,454 shares and a warrant to purchase 11,924 shares held of record by EuclidSR Biotechnology Partners, L.P. Mr. Whitaker, a member of our Board of Directors shares voting and investment power with Graham D.S. Anderson,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1410, New York, NY 10111.</w:t>
      </w:r>
    </w:p>
    <w:p>
      <w:pPr>
        <w:spacing w:after="0" w:line="1" w:lineRule="exact"/>
        <w:rPr>
          <w:rFonts w:ascii="Arial" w:cs="Arial" w:eastAsia="Arial" w:hAnsi="Arial"/>
          <w:sz w:val="12"/>
          <w:szCs w:val="12"/>
          <w:color w:val="auto"/>
        </w:rPr>
      </w:pPr>
    </w:p>
    <w:p>
      <w:pPr>
        <w:ind w:left="460" w:right="6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1,671,486 shares and a warrant to purchase 43,858 shares held of record by Biomedical Sciences Investment Fund Pte Ltd and 128,025 shares held of record by Singapore Bio-Innovations Pte Ltd. EDB Investments Pte Ltd, or EDB Investments, is the parent entity of Biomedical Sciences Investment Fund Pte Ltd and Singapore Bio-Innovations Pte Ltd. The Economic Development Board of Singapore, or EDB, is the parent entity of EDB Investments. EDB is a Singapore government entity. Jeremy Loh is a member of our Board of Directors and a Vice President (Investments), San Francisco Center for EDB Investments Pte Ltd, Singapore. Dr. Loh disclaims beneficial ownership of these shares, except to the extent of his pecuniary interest in such shares. EDB Investments, EDB and the Singapore government may be deemed to have shared voting and dispositive power over the shares owned beneficially and of record by Biomedical Sciences Investment Fund Pte Ltd and Singapore Bio-Innovations Pte Ltd. The address associated with entities affiliated with EDB is 250, North Bridge Road, #20-02, Raffles City Tower, Singapore 179101.</w:t>
      </w:r>
    </w:p>
    <w:p>
      <w:pPr>
        <w:spacing w:after="0" w:line="1" w:lineRule="exact"/>
        <w:rPr>
          <w:rFonts w:ascii="Arial" w:cs="Arial" w:eastAsia="Arial" w:hAnsi="Arial"/>
          <w:sz w:val="12"/>
          <w:szCs w:val="12"/>
          <w:color w:val="auto"/>
        </w:rPr>
      </w:pPr>
    </w:p>
    <w:p>
      <w:pPr>
        <w:ind w:left="460" w:hanging="452"/>
        <w:spacing w:after="0"/>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111,757 shares and a warrant to purchase 852 shares held of record by Fidelity Contrafund: Fidelity Advisor New Insights Fund, 1,019,624 shares and a warrant to purchase 7,773 shares held</w:t>
      </w:r>
    </w:p>
    <w:p>
      <w:pPr>
        <w:spacing w:after="0" w:line="10" w:lineRule="exact"/>
        <w:rPr>
          <w:rFonts w:ascii="Arial" w:cs="Arial" w:eastAsia="Arial" w:hAnsi="Arial"/>
          <w:sz w:val="12"/>
          <w:szCs w:val="12"/>
          <w:color w:val="auto"/>
        </w:rPr>
      </w:pPr>
    </w:p>
    <w:p>
      <w:pPr>
        <w:ind w:left="460"/>
        <w:spacing w:after="0" w:line="261" w:lineRule="auto"/>
        <w:rPr>
          <w:rFonts w:ascii="Arial" w:cs="Arial" w:eastAsia="Arial" w:hAnsi="Arial"/>
          <w:sz w:val="12"/>
          <w:szCs w:val="12"/>
          <w:color w:val="auto"/>
        </w:rPr>
      </w:pPr>
      <w:r>
        <w:rPr>
          <w:rFonts w:ascii="Arial" w:cs="Arial" w:eastAsia="Arial" w:hAnsi="Arial"/>
          <w:sz w:val="12"/>
          <w:szCs w:val="12"/>
          <w:color w:val="auto"/>
        </w:rPr>
        <w:t>of record by Fidelity Contrafund: Fidelity Contrafund and 309,959 shares and warrants to purchase 9,102 shares held of record by Variable 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LLC is 82 Devonshire Street, Boston Massachusetts 02109. Edward C. Johnson 3d, FMR LLC, through its control of FMR Co., and each Fund has power to dispose of the securities owned by such Fund. Neither FMR LLC nor Edward C. Johnson 3d, Chairman of FMR LLC,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138" w:lineRule="exact"/>
        <w:rPr>
          <w:rFonts w:ascii="Arial" w:cs="Arial" w:eastAsia="Arial" w:hAnsi="Arial"/>
          <w:sz w:val="12"/>
          <w:szCs w:val="12"/>
          <w:color w:val="auto"/>
        </w:rPr>
      </w:pPr>
    </w:p>
    <w:p>
      <w:pPr>
        <w:ind w:left="460" w:right="14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31,643 shares held of record by InterWest Investors VII, L.P. and 660,912 shares held of record by InterWest Partners VII, L.P. InterWest Management Partners VII, L.L.C. has sole voting and investment control over the shares owned by InterWest Partners VII, L.P. and InterWest Investors VII, L.P. Harvey B. Cash, Philip T. Gianos, W. Scott Hedrick, W. Stephen Holmes, Gilbert H. Kliman, Thomas L. Rosch and Arnold L. Oronsky, each Managing Director of InterWest Management Partners VII, LLC, has shared voting and investment control over the shares owned by InterWest Partners VII, L.P. and InterWest Investors VII, L.P. All Managing Directors and Members disclaim beneficial ownership of the shares owned by InterWest Partners VII, LP and InterWest Investors VII, LP except to the extent of their pro rata partnership interests in such shares. The address of the entities affiliated with InterWest is 2710 Sand Hill Road, Second Floor, Menlo Park, CA 94025.</w:t>
      </w:r>
    </w:p>
    <w:p>
      <w:pPr>
        <w:spacing w:after="0" w:line="1" w:lineRule="exact"/>
        <w:rPr>
          <w:rFonts w:ascii="Arial" w:cs="Arial" w:eastAsia="Arial" w:hAnsi="Arial"/>
          <w:sz w:val="12"/>
          <w:szCs w:val="12"/>
          <w:color w:val="auto"/>
        </w:rPr>
      </w:pPr>
    </w:p>
    <w:p>
      <w:pPr>
        <w:ind w:left="460" w:right="20" w:hanging="452"/>
        <w:spacing w:after="0" w:line="271"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163,789 shares and warrants to purchase 6,094 shares held of record by Lehman Brothers Healthcare Venture Capital, L.P., 36,630 shares and warrants to purchase 1,361 shares held of record by Lehman Brothers Offshore Partnership Account 2000/2001, L.P., 313,500 shares and warrants to purchase 11,668 shares held of record by Lehman Brothers P.A., LLC, and 141,245 shares and warrants to purchase 5,256 shares held of record by Lehman Brothers Partnership Account 2000/2001, L.P. In each of the limited partnerships referenced above, Lehman Brothers Holdings Inc. controls the general partner of the limited partnership. In the limited liability company, Lehman Brothers Holdings Inc. controls the manager of the limited liability company. In all four entities listed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right="360"/>
        <w:spacing w:after="0" w:line="227" w:lineRule="auto"/>
        <w:rPr>
          <w:sz w:val="20"/>
          <w:szCs w:val="20"/>
          <w:color w:val="auto"/>
        </w:rPr>
      </w:pPr>
      <w:r>
        <w:rPr>
          <w:rFonts w:ascii="Arial" w:cs="Arial" w:eastAsia="Arial" w:hAnsi="Arial"/>
          <w:sz w:val="14"/>
          <w:szCs w:val="14"/>
          <w:color w:val="auto"/>
        </w:rPr>
        <w:t>Lehman Brothers Holdings Inc., a public reporting company under the Securities Exchange Act of 1934, as amended, ultimately controls the manager and the general partners of the entities and ultimately has voting and investment control over the shares held by such entities. The address of the entities affiliated with Lehman Brothers Inc. is 1271 Sixth Avenue, 45th Floor, New York, NY 10020.</w:t>
      </w:r>
    </w:p>
    <w:p>
      <w:pPr>
        <w:spacing w:after="0" w:line="1" w:lineRule="exact"/>
        <w:rPr>
          <w:sz w:val="20"/>
          <w:szCs w:val="20"/>
          <w:color w:val="auto"/>
        </w:rPr>
      </w:pPr>
    </w:p>
    <w:p>
      <w:pPr>
        <w:ind w:left="460" w:right="18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984,234 shares and a warrant to purchase 21,316 shares held of record by SMALLCAP World Fund, Inc., or SMALLCAP. SMALLCAP is an investment company registered under the Investment Company Act of 1940. Capital Research and Management Company, or CRMC, an investment adviser registered under the Investment Advisers Act of 1940, is the investment adviser to SMALLCAP and has sole dispositive power over these shares. Gordon Crawford, J. Blair Frank, Jonathan Knowles, Brady L. Enright, Mark E. Denning and Claudia P. Huntington, Noriko H. Chen, Bradford F. Freer, Lawrence Kymisis, Kristian Stromsoe, Terrance P. McGuire, Kathryn M. Peters and Dylan J. Yolles are the primary portfolio counselors of CRMC. In such capacity, CRMC may be deemed to beneficially own the shares held by SMALLCAP. CRMC, however, disclaims such beneficial ownership. The address of SMALLCAP is 333 South Hope Street, Los Angeles, California 90071.</w:t>
      </w:r>
    </w:p>
    <w:p>
      <w:pPr>
        <w:spacing w:after="0" w:line="1"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Consists of 953,753 shares held of record by Versant Venture Capital I, L.P., 17,532 shares held of record by Versant Affiliates Fund I-A, L.P., 51,532 shares held of record by Versant Affiliates Fund I-B, L.P. and 19,869 shares held of record by Versant Side Fund I, L.P., warrants to purchase 36,875 shares held by these funds.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in such shares. The address of the entities affiliated with Versant Ventures is 3000 Sand Hill Road, Building Four, Suite 210, Menlo Park, CA 94025.</w:t>
      </w:r>
    </w:p>
    <w:p>
      <w:pPr>
        <w:spacing w:after="0" w:line="1" w:lineRule="exact"/>
        <w:rPr>
          <w:rFonts w:ascii="Arial" w:cs="Arial" w:eastAsia="Arial" w:hAnsi="Arial"/>
          <w:sz w:val="12"/>
          <w:szCs w:val="12"/>
          <w:color w:val="auto"/>
        </w:rPr>
      </w:pPr>
    </w:p>
    <w:p>
      <w:pPr>
        <w:ind w:left="46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658,152 shares and a warrant to purchase 17,513 shares held of record by Bruce Burrows.</w:t>
      </w:r>
    </w:p>
    <w:p>
      <w:pPr>
        <w:ind w:left="460" w:right="280" w:hanging="452"/>
        <w:spacing w:after="0" w:line="258" w:lineRule="auto"/>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Consists of 374,645 shares and a warrant to purchase 515 shares held of record by Gajus Worthington and Jami A. Worthington as TTEES of the Worthington Family Trust dtd 3-6-07 and options to purchase 108,910 shares of common stock that are exercisable within 60 days of January 11, 2011, of which 97,350 shares are vested as of March 12, 2011.</w:t>
      </w:r>
    </w:p>
    <w:p>
      <w:pPr>
        <w:ind w:left="460" w:right="2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the shares described in Note (8) above and options to purchase 9,392 shares of common stock that are exercisable within 60 days of January 11, 2011, of which 9,392 shares are vested as of March 12, 2011, held by Samuel D. Colella and a warrant to purchase 8,257 shares held by the Colella Family Trust, of which Mr. Colella is a trustee. Samuel D. Colella disclaims beneficial ownership of the shares held by Versant Venture Capital I. L.P., Versant Affiliates Fund 1-A L.P., Versant Affiliates Fund 1-B, L.P., and Versant Side Fund I, L.P., as described in Note (8) above, except to the extent of his pecuniary interest therein.</w:t>
      </w:r>
    </w:p>
    <w:p>
      <w:pPr>
        <w:spacing w:after="0" w:line="1" w:lineRule="exact"/>
        <w:rPr>
          <w:rFonts w:ascii="Arial" w:cs="Arial" w:eastAsia="Arial" w:hAnsi="Arial"/>
          <w:sz w:val="14"/>
          <w:szCs w:val="14"/>
          <w:color w:val="auto"/>
        </w:rPr>
      </w:pPr>
    </w:p>
    <w:p>
      <w:pPr>
        <w:ind w:left="460" w:right="4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a warrant to purchase 2,064 shares held by the Vikram and Pratima Jog Family Trust U/A DATED 6/23/2009 of which Mr. Jog is a trustee and options to purchase 109,746 shares of common stock that are exercisable within 60 days of January 11, 2011, of which 81,082 shares are vested as of March 12, 2011.</w:t>
      </w:r>
    </w:p>
    <w:p>
      <w:pPr>
        <w:ind w:left="460" w:hanging="452"/>
        <w:spacing w:after="0"/>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Consists of options to purchase 119,981 shares of common stock that are exercisable within 60 days of January 11, 2011, of which 104,668 shares are vested as of March 12, 2011.</w:t>
      </w:r>
    </w:p>
    <w:p>
      <w:pPr>
        <w:spacing w:after="0" w:line="10" w:lineRule="exact"/>
        <w:rPr>
          <w:rFonts w:ascii="Arial" w:cs="Arial" w:eastAsia="Arial" w:hAnsi="Arial"/>
          <w:sz w:val="12"/>
          <w:szCs w:val="12"/>
          <w:color w:val="auto"/>
        </w:rPr>
      </w:pPr>
    </w:p>
    <w:p>
      <w:pPr>
        <w:ind w:left="460" w:hanging="452"/>
        <w:spacing w:after="0"/>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Consists of options to purchase 42,422 shares of common stock that are exercisable within 60 days of January 11, 2011, of which 42,422 shares are vested as of March 12, 2011.</w:t>
      </w:r>
    </w:p>
    <w:p>
      <w:pPr>
        <w:spacing w:after="0" w:line="10" w:lineRule="exact"/>
        <w:rPr>
          <w:rFonts w:ascii="Arial" w:cs="Arial" w:eastAsia="Arial" w:hAnsi="Arial"/>
          <w:sz w:val="12"/>
          <w:szCs w:val="12"/>
          <w:color w:val="auto"/>
        </w:rPr>
      </w:pPr>
    </w:p>
    <w:p>
      <w:pPr>
        <w:ind w:left="460" w:right="22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49,545 shares held of record by William M. Smith and options to purchase 144,999 shares of common stock, that are exercisable within 60 days of January 11, 2011, of which 129,179 are vested as of March 12, 2011.</w:t>
      </w:r>
    </w:p>
    <w:p>
      <w:pPr>
        <w:ind w:left="460" w:right="12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the shares described in Note (2) above and options to purchase 9,392 shares of common stock that are exercisable within 60 days of January 11, 2011, of which 9,392 shares are vested as of March 12, 2011, held by Raymond J. Whitaker. Raymond J. Whitaker disclaims beneficial ownership of the shares held by EuclidSR Partners, L.P and EuclidSR Biotechnology Partners, L.P., as described in Note (2) above, except to the extent of his pecuniary interest therein.</w:t>
      </w:r>
    </w:p>
    <w:p>
      <w:pPr>
        <w:ind w:left="46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options to purchase 13,727 shares of common stock that are exercisable within 60 days of January 11, 2011, of which 13,727 are vested as of March 12, 2011.</w:t>
      </w:r>
    </w:p>
    <w:p>
      <w:pPr>
        <w:ind w:left="460" w:right="120" w:hanging="452"/>
        <w:spacing w:after="0" w:line="227"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the shares described in Note (3) above and options to purchase 2,167 shares of common stock that are exercisable within 60 days of January 11, 2011, of which 2,167 shares are vested as of March 12, 2011, held by Jeremy Loh. Jeremy Loh disclaims beneficial ownership of the shares held by Biomedical Sciences Investment Fund Pte Ltd and Singapore Bio-Innovations Pte Ltd, as described in Note (3) above, except to the extent of his pecuniary interest therein.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is a summary of the rights of our common stock and preferred stock and of certain provisions of our restated certificate of incorporation and bylaws, as they will be in effect upon the completion of this offering. For more detailed information, please see our restated certificate of incorporation and bylaws, which are filed as exhibits to the registration statement of which this prospectus is part.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Immediately upon completion of this offering, our authorized capital stock will consist of 210,000,000 shares, all with a par value of $0.001 per share, of which:</w:t>
      </w:r>
    </w:p>
    <w:p>
      <w:pPr>
        <w:spacing w:after="0" w:line="51"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January 11, 2011, we had outstanding 13,417,235 shares of common stock held of record by 270 stockholders, assuming the automatic conversion of all outstanding shares of our preferred stock into 11,480,406 shares of common stock. In addition, as of January 11, 2011, 2,183,537 shares of our common stock were subject to outstanding options and 538,759 shares of our capital stock were subject to outstanding warrants. No options will expire prior to the completion of this offering. For more information on our capitalization, see “Capitalization”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Immediately upon completion of this offering, no shares of preferred stock will be outstanding (assuming the automatic conversion of all outstanding shares of our preferred stock into 11,480,406 shares of common stock immediately prior to the completion of this offering). Though we currently have no plans to issue any shares of preferred stock, upon the closing of this offering and the filing of our restated certificate of incorporation, our Board of Directors will have the authority, without further action by our stockholders, to designate and issue up to 10,000,000 shares of preferred stock in one or more series. Our Board of Directors may also designate the rights, preferences and privileges each such series of preferred stock, any or all of which may be greater than or senior to those of the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37" w:lineRule="exact"/>
        <w:rPr>
          <w:sz w:val="20"/>
          <w:szCs w:val="20"/>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reducing the likelihood that holders of common stock will receive payments in the event of our liquidation, dissolution, or winding up;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January 11, 2011, we had outstanding warrants to purchase an aggregate of 489,984 shares of our preferred stock at exercise prices ranging from $0.02 per share to $24.22 per share. These warrants will expire at various times between March 18, 2012 and January 6, 2021. In the event of a distribution of dividends, a stock split, a reorganization, a reclassification, a consolidation, or a similar event, each warrant provides for adjustment of the exercise price and the number of shares issuable upon exercise.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Issuance of Common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approximately $1,500,000 upon the achievement of a certain milestone and based upon the fair market value of our common stock at the time the milestone is achieved. We currently do not anticipate achieving this milestone in the foreseeable future and do not anticipate issuing these shares. The potential issuance discussed above is not reflected in the number of shares of common stock outstanding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of January 11, 2011, the holders of an aggregate of 13,042,832 shares of our common stock, which includes 11,480,406 shares of common stock issued on conversion of outstanding preferred stock and 538,759 shares of common stock issuable upon the exercise of warrants and conversion of preferred stock underlying such warrants, are entitled to the following rights with respect to the registration of such shares for public resale under the Securities Act, pursuant to an investor rights agreement by and among us and certain of our stockholders. In addition, the aggregate number above includes an additional 775,448 shares of common stock entitled to the rights described below, in the section titled “Piggyback Registration Rights.” We refer to these shares collectively as “registrable securities.”</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registration rights terminate upon the earlier of five years after completion of this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at any time after this offering the holders of at least a majority of the registrable securities request in writing that we effect a registration with respect to at least 50% of their shares that has a reasonably anticipated aggregate price to the public, net of underwriting discounts and commissions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at any time after we become entitled under the Securities Act to register our shares on Form S-3 a holder of registrable securities requests in writing that we register their shares for public resale on Form S-3 and the reasonably anticipated price to the public of the offering exceeds $2,000,000, we will be required to use our best efforts to effect such registration; provided, however, that if such registration would be seriously detrimental to us or our stockholders, we may defer the registration for up to 90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provisions of our amended and restated certificate of incorporation to become effective upon completion of this offering, holders of our common stock are entitled to one vote for each share of common stock held by such holder on any matter submitted to a vote at a meeting of stockholders. In addition, our amended and restated certificate of incorporation provides that certain corporate actions require the approval of our stockholders. These actions, and the vote required, are as follows:</w:t>
      </w:r>
    </w:p>
    <w:p>
      <w:pPr>
        <w:spacing w:after="0" w:line="62" w:lineRule="exact"/>
        <w:rPr>
          <w:sz w:val="20"/>
          <w:szCs w:val="20"/>
          <w:color w:val="auto"/>
        </w:rPr>
      </w:pPr>
    </w:p>
    <w:p>
      <w:pPr>
        <w:ind w:left="780" w:right="10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amendment of provisions of our amended and restated certificate of incorporation relating to blank check preferred stock, the classification of our directors, the removal of directors, the filling of vacancies on our Board of Directors, cumulative voting, annual and special meetings of our stockholders and require the vote of 66 2/3% of our then outstanding voting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 Takeover Effects of Delaware Law and Our Certificate of Incorporation and Bylaws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Certain provisions of Delaware law and our restated certificate of incorporation and bylaws that will become effective upon completion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and bylaws to become effective upon completion of this offering include provisions that:</w:t>
      </w:r>
    </w:p>
    <w:p>
      <w:pPr>
        <w:spacing w:after="0" w:line="113" w:lineRule="exact"/>
        <w:rPr>
          <w:sz w:val="20"/>
          <w:szCs w:val="20"/>
          <w:color w:val="auto"/>
        </w:rPr>
      </w:pPr>
    </w:p>
    <w:p>
      <w:pPr>
        <w:ind w:left="780" w:hanging="326"/>
        <w:spacing w:after="0"/>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780" w:hanging="326"/>
        <w:spacing w:after="0" w:line="26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4" w:lineRule="exact"/>
        <w:rPr>
          <w:rFonts w:ascii="Arial" w:cs="Arial" w:eastAsia="Arial" w:hAnsi="Arial"/>
          <w:sz w:val="16"/>
          <w:szCs w:val="16"/>
          <w:color w:val="auto"/>
        </w:rPr>
      </w:pPr>
    </w:p>
    <w:p>
      <w:pPr>
        <w:ind w:left="780" w:right="40" w:hanging="326"/>
        <w:spacing w:after="0" w:line="259"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provisions of Delaware law and our restated certificate of incorporation and bylaws to become effective upon completion of this offering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 02021, and its telephone number is (781) 575-2900.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Market under the symbol “FLDM.”</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Upon the completion of this offering, a total of 18,589,649 shares of common stock will be outstanding, assuming that there are no exercises of options or warrants after January 11, 2011. Of these shares, all 5,172,414 shares of common stock sold in this offering by us, plus any shares sold upon exercise of the underwriters’ over-allotment option, will be freely tradable in the public market without restriction or further registration under the Securities Act, unless these shares are held by “affiliates,” as that term is defined in Rule 144 under the Securities Act.</w:t>
      </w:r>
    </w:p>
    <w:p>
      <w:pPr>
        <w:spacing w:after="0" w:line="11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remaining 13,417,235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the lock up agreements described below and the provisions of Rules 144 and 701 under the Securities Act, these restricted securities will be available for sale in the public market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944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the date of this prospectus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Between 90 and 180 days after the date of this prospectus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various times beginning more than 180 days after the date of this prospectus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13,417,235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In addition, of the 2,183,537 shares of our common stock that were subject to stock options outstanding as of January 11, 2011, options to purchase 1,185,092 shares of common stock were vested as of January 11, 2011 and will be eligible for sale 180 days following the effective date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restrictions of Rule 144 regardless of how long we have been subject to public company reporting requirements.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59" w:lineRule="exact"/>
        <w:rPr>
          <w:sz w:val="20"/>
          <w:szCs w:val="20"/>
          <w:color w:val="auto"/>
        </w:rPr>
      </w:pPr>
    </w:p>
    <w:p>
      <w:pPr>
        <w:ind w:left="460"/>
        <w:spacing w:after="0"/>
        <w:tabs>
          <w:tab w:leader="none" w:pos="760" w:val="left"/>
          <w:tab w:leader="none" w:pos="8100" w:val="left"/>
        </w:tabs>
        <w:rPr>
          <w:sz w:val="20"/>
          <w:szCs w:val="20"/>
          <w:color w:val="auto"/>
        </w:rPr>
      </w:pPr>
      <w:r>
        <w:rPr>
          <w:rFonts w:ascii="Arial" w:cs="Arial" w:eastAsia="Arial" w:hAnsi="Arial"/>
          <w:sz w:val="18"/>
          <w:szCs w:val="18"/>
          <w:color w:val="auto"/>
        </w:rPr>
        <w:t>•</w:t>
        <w:tab/>
        <w:t>1% of the number of shares of common stock then outstanding, which will equal approximately</w:t>
      </w:r>
      <w:r>
        <w:rPr>
          <w:sz w:val="20"/>
          <w:szCs w:val="20"/>
          <w:color w:val="auto"/>
        </w:rPr>
        <w:tab/>
      </w:r>
      <w:r>
        <w:rPr>
          <w:rFonts w:ascii="Arial" w:cs="Arial" w:eastAsia="Arial" w:hAnsi="Arial"/>
          <w:sz w:val="16"/>
          <w:szCs w:val="16"/>
          <w:color w:val="auto"/>
        </w:rPr>
        <w:t>shares immediately after this offering; or</w:t>
      </w:r>
    </w:p>
    <w:p>
      <w:pPr>
        <w:spacing w:after="0" w:line="90" w:lineRule="exact"/>
        <w:rPr>
          <w:sz w:val="20"/>
          <w:szCs w:val="20"/>
          <w:color w:val="auto"/>
        </w:rPr>
      </w:pPr>
    </w:p>
    <w:p>
      <w:pPr>
        <w:ind w:left="780" w:right="16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during the four calendar weeks preceding the filing of a notice on Form 144 with respect to that sale.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general, under Rule 701 as currently in effect, any of our employees, consultants or advisors who purchase shares from us in connection with a compensatory stock or option plan or other written agreement in a transaction before the effective date of this offering that was completed in reliance on Rule 701 and complied with the requirements of Rule 701 will, subject to the lock up restrictions described below, be eligible to resell such shares 90 days after the effective date of this offering in reliance on Rule 144, but without compliance with certain restrictions, including the holding period, contained in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 Up Agreements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and all of our directors and officers, as well as the other holders of substantially all shares of common stock outstanding immediately prior to this offering, have agreed that, without the prior written consent of the representatives on behalf of the underwriters, we and they will not, during the period ending 180 days after the date of this prospectus:</w:t>
      </w:r>
    </w:p>
    <w:p>
      <w:pPr>
        <w:spacing w:after="0" w:line="59" w:lineRule="exact"/>
        <w:rPr>
          <w:sz w:val="20"/>
          <w:szCs w:val="20"/>
          <w:color w:val="auto"/>
        </w:rPr>
      </w:pPr>
    </w:p>
    <w:p>
      <w:pPr>
        <w:ind w:left="780" w:right="140" w:hanging="326"/>
        <w:spacing w:after="0" w:line="259"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59"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whether any transaction described above is to be settled by delivery of shares of our common stock or such other securities, in cash or otherwise. This agreement is subject to certain exceptions, and is also subject to extension for up to an additional days, as set forth in “Underwriters.”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640" w:firstLine="456"/>
        <w:spacing w:after="0" w:line="298" w:lineRule="auto"/>
        <w:rPr>
          <w:sz w:val="20"/>
          <w:szCs w:val="20"/>
          <w:color w:val="auto"/>
        </w:rPr>
      </w:pPr>
      <w:r>
        <w:rPr>
          <w:rFonts w:ascii="Arial" w:cs="Arial" w:eastAsia="Arial" w:hAnsi="Arial"/>
          <w:sz w:val="16"/>
          <w:szCs w:val="16"/>
          <w:color w:val="auto"/>
        </w:rPr>
        <w:t>Upon completion of this offering, the holders of 13,042,832 shares of common stock or common stock issuable upon exercise of warrants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In addition, we intend to file a registration statement on Form S-8 under the Securities Act for the resale of shares of common stock issued upon the exercise of options that were not granted under Rule 701. We expect to file this registration statement as soon as practicable after this offering. However, none of the shares registered on Form S-8 will be eligible for resale until the expiration of the lock up agreements to which they are subject.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UNITED STATES FEDERAL INCOME AND ESTATE TAX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CONSEQUENCES TO NON-U.S. HOLDERS</w:t>
      </w:r>
    </w:p>
    <w:p>
      <w:pPr>
        <w:spacing w:after="0" w:line="16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is a general discussion of certain material United States federal income and estate tax considerations with respect to the ownership and disposition of shares of our common stock applicable to non-U.S. holders. In general, a “non-U.S. holder” is any holder other than:</w:t>
      </w:r>
    </w:p>
    <w:p>
      <w:pPr>
        <w:spacing w:after="0" w:line="4" w:lineRule="exact"/>
        <w:rPr>
          <w:sz w:val="20"/>
          <w:szCs w:val="20"/>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United States federal income tax purposes;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United States federal income tax purposes regardless of its source; or</w:t>
      </w:r>
    </w:p>
    <w:p>
      <w:pPr>
        <w:spacing w:after="0" w:line="113"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effect under applicable Treasury regulations to be treated as a United States person.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discussion is based on current provisions of the Internal Revenue Code of 1986, as amended, or the Code, Treasury regulations promulgated thereunder, judicial opinions, published positions of the Internal Revenue Service and all other applicable authorities, all of which are subject to change (possibly with retroactive effect). We assume in this discussion that a non-U.S. holder holds shares of our common stock as a capital asset (generally property held for investment).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discussion does not address all aspects of United States federal income and estate taxation that may be important to a particular non-U.S. holder in light of that non-U.S. holder’s individual circumstances, nor does it address any aspects of United States state or local taxes or non-U.S. taxes. This discussion also does not consider any specific facts or circumstances that may apply to a non-U.S. holder subject to special treatment under the United States federal income tax laws, including, without limitation:</w:t>
      </w:r>
    </w:p>
    <w:p>
      <w:pPr>
        <w:spacing w:after="0" w:line="62" w:lineRule="exact"/>
        <w:rPr>
          <w:sz w:val="20"/>
          <w:szCs w:val="20"/>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banks, thrifts, insurance companies or other financial institutions;</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partnerships or other pass-through entities (or entities treated as such for United States federal income tax purposes) or persons that hold shares of our common stock through such entities;</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United States federal income tax;</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persons that own, or are deemed to own, more than five percent of our capital stock (except to the extent specifically set forth below);</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form citizens or long-term residents of the United States;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will hold common stock as a position in a hedging transaction, “straddle” or “conversion transaction” for tax purposes.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 partnership or other pass-through entity (or entity treated as such for United States federal income tax purposes) holds shares of our common stock, the tax treatment of a partner in such partnership or an owner of such other pass-through entity will generally depend upon the status of such partner or other owner and the activities of such partnership or other entity. Any partnership or other pass-through entity that holds shares of our common stock or any partner in such partnership or owner of such other entity should consult its own tax advisors.</w:t>
      </w:r>
    </w:p>
    <w:p>
      <w:pPr>
        <w:spacing w:after="0" w:line="143"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THIS DISCUSSION IS FOR GENERAL INFORMATION PURPOSES ONLY AND IS NOT TAX ADVICE. EACH PROSPECTIVE HOLDER OF SHARES OF OUR COMMON STOCK SHOULD CONSULT HIS, HER OR ITS OWN TAX ADVISOR WITH RESPECT TO THE UNITED STATES FEDERAL, STATE AND LOCAL TAX CONSEQUENCES AND NON-U.S. TAX CONSEQUENCES OF THE ACQUISITION, OWNERSHIP AND DISPOSITION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To the extent those distributions exceed both our current and our accumulated earnings and profits, such excess will constitute a return of capital and will first reduce the non-U.S. holder’s adjusted tax basis in our common stock, but not below zero. Any remaining excess will be treated as gain from the sale or other disposition of shares of our common stock (as described under “—Gain on Sale or Other Disposition of Common Stock”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dividends we pay, if any, to a non-U.S. holder will be subject to United States withholding tax at a rate of 30% of the gross amount.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withholding tax might not apply or might apply at a reduced rate under the terms of an applicable income tax treaty between the United States and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holder’s country of residence. A non-U.S. holder must demonstrate its entitlement to treaty benefits by certifying, among other things, its nonresident status.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non-U.S. holder generally can meet this certification requirement by providing an Internal Revenue Service Form W-8BEN or appropriate substitute form to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our paying agent. Also, special rules apply if the dividends are effectively connected with a trade or business carried on by the non-U.S. holder within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and, if a treaty applies, are attributable to a permanent establishment of the non-U.S. holder within the United States. Dividends effectively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connected with this United States trade or business, and, if a treaty applies, attributable to such a permanent establishment of a non-U.S. holder, generally will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subject to United States withholding tax if the non-U.S. holder files certain forms, including Internal Revenue Service Form W-8ECI (or any successor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us or our paying agent, and generally will be subject to United States federal income tax on a net income basis, in the same manner as if the non-U.S.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 resident of the United States. A non-U.S. holder that is a corporation may be subject to an additional “branch profits tax” at a rate of 30% (or a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as may be specified by an applicable income tax treaty) on the repatriation from the United States of its “effectively connected earnings and profits,” 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certain adjustments.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non-U.S. holder of shares of our common stock eligible for a reduced rate of United States withholding tax pursuant to an income tax treaty must provide certification to us or our paying agent prior to the payment of dividends and such certifications must be updated periodically. Non-U.S. holders that do not timely provide us or our paying agent with the required certification, but that qualify for a reduced treaty rate, may obtain a refund of any excess amounts withheld by timely filing an appropriate claim for refund with the Internal Revenue Service. Non-U.S. holders should consult their tax advisors regarding their entitlement to benefits under an applicable income tax treaty.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the discussion below regarding back up withholding, a non-U.S. holder generally will not be subject to United States federal income tax on any gain realized upon the sale or other disposition of the holder’s shares of our common stock unless:</w:t>
      </w:r>
    </w:p>
    <w:p>
      <w:pPr>
        <w:spacing w:after="0" w:line="51" w:lineRule="exact"/>
        <w:rPr>
          <w:sz w:val="20"/>
          <w:szCs w:val="20"/>
          <w:color w:val="auto"/>
        </w:rPr>
      </w:pPr>
    </w:p>
    <w:p>
      <w:pPr>
        <w:ind w:left="780" w:right="20" w:hanging="326"/>
        <w:spacing w:after="0" w:line="294"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as a condition to subjecting a non-U.S. holder to United States income tax on a net basis, the gain is attributable to a permanent establishment of the non-U.S. holder maintained in the United States, in which case the non-U.S. holder will be subject to United States federal income tax on any gain realized upon the sale or other disposition on a net income basis, in the same manner as if the non-U.S. holder were a resident of the United States. Furthermore, the branch profits tax discussed above may also apply if the non-U.S. holder is a corporation;</w:t>
      </w:r>
    </w:p>
    <w:p>
      <w:pPr>
        <w:spacing w:after="0" w:line="34" w:lineRule="exact"/>
        <w:rPr>
          <w:rFonts w:ascii="Arial" w:cs="Arial" w:eastAsia="Arial" w:hAnsi="Arial"/>
          <w:sz w:val="16"/>
          <w:szCs w:val="16"/>
          <w:color w:val="auto"/>
        </w:rPr>
      </w:pPr>
    </w:p>
    <w:p>
      <w:pPr>
        <w:ind w:left="780" w:hanging="326"/>
        <w:spacing w:after="0" w:line="323" w:lineRule="auto"/>
        <w:tabs>
          <w:tab w:leader="none" w:pos="7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non-U.S. holder is an individual and is present in the United States for 183 days or more in the taxable year of disposition and certain other tests are met, in which case the non-U.S. holder will be subject to a flat 30% tax (or such lower rate specified by an applicable income tax treaty) on any gain realized upon the sale or other disposition, which tax may be offset by United States source capital losses (even though the individual is not considered a resident of the United States), provided the non-U.S. holder has timely filed United States federal income tax returns with respect to such losses; or</w:t>
      </w:r>
    </w:p>
    <w:p>
      <w:pPr>
        <w:spacing w:after="0" w:line="16" w:lineRule="exact"/>
        <w:rPr>
          <w:rFonts w:ascii="Arial" w:cs="Arial" w:eastAsia="Arial" w:hAnsi="Arial"/>
          <w:sz w:val="15"/>
          <w:szCs w:val="15"/>
          <w:color w:val="auto"/>
        </w:rPr>
      </w:pPr>
    </w:p>
    <w:p>
      <w:pPr>
        <w:ind w:left="780" w:right="20" w:hanging="326"/>
        <w:spacing w:after="0" w:line="288"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or a USRPHC, for United States federal income tax purposes at any time within the shorter of the five-year period preceding the disposition and the non-U.S. holder’s holding period. We do not believe that we are or have been a USRPHC, and we do not anticipate becoming a USRPHC. If we have been in the past or were to become a USRPHC at any time during this period, generally gains realized upon a disposition of shares of our common stock by a non-U.S. holder that did not directly or indirectly own more than 5% of our common stock during this period would not be subject to United States federal income tax, provided that our common stock is “regularly traded on an established securities market” (within the meaning of Section 897(c)(3) of the Code). Our common stock will be treated as regularly traded on an established securities market during any period in which it is listed on a registered national securities exchange or any over-the-counter market. If gain on the sale or other taxable disposition of our stock were subject to taxation pursuant to this bullet point, the non-U.S. holder would be subject to regular United States federal income tax with respect to such gain in generally the same manner as a United States person.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Estate Tax</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Shares of our common stock that are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 and therefore may be subject to United States federal estate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Information Reporting and Other Reporting Requirements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Generally, 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United States backup withholding tax is imposed (at a current rate of 28%, which rate is scheduled to increase to 31% for payments made on or after January 1, 2011) on certain payments to persons that fail to furnish the information required under the United States information reporting requirements. A non-U.S.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of shares of our common stock will be subject to this backup withholding tax on dividends we pay unless the holder certifies, under penalties of perjury, among other things, its status as a non-U.S. holder (and we or our paying agent do not have actual knowledge or reason to know the holder is a United States person) or otherwise establishes an exemption.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Treasury regulations, the payment of proceeds from the disposition of shares of our common stock by a non-U.S. holder made to or through a United States office of a broker generally will be subject to information reporting and backup withholding unless the beneficial owner certifies, under penalties of perjury, among other things, its status as a non-U.S. holder (and we or our paying agent do not have actual knowledge or reason to know the holder is a United States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39" w:lineRule="exact"/>
        <w:rPr>
          <w:sz w:val="20"/>
          <w:szCs w:val="20"/>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“controlled foreign corporation” for United States federal income tax purposes;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non-U.S. person 50% or more of whose gross income from certain periods is effectively connected with a United States trade or business; or</w:t>
      </w:r>
    </w:p>
    <w:p>
      <w:pPr>
        <w:spacing w:after="0" w:line="113" w:lineRule="exact"/>
        <w:rPr>
          <w:rFonts w:ascii="Arial" w:cs="Arial" w:eastAsia="Arial" w:hAnsi="Arial"/>
          <w:sz w:val="16"/>
          <w:szCs w:val="16"/>
          <w:color w:val="auto"/>
        </w:rPr>
      </w:pPr>
    </w:p>
    <w:p>
      <w:pPr>
        <w:ind w:left="780" w:right="140" w:hanging="326"/>
        <w:spacing w:after="0" w:line="332" w:lineRule="auto"/>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non-U.S. partnership if at any time during its tax year (a) one or more of its partners are U.S. persons who, in the aggregate, hold more than 50% of the income or capital interests of the partnership or (b) the non-U.S. partnership is engaged in a U.S. trade or business;</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or reason to know to the contrary).</w:t>
      </w:r>
    </w:p>
    <w:p>
      <w:pPr>
        <w:spacing w:after="0" w:line="140"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generally be refunded or credited against the non-U.S. holder’s United States federal income tax liability, if any, provided that the required information is furnished to the Internal Revenue Service in a timely manner.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Legislation Affecting Taxation of Our Common Stock Held by or Through Foreign Entities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Recently enacted legislation generally will impose a U.S. federal withholding tax of 30% on dividends and the gross proceeds of a disposition of our common stock paid after December 31, 2012 to a “foreign financial institution” (as specially defined under these rules) unless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on dividends and the gross proceeds of a disposition of our common stock paid after December 31, 2012 to a non-financial foreign entity unless such entity provides the withholding agent with a certification identifying the direct and indirect U.S. owners of the entity. Under certain circumstances, a non-U.S. holder might be eligible for refunds or credits of such taxes. Prospective investors are encouraged to consult with their own tax advisors regarding the possible implications of this legislation on their investment in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and Piper Jaffray &amp; Co., have severally agreed to purchase from us the following respective numbers of shares of common stock at a public offering price less the underwriting discounts and commissions set forth on the cover page of this prospectus:</w:t>
      </w:r>
    </w:p>
    <w:p>
      <w:pPr>
        <w:sectPr>
          <w:pgSz w:w="11900" w:h="16838" w:orient="portrait"/>
          <w:cols w:equalWidth="0" w:num="1">
            <w:col w:w="11420"/>
          </w:cols>
          <w:pgMar w:left="240" w:top="459"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Underwriters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4032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0040" w:space="720"/>
            <w:col w:w="6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Leerink Swann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6823075</wp:posOffset>
            </wp:positionH>
            <wp:positionV relativeFrom="paragraph">
              <wp:posOffset>6985</wp:posOffset>
            </wp:positionV>
            <wp:extent cx="4032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We have been advised by the representatives of the underwriters that the underwriters propose to offer the shares of common stock to the public at the</w:t>
      </w:r>
    </w:p>
    <w:p>
      <w:pPr>
        <w:spacing w:after="0" w:line="3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public offering price set forth on the cover of this prospectus and to dealers at a price that represents a concession not in excess of $ per share under the public offering price. The underwriters may allow, and these dealers may re-allow, a concession of not more than $ per share to other dealers. After the initial public offering, representatives of the underwriters, may change the offering price and other selling terms.</w:t>
      </w:r>
    </w:p>
    <w:p>
      <w:pPr>
        <w:spacing w:after="0" w:line="10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775,862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to us per share of common stock. The underwriting discounts and commissions are % of the initial public offering price. We have agreed to pay the underwriters the following discounts and commissions, assuming either no exercise or full exercise by the underwriters of the underwriters’ over-allotment option: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3"/>
          </w:tcPr>
          <w:p>
            <w:pPr>
              <w:ind w:left="300"/>
              <w:spacing w:after="0"/>
              <w:rPr>
                <w:sz w:val="20"/>
                <w:szCs w:val="20"/>
                <w:color w:val="auto"/>
              </w:rPr>
            </w:pPr>
            <w:r>
              <w:rPr>
                <w:rFonts w:ascii="Arial" w:cs="Arial" w:eastAsia="Arial" w:hAnsi="Arial"/>
                <w:sz w:val="14"/>
                <w:szCs w:val="14"/>
                <w:b w:val="1"/>
                <w:bCs w:val="1"/>
                <w:color w:val="auto"/>
              </w:rPr>
              <w:t>Total Fees</w:t>
            </w:r>
          </w:p>
        </w:tc>
      </w:tr>
      <w:tr>
        <w:trPr>
          <w:trHeight w:val="129"/>
        </w:trPr>
        <w:tc>
          <w:tcPr>
            <w:tcW w:w="4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Without Exercise of</w:t>
            </w:r>
          </w:p>
        </w:tc>
        <w:tc>
          <w:tcPr>
            <w:tcW w:w="1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With Full Exercise of</w:t>
            </w:r>
          </w:p>
        </w:tc>
        <w:tc>
          <w:tcPr>
            <w:tcW w:w="100" w:type="dxa"/>
            <w:vAlign w:val="bottom"/>
          </w:tcPr>
          <w:p>
            <w:pPr>
              <w:spacing w:after="0"/>
              <w:rPr>
                <w:sz w:val="11"/>
                <w:szCs w:val="11"/>
                <w:color w:val="auto"/>
              </w:rPr>
            </w:pPr>
          </w:p>
        </w:tc>
      </w:tr>
      <w:tr>
        <w:trPr>
          <w:trHeight w:val="149"/>
        </w:trPr>
        <w:tc>
          <w:tcPr>
            <w:tcW w:w="4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Fee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Over-</w:t>
            </w:r>
          </w:p>
        </w:tc>
        <w:tc>
          <w:tcPr>
            <w:tcW w:w="1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Over-</w:t>
            </w:r>
          </w:p>
        </w:tc>
      </w:tr>
      <w:tr>
        <w:trPr>
          <w:trHeight w:val="161"/>
        </w:trPr>
        <w:tc>
          <w:tcPr>
            <w:tcW w:w="4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Share</w:t>
            </w:r>
          </w:p>
        </w:tc>
        <w:tc>
          <w:tcPr>
            <w:tcW w:w="1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Allotment Option</w:t>
            </w:r>
          </w:p>
        </w:tc>
        <w:tc>
          <w:tcPr>
            <w:tcW w:w="1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Allotment Option</w:t>
            </w:r>
          </w:p>
        </w:tc>
        <w:tc>
          <w:tcPr>
            <w:tcW w:w="100" w:type="dxa"/>
            <w:vAlign w:val="bottom"/>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22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7"/>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$2,250,000. The amount of total expenses of this offering, excluding underwriting discounts and commissions, reimbursable to the underwriters by us will not exceed $125,000.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January 2011, entities related to Leerink Swann LLC purchased from us promissory notes with an aggregate principal amount of $21,976 and warrants to purchase 453 shares of our Series E-1 preferred stock exercisable at $0.02 per share. A portion of the proceeds from this offering will be used to repay the principal of these promissory notes plus accrued interest at a rate equal to 8% per annum. The promissory notes and the warrants purchased by the Leerink Swann entities may be deemed additional underwriting compensation under applicable rules of the Financial Industry Regulatory Authority or “FINRA”.</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of our officers, directors, stockholders and holders of our options and warrants have agreed not to offer, sell, contract to sell, grant any option to purchase or otherwise dispose of, or enter into any transaction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for a period of 180 days after the effective date of the registration statement of which this prospectus is a part without the prior written consent of the representatives of the underwriters. This consent may be given at any time without public notice. Transfers can be made during the lock-up period in the case of:</w:t>
      </w:r>
    </w:p>
    <w:p>
      <w:pPr>
        <w:spacing w:after="0" w:line="39" w:lineRule="exact"/>
        <w:rPr>
          <w:sz w:val="20"/>
          <w:szCs w:val="20"/>
          <w:color w:val="auto"/>
        </w:rPr>
      </w:pPr>
    </w:p>
    <w:p>
      <w:pPr>
        <w:ind w:left="780" w:right="100" w:hanging="326"/>
        <w:spacing w:after="0" w:line="259"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of shares of common stock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of shares of common stock or our other securities as a bona fide gift;</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of shares of common stock or our other securities by will or intestacy to the transferor’s immediate family or to a trust, the beneficiaries of which are the transferor and the transferor’s immediate family;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distributions of shares of common stock or our other securities to limited partners, members or shareholders of the transferor, or</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common stock, provided that such plan does not provide for the transfer of common stock during the restricted period.</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in the case of a transfer pursuant to the second, third and fourth bullets above, the transfer will not be permitted unless the transferee signs a lock-up agreement and no filing under Section 16(a) of the Exchange Act shall be required or shall be voluntarily made by the transferor in connection with such transfers. We have entered into a similar agreement with the representatives of the underwriters, except that without such consent, we may issue shares of common stock and grant options pursuant to our employee benefit plans, provided that each recipient of such shares or options signs a lock-up agreement, and file a registration statement on Form S-8 for the registration of shares issued pursuant to our employee benefit plans.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are no agreements between the representatives and any of our stockholders or affiliates releasing them from these lock-up agreements prior to the expiration of the 180-day period.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representatives of the underwriters have advised us that the underwriters do not intend to confirm sales to any account over which they exercise discretionary authority.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Global Market, in the over-the-counter market or otherwise.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prospectus in electronic format is being made available on Internet web sites maintained by one or more of the lead underwriters of this offering and may be made available on web sites maintained by other underwriters.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October 2007 through January 2011, entities related to Leerink Swann LLC purchased from us in the aggregate 24,418 shares of our Series E preferred stock, promissory notes with an aggregate principal amount of $47,599, and warrants to purchase 453 shares of our Series E-1 preferred stock. One or more of the underwriters may in the future provide investment banking services to us for which they would receive customary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Among the primary factors that will be considered in determining the public offering price are:</w:t>
      </w:r>
    </w:p>
    <w:p>
      <w:pPr>
        <w:spacing w:after="0" w:line="59" w:lineRule="exact"/>
        <w:rPr>
          <w:sz w:val="20"/>
          <w:szCs w:val="20"/>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results of operations in recent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an offer of the shares to the public may not be made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the Relevant Member State:</w:t>
      </w:r>
    </w:p>
    <w:p>
      <w:pPr>
        <w:spacing w:after="0" w:line="147" w:lineRule="exact"/>
        <w:rPr>
          <w:sz w:val="20"/>
          <w:szCs w:val="20"/>
          <w:color w:val="auto"/>
        </w:rPr>
      </w:pPr>
    </w:p>
    <w:p>
      <w:pPr>
        <w:ind w:right="280" w:firstLine="464"/>
        <w:spacing w:after="0" w:line="268"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any legal entity which has two or more of (i) an average of at least 250 employees during the last financial year; (ii) a total balance sheet of more than €43,000,000 and (iii) an annual net turnover of more than €50,000,000, as shown in its last annual or consolidated accounts; or</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provided that no such offer of shares shall result in a requirement for the publication by us or any underwriter of a prospectus pursuant to Article 3 of the Prospectus Directive.</w:t>
      </w:r>
    </w:p>
    <w:p>
      <w:pPr>
        <w:spacing w:after="0" w:line="13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Each underwriter has represented and agreed that (i) it has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complied with and will comply with all applicable provisions of the Financial Services Act 1986 with respect to anything done by it in relation to the shares of our common stock in, from or otherwise involving the United Kingdom; and (iii) it has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28,280 shares of our common stock.</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at December 27, 2008 and December 31, 2009, and for each of the three fiscal years in the period ended December 31, 2009, as set forth in their report, which contains an explanatory paragraph describing conditions that raise substantial doubt about our ability to continue as a going concern as described in Note 1 of the notes to our consolidated financial statements included elsewhere in this prospectus. We have included our consolidated financial statements in the prospectus and elsewhere in the registration statement in reliance on Ernst &amp; Young LLP’s report, given on their authority as experts in accounting and auditing.</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You may read and copy this information at the Public Reference Room of the SEC, 100 F. Street, N.E., Washington, D.C. 20549.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site is http://www.sec.gov.</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1"/>
            <w:vMerge w:val="restart"/>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40" w:type="dxa"/>
            <w:vAlign w:val="bottom"/>
            <w:gridSpan w:val="11"/>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Balance Sheets</w:t>
              </w:r>
            </w:hyperlink>
          </w:p>
        </w:tc>
        <w:tc>
          <w:tcPr>
            <w:tcW w:w="682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55">
              <w:r>
                <w:rPr>
                  <w:rFonts w:ascii="Arial" w:cs="Arial" w:eastAsia="Arial" w:hAnsi="Arial"/>
                  <w:sz w:val="18"/>
                  <w:szCs w:val="18"/>
                  <w:color w:val="0000EE"/>
                  <w:w w:val="87"/>
                </w:rPr>
                <w:t>Consolidated Statements of Operations</w:t>
              </w:r>
            </w:hyperlink>
          </w:p>
        </w:tc>
        <w:tc>
          <w:tcPr>
            <w:tcW w:w="81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Consolidated Statements of Convertible Preferred Stock and Stockholders’ Deficit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Consolidated Statements of Cash Flows</w:t>
              </w:r>
            </w:hyperlink>
          </w:p>
        </w:tc>
        <w:tc>
          <w:tcPr>
            <w:tcW w:w="51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92">
              <w:r>
                <w:rPr>
                  <w:rFonts w:ascii="Arial" w:cs="Arial" w:eastAsia="Arial" w:hAnsi="Arial"/>
                  <w:sz w:val="18"/>
                  <w:szCs w:val="18"/>
                  <w:color w:val="0000EE"/>
                  <w:w w:val="86"/>
                </w:rPr>
                <w:t>Interim Condensed Consolidated Balance Sheets</w:t>
              </w:r>
            </w:hyperlink>
          </w:p>
        </w:tc>
        <w:tc>
          <w:tcPr>
            <w:tcW w:w="750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F-41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93">
              <w:r>
                <w:rPr>
                  <w:rFonts w:ascii="Arial" w:cs="Arial" w:eastAsia="Arial" w:hAnsi="Arial"/>
                  <w:sz w:val="18"/>
                  <w:szCs w:val="18"/>
                  <w:color w:val="0000EE"/>
                  <w:w w:val="87"/>
                </w:rPr>
                <w:t>Interim Condensed Consolidated Statements of Operations</w:t>
              </w:r>
            </w:hyperlink>
          </w:p>
        </w:tc>
        <w:tc>
          <w:tcPr>
            <w:tcW w:w="680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F-42</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94">
              <w:r>
                <w:rPr>
                  <w:rFonts w:ascii="Arial" w:cs="Arial" w:eastAsia="Arial" w:hAnsi="Arial"/>
                  <w:sz w:val="18"/>
                  <w:szCs w:val="18"/>
                  <w:color w:val="0000EE"/>
                  <w:w w:val="87"/>
                </w:rPr>
                <w:t>Interim Condensed Consolidated Statements of Cash Flows</w:t>
              </w:r>
            </w:hyperlink>
          </w:p>
        </w:tc>
        <w:tc>
          <w:tcPr>
            <w:tcW w:w="674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F-43</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Notes to Interim Condensed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F-44</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80" w:type="dxa"/>
            <w:vAlign w:val="bottom"/>
            <w:gridSpan w:val="2"/>
          </w:tcPr>
          <w:p>
            <w:pPr>
              <w:ind w:left="11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Fluidigm Corporation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Fluidigm Corporation as of December 27, 2008 and December 31, 2009, and the related consolidated statements of operations, convertible preferred stock and stockholders’ deficit, and cash flows for each of the three fiscal years in the period ended December 31, 2009.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Fluidigm Corporation at December 27, 2008 and December 31, 2009, and the consolidated results of its operations and its cash flows for each of the three fiscal years in the period ended December 31, 2009, in conformity with U.S. generally accepted accounting principles.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financial statements have been prepared assuming that Fluidigm Corporation will continue as a going concern. As more fully described in Note 1 to the financial statements, the Company’s recurring losses, operating cash flow deficiencies, and total stockholders’ deficit raise substantial doubt about its ability to continue as a going concern. Management’s plans in regard to these matters also are described in Note 1. The December 31, 2009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 2010,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for the last paragraph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Note 1, as to which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is February 3,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17,796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receivable (net of allowances of $0 and $103 at December 27, 2008 and December 31, 2009,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29,225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32,354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b w:val="1"/>
                <w:bCs w:val="1"/>
                <w:color w:val="auto"/>
              </w:rPr>
              <w:t>AND STOCKHOLDERS’ DEFICIT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preferred stock warrants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8,521</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14,178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23,155</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21,927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980" w:type="dxa"/>
            <w:vAlign w:val="bottom"/>
            <w:gridSpan w:val="2"/>
          </w:tcPr>
          <w:p>
            <w:pPr>
              <w:spacing w:after="0"/>
              <w:rPr>
                <w:sz w:val="20"/>
                <w:szCs w:val="20"/>
                <w:color w:val="auto"/>
              </w:rPr>
            </w:pPr>
            <w:r>
              <w:rPr>
                <w:rFonts w:ascii="Arial" w:cs="Arial" w:eastAsia="Arial" w:hAnsi="Arial"/>
                <w:sz w:val="18"/>
                <w:szCs w:val="18"/>
                <w:color w:val="auto"/>
                <w:w w:val="96"/>
              </w:rPr>
              <w:t>Convertible preferred stock issuable in series: $0.001 par value, 11,269 shares authorized, 9,610 and 10,239 shares</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issued and outstanding as of December 27, 2008 and December 31, 2009, respectively; aggregate liquidation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preference of $188,246 as of December 31, 2009</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167,538</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183,845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w w:val="93"/>
              </w:rPr>
              <w:t>Common stock: $0.001 par value, 18,327 shares authorized, 1,676 and 1,862 shares issued and outstanding as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December 27, 2008 and December 31, 2009, respectively</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(163,297)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(182,425)</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(158,339)</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(173,619)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32,354</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4,451</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13,364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w w:val="95"/>
              </w:rPr>
              <w:t>Grant revenue (includes grant revenue from related party of $1,758, $1,654 and $1,522 for the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640"/>
              <w:spacing w:after="0"/>
              <w:rPr>
                <w:sz w:val="20"/>
                <w:szCs w:val="20"/>
                <w:color w:val="auto"/>
              </w:rPr>
            </w:pPr>
            <w:r>
              <w:rPr>
                <w:rFonts w:ascii="Arial" w:cs="Arial" w:eastAsia="Arial" w:hAnsi="Arial"/>
                <w:sz w:val="18"/>
                <w:szCs w:val="18"/>
                <w:color w:val="auto"/>
                <w:w w:val="94"/>
              </w:rPr>
              <w:t>years ended December 29, 2007, December 27, 2008 and December 31, 2009, respectively)</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15,347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8,364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14,389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14,015</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22,511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30,801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44,890</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(23,526)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(29,543)</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9"/>
              </w:rPr>
              <w:t>Interest expense (includes related party interest expense of $1,286, $417 and $367 for the years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ended December 29, 2007, December 27, 2008 and December 31, 2009, respectively)</w:t>
            </w: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(2,790)</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(25,346)</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(29,646)</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(19,178)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(25,451)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(29,499)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of common stock,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 (unaudited)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w w:val="95"/>
              </w:rPr>
              <w:t>Shares used in computing pro forma net loss per share available to common stockholders, basic and</w:t>
            </w: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diluted (unaudited)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Convertible</w:t>
            </w: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vMerge w:val="restart"/>
          </w:tcPr>
          <w:p>
            <w:pPr>
              <w:spacing w:after="0"/>
              <w:rPr>
                <w:sz w:val="2"/>
                <w:szCs w:val="2"/>
                <w:color w:val="auto"/>
              </w:rPr>
            </w:pPr>
          </w:p>
        </w:tc>
        <w:tc>
          <w:tcPr>
            <w:tcW w:w="1160" w:type="dxa"/>
            <w:vAlign w:val="bottom"/>
            <w:gridSpan w:val="3"/>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7,148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$ 112,295</w:t>
            </w:r>
          </w:p>
        </w:tc>
        <w:tc>
          <w:tcPr>
            <w:tcW w:w="3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(108,272)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(106,172)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principle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Issuance of common stock upon exercise of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options for cash and for vesting of stock options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that were exercised early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1"/>
              </w:rPr>
              <w:t>Issuance of Series E convertible preferred stock for</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w w:val="93"/>
              </w:rPr>
              <w:t>cash at $24.22 per share, net of issuance costs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of $1,189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35,911</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for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Issuance of Series D convertible preferred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upon conversion of promissory note at $16.95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0" w:type="dxa"/>
            <w:vAlign w:val="bottom"/>
            <w:shd w:val="clear" w:color="auto" w:fill="CCEEFF"/>
          </w:tcPr>
          <w:p>
            <w:pPr>
              <w:spacing w:after="0"/>
              <w:rPr>
                <w:sz w:val="19"/>
                <w:szCs w:val="19"/>
                <w:color w:val="auto"/>
              </w:rPr>
            </w:pPr>
          </w:p>
        </w:tc>
        <w:tc>
          <w:tcPr>
            <w:tcW w:w="3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7"/>
              </w:rPr>
              <w:t>Issuance of Series E convertible preferred stock</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w w:val="94"/>
              </w:rPr>
              <w:t>upon conversion of promissory notes at $21.80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per share</w:t>
            </w:r>
          </w:p>
        </w:tc>
        <w:tc>
          <w:tcPr>
            <w:tcW w:w="460" w:type="dxa"/>
            <w:vAlign w:val="bottom"/>
          </w:tcPr>
          <w:p>
            <w:pPr>
              <w:jc w:val="right"/>
              <w:spacing w:after="0"/>
              <w:rPr>
                <w:sz w:val="20"/>
                <w:szCs w:val="20"/>
                <w:color w:val="auto"/>
              </w:rPr>
            </w:pPr>
            <w:r>
              <w:rPr>
                <w:rFonts w:ascii="Arial" w:cs="Arial" w:eastAsia="Arial" w:hAnsi="Arial"/>
                <w:sz w:val="18"/>
                <w:szCs w:val="18"/>
                <w:color w:val="auto"/>
              </w:rPr>
              <w:t>488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10,636</w:t>
            </w:r>
          </w:p>
        </w:tc>
        <w:tc>
          <w:tcPr>
            <w:tcW w:w="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Beneficial conversion feature for convertible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promissory notes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Comprehensive loss: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860"/>
              <w:spacing w:after="0"/>
              <w:rPr>
                <w:sz w:val="20"/>
                <w:szCs w:val="20"/>
                <w:color w:val="auto"/>
              </w:rPr>
            </w:pPr>
            <w:r>
              <w:rPr>
                <w:rFonts w:ascii="Arial" w:cs="Arial" w:eastAsia="Arial" w:hAnsi="Arial"/>
                <w:sz w:val="18"/>
                <w:szCs w:val="18"/>
                <w:color w:val="auto"/>
              </w:rPr>
              <w:t>Unrealized loss on available-for-sale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1060"/>
              <w:spacing w:after="0"/>
              <w:rPr>
                <w:sz w:val="20"/>
                <w:szCs w:val="20"/>
                <w:color w:val="auto"/>
              </w:rPr>
            </w:pPr>
            <w:r>
              <w:rPr>
                <w:rFonts w:ascii="Arial" w:cs="Arial" w:eastAsia="Arial" w:hAnsi="Arial"/>
                <w:sz w:val="18"/>
                <w:szCs w:val="18"/>
                <w:color w:val="auto"/>
              </w:rPr>
              <w:t>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(25,569)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9,359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$162,082</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(133,798)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(130,331)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8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Convertible</w:t>
            </w: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80" w:type="dxa"/>
            <w:vAlign w:val="bottom"/>
            <w:gridSpan w:val="4"/>
          </w:tcPr>
          <w:p>
            <w:pPr>
              <w:jc w:val="right"/>
              <w:ind w:right="155"/>
              <w:spacing w:after="0" w:line="149" w:lineRule="exact"/>
              <w:rPr>
                <w:sz w:val="20"/>
                <w:szCs w:val="20"/>
                <w:color w:val="auto"/>
              </w:rPr>
            </w:pPr>
            <w:r>
              <w:rPr>
                <w:rFonts w:ascii="Arial" w:cs="Arial" w:eastAsia="Arial" w:hAnsi="Arial"/>
                <w:sz w:val="14"/>
                <w:szCs w:val="14"/>
                <w:b w:val="1"/>
                <w:bCs w:val="1"/>
                <w:color w:val="auto"/>
              </w:rPr>
              <w:t>Preferred Stock</w:t>
            </w:r>
          </w:p>
        </w:tc>
        <w:tc>
          <w:tcPr>
            <w:tcW w:w="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jc w:val="right"/>
              <w:ind w:right="240"/>
              <w:spacing w:after="0" w:line="136"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vMerge w:val="restart"/>
          </w:tcPr>
          <w:p>
            <w:pPr>
              <w:spacing w:after="0"/>
              <w:rPr>
                <w:sz w:val="2"/>
                <w:szCs w:val="2"/>
                <w:color w:val="auto"/>
              </w:rPr>
            </w:pPr>
          </w:p>
        </w:tc>
        <w:tc>
          <w:tcPr>
            <w:tcW w:w="104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vMerge w:val="restart"/>
          </w:tcPr>
          <w:p>
            <w:pPr>
              <w:spacing w:after="0"/>
              <w:rPr>
                <w:sz w:val="2"/>
                <w:szCs w:val="2"/>
                <w:color w:val="auto"/>
              </w:rPr>
            </w:pPr>
          </w:p>
        </w:tc>
        <w:tc>
          <w:tcPr>
            <w:tcW w:w="102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4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9,359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$162,082</w:t>
            </w:r>
          </w:p>
        </w:tc>
        <w:tc>
          <w:tcPr>
            <w:tcW w:w="36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(133,798)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(130,331)</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w w:val="93"/>
              </w:rPr>
              <w:t>Issuance of common stock upon exercise of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60"/>
              <w:spacing w:after="0"/>
              <w:rPr>
                <w:sz w:val="20"/>
                <w:szCs w:val="20"/>
                <w:color w:val="auto"/>
              </w:rPr>
            </w:pPr>
            <w:r>
              <w:rPr>
                <w:rFonts w:ascii="Arial" w:cs="Arial" w:eastAsia="Arial" w:hAnsi="Arial"/>
                <w:sz w:val="18"/>
                <w:szCs w:val="18"/>
                <w:color w:val="auto"/>
              </w:rPr>
              <w:t>options for cash and for vesting of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options that were exercised early</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rPr>
              <w:t>Repurchase of common stock in exchange for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payment of related-party note receivable</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Issuance of Series E convertible preferred stock</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upon conversion of promissory notes at $21.80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3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w w:val="92"/>
              </w:rPr>
              <w:t>Issuance of Series C convertible preferred stock at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60"/>
              <w:spacing w:after="0"/>
              <w:rPr>
                <w:sz w:val="20"/>
                <w:szCs w:val="20"/>
                <w:color w:val="auto"/>
              </w:rPr>
            </w:pPr>
            <w:r>
              <w:rPr>
                <w:rFonts w:ascii="Arial" w:cs="Arial" w:eastAsia="Arial" w:hAnsi="Arial"/>
                <w:sz w:val="18"/>
                <w:szCs w:val="18"/>
                <w:color w:val="auto"/>
                <w:w w:val="98"/>
              </w:rPr>
              <w:t>$13.20 per share upon net-share exercise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warrants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 on available-for-sale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securities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180" w:type="dxa"/>
            <w:vAlign w:val="bottom"/>
          </w:tcPr>
          <w:p>
            <w:pPr>
              <w:ind w:left="880"/>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(29,499)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Balance as of December 27, 2008</w:t>
            </w: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9,610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$167,538</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1,676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5,512</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(556)</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(163,297)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363"/>
        </w:trPr>
        <w:tc>
          <w:tcPr>
            <w:tcW w:w="4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4"/>
          </w:tcPr>
          <w:p>
            <w:pPr>
              <w:jc w:val="right"/>
              <w:ind w:right="820"/>
              <w:spacing w:after="0"/>
              <w:rPr>
                <w:sz w:val="20"/>
                <w:szCs w:val="20"/>
                <w:color w:val="auto"/>
              </w:rPr>
            </w:pPr>
            <w:r>
              <w:rPr>
                <w:rFonts w:ascii="Arial" w:cs="Arial" w:eastAsia="Arial" w:hAnsi="Arial"/>
                <w:sz w:val="18"/>
                <w:szCs w:val="18"/>
                <w:color w:val="auto"/>
                <w:w w:val="96"/>
              </w:rPr>
              <w:t>F-6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0" w:type="dxa"/>
            <w:vAlign w:val="bottom"/>
            <w:tcBorders>
              <w:right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00" w:type="dxa"/>
            <w:vAlign w:val="bottom"/>
            <w:tcBorders>
              <w:right w:val="single" w:sz="8" w:color="auto"/>
            </w:tcBorders>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vMerge w:val="restart"/>
          </w:tcPr>
          <w:p>
            <w:pPr>
              <w:spacing w:after="0"/>
              <w:rPr>
                <w:sz w:val="2"/>
                <w:szCs w:val="2"/>
                <w:color w:val="auto"/>
              </w:rPr>
            </w:pPr>
          </w:p>
        </w:tc>
        <w:tc>
          <w:tcPr>
            <w:tcW w:w="1160" w:type="dxa"/>
            <w:vAlign w:val="bottom"/>
            <w:gridSpan w:val="3"/>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4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$167,538</w:t>
            </w: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1,676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5,512</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(163,297)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208"/>
        </w:trPr>
        <w:tc>
          <w:tcPr>
            <w:tcW w:w="4080" w:type="dxa"/>
            <w:vAlign w:val="bottom"/>
          </w:tcPr>
          <w:p>
            <w:pPr>
              <w:ind w:left="440"/>
              <w:spacing w:after="0"/>
              <w:rPr>
                <w:sz w:val="20"/>
                <w:szCs w:val="20"/>
                <w:color w:val="auto"/>
              </w:rPr>
            </w:pPr>
            <w:r>
              <w:rPr>
                <w:rFonts w:ascii="Arial" w:cs="Arial" w:eastAsia="Arial" w:hAnsi="Arial"/>
                <w:sz w:val="18"/>
                <w:szCs w:val="18"/>
                <w:color w:val="auto"/>
              </w:rPr>
              <w:t>Issuance of common stock upon exercise of</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660"/>
              <w:spacing w:after="0"/>
              <w:rPr>
                <w:sz w:val="20"/>
                <w:szCs w:val="20"/>
                <w:color w:val="auto"/>
              </w:rPr>
            </w:pPr>
            <w:r>
              <w:rPr>
                <w:rFonts w:ascii="Arial" w:cs="Arial" w:eastAsia="Arial" w:hAnsi="Arial"/>
                <w:sz w:val="18"/>
                <w:szCs w:val="18"/>
                <w:color w:val="auto"/>
                <w:w w:val="93"/>
              </w:rPr>
              <w:t>stock options for cash and for vesting of stock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60"/>
              <w:spacing w:after="0"/>
              <w:rPr>
                <w:sz w:val="20"/>
                <w:szCs w:val="20"/>
                <w:color w:val="auto"/>
              </w:rPr>
            </w:pPr>
            <w:r>
              <w:rPr>
                <w:rFonts w:ascii="Arial" w:cs="Arial" w:eastAsia="Arial" w:hAnsi="Arial"/>
                <w:sz w:val="18"/>
                <w:szCs w:val="18"/>
                <w:color w:val="auto"/>
              </w:rPr>
              <w:t>options that were exercised early</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Issuance of common stock to licensee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8"/>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Issuance of common stock upon conversion of</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stock</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1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8"/>
        </w:trPr>
        <w:tc>
          <w:tcPr>
            <w:tcW w:w="4080" w:type="dxa"/>
            <w:vAlign w:val="bottom"/>
          </w:tcPr>
          <w:p>
            <w:pPr>
              <w:ind w:left="440"/>
              <w:spacing w:after="0"/>
              <w:rPr>
                <w:sz w:val="20"/>
                <w:szCs w:val="20"/>
                <w:color w:val="auto"/>
              </w:rPr>
            </w:pPr>
            <w:r>
              <w:rPr>
                <w:rFonts w:ascii="Arial" w:cs="Arial" w:eastAsia="Arial" w:hAnsi="Arial"/>
                <w:sz w:val="18"/>
                <w:szCs w:val="18"/>
                <w:color w:val="auto"/>
                <w:w w:val="94"/>
              </w:rPr>
              <w:t>Issuance of Series E convertible preferred stock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660"/>
              <w:spacing w:after="0"/>
              <w:rPr>
                <w:sz w:val="20"/>
                <w:szCs w:val="20"/>
                <w:color w:val="auto"/>
              </w:rPr>
            </w:pPr>
            <w:r>
              <w:rPr>
                <w:rFonts w:ascii="Arial" w:cs="Arial" w:eastAsia="Arial" w:hAnsi="Arial"/>
                <w:sz w:val="18"/>
                <w:szCs w:val="18"/>
                <w:color w:val="auto"/>
                <w:w w:val="95"/>
              </w:rPr>
              <w:t>for cash at $24.22 per share, net of issuance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60"/>
              <w:spacing w:after="0"/>
              <w:rPr>
                <w:sz w:val="20"/>
                <w:szCs w:val="20"/>
                <w:color w:val="auto"/>
              </w:rPr>
            </w:pPr>
            <w:r>
              <w:rPr>
                <w:rFonts w:ascii="Arial" w:cs="Arial" w:eastAsia="Arial" w:hAnsi="Arial"/>
                <w:sz w:val="18"/>
                <w:szCs w:val="18"/>
                <w:color w:val="auto"/>
              </w:rPr>
              <w:t>costs of $90</w:t>
            </w:r>
          </w:p>
        </w:tc>
        <w:tc>
          <w:tcPr>
            <w:tcW w:w="54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6,944</w:t>
            </w: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Issuance of Series E convertible preferred stock</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upon conversion of promissory note at $24.22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 net of issuance costs of $157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3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Comprehensive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(19,128)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Balance as of December 31, 2009</w:t>
            </w: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10,239</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183,845</w:t>
            </w: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1,862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9,308</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(182,425)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(173,619)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(25,451)</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(29,499)</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1,643</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1,497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Loss (gain) from changes in the fair value of convertible preferred stock warrants, net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245</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(769)</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sales of property and equipment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Amortization of debt discount and issuance cost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495</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470</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services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Gain from sublicense of technology</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(135)</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(3,278)</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(2,460)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(1,552)</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1,104</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1,537</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1,618</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(1,690)</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1,294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(21,759)</w:t>
            </w: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(28,720)</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(973)</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(910)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securities</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(6,286)</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(4,511)</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available-for-sale securities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3,032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Maturities of available-for-sale securities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7,765</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provided by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(6,740)</w:t>
            </w:r>
          </w:p>
        </w:tc>
        <w:tc>
          <w:tcPr>
            <w:tcW w:w="160" w:type="dxa"/>
            <w:vAlign w:val="bottom"/>
          </w:tcPr>
          <w:p>
            <w:pPr>
              <w:spacing w:after="0"/>
              <w:rPr>
                <w:sz w:val="13"/>
                <w:szCs w:val="13"/>
                <w:color w:val="auto"/>
              </w:rPr>
            </w:pPr>
          </w:p>
        </w:tc>
        <w:tc>
          <w:tcPr>
            <w:tcW w:w="132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6,001</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issuance of convertible promissory notes, net of issuance costs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35,911</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long-term debt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Repayment of long-term debt</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(3,503)</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(3,855)</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37,555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6,325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9,059</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(16,281)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Cash and cash equivalents as of beginning of year</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25,018</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34,077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as of end of year</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34,077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17,796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14,602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1,483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Conversion of convertible promissory notes and accrued interest into convertible preferred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43" w:lineRule="exact"/>
              <w:rPr>
                <w:sz w:val="20"/>
                <w:szCs w:val="20"/>
                <w:color w:val="auto"/>
              </w:rPr>
            </w:pPr>
            <w:r>
              <w:rPr>
                <w:rFonts w:ascii="Arial" w:cs="Arial" w:eastAsia="Arial" w:hAnsi="Arial"/>
                <w:sz w:val="14"/>
                <w:szCs w:val="14"/>
                <w:color w:val="auto"/>
              </w:rPr>
              <w:t>13,876</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5,414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10,876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investment received in exchange for technology license</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Issuance of preferred stock warrants in connection with long-term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484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preferred stock warrants in connection with convertible promissory notes</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2009</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Fluidigm Corporation (the Company) was incorporated in the state of California on May 19, 1999, to commercialize microfluidic technology initially developed at the California Institute of Technology. In July 2007, the Company was reincorporated in Delaware. The Company’s headquarters are located in South San Francisco, California.</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develops, manufactures and markets microfluidic systems in the life science and agricultural biotechnology (Ag-Bio) industries. The Company’s proprietary microfluidic systems consist of instruments and consumables, including chips and reagents. The Company’s microfluidic systems are designed to simplify experimental workflow, increase throughput, reduce costs, and provide quality data. The Company markets systems and consumables to leading pharmaceutical and biotechnology companies, academic institutions, diagnostic laboratories, and Ag-Bio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Company has incurred recurring losses and operating cash flow deficiencies. As of December 31, 2009, the Company had a total stockholders’ deficit of $182.4 million. The Company has historically experienced negative cash flows from operating activities as it has expanded its business and built its infrastructure and this may continue in the future. If the Company’s cash resources are insufficient to satisfy its future cash requirements, the Company may be required to issue convertible debt or equity to raise additional capital. If the Company raises additional funds through collaboration and licensing arrangements with third parties, it may be necessary to relinquish some rights to its technologies or its products, or grant licenses on terms that are not favorable to the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exploring its financing alternatives. If the Company is unable to raise adequate funds, it may have to liquidate some or all of its assets, or delay, reduce the scope of or eliminate some or all of its development programs. If the Company does not have, or is not able to obtain, sufficient funds, it may have to delay development or commercialization of its products or license to third parties the rights to commercialize products or technologies that it would otherwise seek to commercialize. In addition, the Company may have to reduce marketing, customer support or other resources devoted to its products or cease operations. Any of these factors could harm the Company’s operating results.</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may be unable to raise additional capital or to do so on terms that are favorable, depending upon capital market and overall economic conditions. Sale of convertible debt securities or additional equity could result in substantial dilution to the Company’s stockholders.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These factors raise substantial doubt about the Company’s ability to continue as a going concern. The accompanying financial statements do not include any adjustments that might result from the outcome of these uncertainties.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Except as disclosed in the last paragraph of Note 1, the Company has evaluated subsequent events after the balance sheet date of December 31, 2009 through December 3, 2010, the date the consolidated financial statements were issued.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00"/>
          </w:cols>
          <w:pgMar w:left="240" w:top="460"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February 3, 2011, the Company’s stockholders approved an amended and restated certificate of incorporation effecting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financial statements have been retroactively adjusted to reflect this reverse stock split for all periods presented.</w:t>
      </w:r>
    </w:p>
    <w:p>
      <w:pPr>
        <w:spacing w:after="0" w:line="191" w:lineRule="exact"/>
        <w:rPr>
          <w:sz w:val="20"/>
          <w:szCs w:val="20"/>
          <w:color w:val="auto"/>
        </w:rPr>
      </w:pPr>
    </w:p>
    <w:p>
      <w:pPr>
        <w:ind w:right="7780" w:firstLine="8"/>
        <w:spacing w:after="0" w:line="417" w:lineRule="auto"/>
        <w:tabs>
          <w:tab w:leader="none" w:pos="307"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accompanying consolidated financial statements of the Company have been prepared in conformity with U.S. generally accepted accounting principles and include the accounts of the Company and its wholly-owned subsidiaries. The Company has wholly-owned subsidiaries in Singapore, the Netherlands, Japan, France, and the United Kingdom.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2007 and 2008 fiscal years were based on a 52- or 53-week convention for its fiscal years and, therefore, the 2007 fiscal year ended on December 29, 2007 (2007) and the 2008 fiscal year ended on December 27, 2008 (2008). During 2009, the Company adopted the calendar year as its fiscal year and, accordingly, the 2009 fiscal year ended on December 31, 2009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management to make estimates and assumptions that affect the amounts reported in the consolidated financial statements and accompanying notes. The Company bases its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the Company’s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at the balance sheet date with the resulting translation adjustments recorded in a separate component of accumulated other comprehensive loss within stockholders’ deficit. Income and expense accounts are translated at average exchange rates during the year. Net losses from foreign currency translation adjustments were $107,000 and $433,000 during 2007 and 2008, respectively. During 2009, net gain from foreign currency translation adjustment was $52,000. Foreign currency transaction gains and losses are recognized in other income (expense), net in the accompanying consolidated statements of operations. The Company had net foreign currency transaction gains of $72,000 and $386,000 during 2007 and 2008, respectively, and net foreign currency transaction losses of $89,000 during 2009.</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considers all highly liquid financial instruments with maturities at the time of purchase of three months or less to be cash equivalents. Cash and cash equivalents may consist of cash on deposit with banks, money market funds, commercial paper, corporate notes, and notes from government-sponsored agencies.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Available-for-sale securities are comprised of corporate notes and notes from government-sponsored agencies. Investments classified as “available-for-sale” are recorded at estimated fair value, as determined by quoted market rates, in the accompanying consolidated balance sheets, with any unrealized gains and losses reported in stockholders’ deficit as a component of accumulated other comprehensive loss. Realized gains and losses and declines in the fair value of available-for-sale securities below their cost that are deemed to be “other than temporary” are reflected in interest income. No “other than temporary” unrealized losses have been incurred to date, and realized gains and losses were immaterial during the years presented. The cost of securities sold is based on the specific-identification method.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had restricted cash balances of $256,000 as of December 27, 2008 and December 31, 2009. Included in restricted cash are amounts that collateralize the Company’s standby letters of credit issued under operating lease agreements for its office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restricted cash,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Company’s cash equivalents are classified as Level I because they are valued using quoted market prices. The Company’s convertible preferred stock warrants are valued using Level III inputs.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30, 2007</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Issuances</w:t>
            </w: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w:t>
            </w:r>
          </w:p>
        </w:tc>
        <w:tc>
          <w:tcPr>
            <w:tcW w:w="1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Fair value as of December 27, 2008</w:t>
            </w:r>
          </w:p>
        </w:tc>
        <w:tc>
          <w:tcPr>
            <w:tcW w:w="1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$ 141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Issuances</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 in fair value</w:t>
            </w:r>
          </w:p>
        </w:tc>
        <w:tc>
          <w:tcPr>
            <w:tcW w:w="17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2009</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Valuation of convertible preferred stock warrants is discussed in Note 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Trade accounts receivable are recorded at net invoice value. The Company reviews its exposure to accounts receivable and reserves specific amounts if collectability is no longer reasonably assured based on historical experience and specific customer collection issues. The Company evaluates such reserves on a regular basis and adjusts its reserves as needed. At December 31, 2009, the Company had reserves for accounts receivable of $103,000. Reserves for accounts receivable were not significant at December 27,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that potentially subject the Company to credit risk consist of cash, cash equivalents, available-for-sale securities, and accounts receivable. The Company maintains cash, cash equivalents, and available-for-sale securities with major financial institutions. The Company’s cash, cash equivalents, and available-for-sale securities may consist of deposits held with banks, commercial paper, money market funds, and other highly liquid investments that may at times exceed federally insured limits. The Company performs periodic evaluations of its investments and the relative credit standing of these financial institutions and limits the amount of credit exposure with any one institution.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generally does not require collateral to support credit sales. To reduce credit risk, the Company performs periodic credit evaluations of its customers. Revenue from one customer was 24% and 11% of total revenues for 2007 and 2008, respectively. No customer was greater than 10% of total revenues for 2009.</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products include components that are currently available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Inventories are stated at the lower of cost (which approximates actual cost on a first-in, first-out method) or market. Inventories include raw materials, work-in-process, and finished goods that may also be used for research and development; such items are expensed when they are designated for use in research and development. Provisions, when required, for slow-moving, excess, and obsolete inventories are recorded to reduce inventory values from cost to their estimated net realizable values, based on product life cycle, development plans, product expiration, and quality issues.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evaluates its long-lived assets for indicators of possible impairment when events or changes in circumstances indicate the carrying amount of an asset may not be recoverable. If any indicator of impairment exists, the Company assesses the recoverability of the affected long-lived assets by determining whether the carrying value of such assets can be recovered through undiscounted future operating cash flows. If impairment is indicated, the Company measures the future discounted cash flows associated with the use of the asset and adjusts the value of the asset accordingly. The Company did not have any impairment of long lived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a minority equity investment that is accounted for under the cost method of accounting. Under the cost method of accounting, investments in equity securities are carried at cost and are adjusted only for other-than-temporary declines in value. No such declines have been identified through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Product Warranties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generally provides a one-year warranty on its instruments. The Company reviews its exposure to estimated warranty expense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not significant for any period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generates revenue from sales of its products, research and development contracts, collaboration agreements and government grants. The Company’s products consist of instruments and consumables, including chips and reagents, related to its microfluidic systems. Product revenue includes services for instrument installation, training, and customer support services. The Company has also entered into collaboration, and research and development contracts and has received government grants to conduct research and development activities.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 is recognized when all of the following criteria are met: persuasive evidence of an arrangement exists, delivery has occurred or services have been rendered, the price to the buyer is fixed or determinable and collectability is reasonably assured. The Company assesses collectability based on factors such as the customer’s creditworthiness and past collection history, if applicable. If collection is not reasonably assured, revenue recognition is deferred until receipt of payment. The Company also assesses whether a price is fixed or determinable by, among other things, reviewing contractual terms and conditions related to payment terms. Delivery occurs when there is a transfer of title and risk of loss passes to the customer.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of the Company’s sales contracts involve the delivery or performance of multiple products and services within contractually binding arrangements. Significant judgment is sometimes required to determine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The Company does not sell software separately; however, the Company offers post-contract software support services for certain of its instruments containing software that is more than incidental to the functionality of the instruments. If an arrangement includes chips and instruments, the Company separates chip revenues from software related deliverables.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third quarter of 2009, the Company began shipping instruments in fully assembled and calibrated form and concluded that installation was no longer essential to their functionality. As a result, beginning in the fourth quarter of 2009, the Company began recognizing instrument revenues upon delivery assuming all other applicable revenue recognition criteria have been satisfied. Previously, instrument revenue was recognized upon installation assuming all other applicable revenue recognition criteria have been satisfied.</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third quarter of 2008, the Company established fair value for post-contract software support related to its BioMark instrument. As a result, beginning in the third quarter of 2008, the Company recognized revenue for the fair value of a BioMark instrument upon installation. Previously, revenue from BioMark instruments was deferred and recognized ratably over the post-contract support period. The corresponding costs of products related to multiple element revenue arrangements are recognized consistent with the related revenue recognition.</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evaluates whether a delivered element has value on a stand-alone basis prior to delivery of the remaining elements by determining whether separate sales of such undelivered elements exist or whether the undelivered elements are essential to the functionality of the delivered elements. The Company recognizes revenue for delivered elements only when the fair values of undelivered elements are known. The Company evaluates whether there is vendor-specific objective evidence, or VSOE, of fair value of the undelivered elements, determined by reference to stand-alone sales of such items. If the fair value of any undelivered element related to instruments and software included in a multiple element arrangement cannot be objectively determined, revenue will be deferred until all elements are delivered, or until fair value can objectively be determined for any remaining undelivered elements.</w:t>
      </w:r>
    </w:p>
    <w:p>
      <w:pPr>
        <w:spacing w:after="0" w:line="12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Company’s products are sold without the right of return. Accruals are provided for estimated warranty expenses at the time the associated revenue is recognized. Amounts received in advance of when revenue recognition criteria are met are classified as deferred revenue in the consolidated balance sheets.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has entered into collaboration and research and development agreements with third parties, including government entities that generally provide the Company with up-front and periodic milestone fees or fees based on agreed-upon rates for time incurred by the Company’s research staff. Upfront fees are generally recognized over the term of the agreement; milestone fees are generally recognized when the milestones are achieved; and fees based on agreed upon rates for time incurred by the Company’s research staff are recognized as time is incurred. The Company evaluates whether these arrangements contain multiple units of accounting by evaluating whether delivered elements have value on a stand-alone basis and whether there is objective and reliable evidence of fair value of the undelivered items. During 2007 and 2008, the Company concluded that these arrangements consisted of a single unit of accounting, namely, research and development services. Accordingly, the Company recognizes fees received under such arrangements over the period services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performed. Costs associated with research and development agreements are included in research and development expenses in the consolidated statements of operations. During 2009, there were no such arrangements.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receives grants from various governmental entities for research and related activities. Grants provide the Company with incentive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the Company has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680" w:firstLine="456"/>
        <w:spacing w:after="0" w:line="370" w:lineRule="auto"/>
        <w:rPr>
          <w:sz w:val="20"/>
          <w:szCs w:val="20"/>
          <w:color w:val="auto"/>
        </w:rPr>
      </w:pPr>
      <w:r>
        <w:rPr>
          <w:rFonts w:ascii="Arial" w:cs="Arial" w:eastAsia="Arial" w:hAnsi="Arial"/>
          <w:sz w:val="15"/>
          <w:szCs w:val="15"/>
          <w:color w:val="auto"/>
        </w:rPr>
        <w:t>The Company records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The Company expenses advertising costs as incurred. The Company incurred advertising costs of $701,000, $1,117,000 and $747,000 during 2007, 2008 and 2009,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recognizes the financial statement effects of a tax position when it is more likely than not, based on the technical merits, that the position will be sustained upon examination. On January 1, 2007, the Company adopted new accounting guidance related to uncertain tax positions that resulted in a charge of $75,000 as a cumulative effect of a change in accounting principle in accumulated deficit. Any interest and penalties related to uncertain tax positions will be reflected in income tax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adopted the fair value method of accounting for stock options granted to employees beginning January 1, 2006 using the prospective-transition method. Under the prospective-transition method,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Company applies the intrinsic value method to employee equity awards outstanding at the date of the Company’s adoption of the fair value method. Any compensation costs recognized consist of: (a) compensation cost for all stock-based awards granted prior to, but not vested, as of December 31, 2005 based on the intrinsic value method and (b) compensation cost for all stock-based awards granted or modified subsequent to December 31, 2005, net of estimated forfeitures, based on the grant date fair value. The Company recognizes stock-based compensation expense on a straight-line basis over the requisite service periods. For performance-based stock options, the Company recognizes stock-based compensation expense over the requisite service period using the accelerated attribution method.</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accounts for stock options issued to non-employees based on the fair value of the awards. The non-employee options are subject to periodic reevaluation over their vesting term with changes in fair value recognized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Comprehensive loss is comprised of net loss and other comprehensive loss. Other comprehensive loss includes unrealized gains and losses on the Company’s available-for-sale securities and foreign currency translation adjustments. Total comprehensive loss for all periods presented has been disclosed in the consolidated statements of convertible preferred stock and stockholders’ deficit.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loss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r>
      <w:tr>
        <w:trPr>
          <w:trHeight w:val="27"/>
        </w:trPr>
        <w:tc>
          <w:tcPr>
            <w:tcW w:w="5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r>
      <w:tr>
        <w:trPr>
          <w:trHeight w:val="20"/>
        </w:trPr>
        <w:tc>
          <w:tcPr>
            <w:tcW w:w="5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Freestanding warrants to purchase the Company’s convertible preferred stock are valued at fair value and classified as liabilities in the consolidated balance sheets and are carried at fair value because the warrants may conditionally obligate the Company to transfer assets at some point in the future. The warrants are subject to remeasurement at each balance sheet date and any change in fair value is recognized in the consolidated statements of operations. The Company will continue to adjust this liability for changes in fair value until the earlier of the exercise or expiration of the warrants, the completion of a deemed liquidation event, conversion of preferred stock into common stock, or until the convertible preferred stockholders can no longer trigger a deemed liquidation event. At that time, the convertible preferred stock warrant liabilities will be reclassified to convertible preferred stock or additional paid-in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of Common Stock</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basic net loss per share of common stock is calculated by dividing the net loss by the weighted-average number of shares of common stock outstanding for the period. The weighted-average number of shares of common stock used to calculate the Company’s basic net loss per share of common stock excludes shares subject to repurchase rights related to stock options that were exercised prior to vesting, as such shares are not deemed to be issued for accounting purposes until the related stock options vest. The diluted net loss per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share of common stock is computed by dividing the net loss by the weighted-average number of potential common shares outstanding for the period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potential common shares but have been excluded from the calculation of diluted net loss per share of common stock, as their effect is anti-dilutive.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of common stock for the periods presented because including them would have been anti-dilutive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December 29,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27,</w:t>
            </w:r>
          </w:p>
        </w:tc>
        <w:tc>
          <w:tcPr>
            <w:tcW w:w="8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320" w:type="dxa"/>
            <w:vAlign w:val="bottom"/>
          </w:tcPr>
          <w:p>
            <w:pPr>
              <w:spacing w:after="0"/>
              <w:rPr>
                <w:sz w:val="14"/>
                <w:szCs w:val="14"/>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1,228</w:t>
            </w:r>
          </w:p>
        </w:tc>
        <w:tc>
          <w:tcPr>
            <w:tcW w:w="800" w:type="dxa"/>
            <w:vAlign w:val="bottom"/>
          </w:tcPr>
          <w:p>
            <w:pPr>
              <w:jc w:val="right"/>
              <w:spacing w:after="0"/>
              <w:rPr>
                <w:sz w:val="20"/>
                <w:szCs w:val="20"/>
                <w:color w:val="auto"/>
              </w:rPr>
            </w:pPr>
            <w:r>
              <w:rPr>
                <w:rFonts w:ascii="Arial" w:cs="Arial" w:eastAsia="Arial" w:hAnsi="Arial"/>
                <w:sz w:val="18"/>
                <w:szCs w:val="18"/>
                <w:color w:val="auto"/>
              </w:rPr>
              <w:t>1,321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116</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convertible into shares of convertible preferred stock</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63"/>
        </w:trPr>
        <w:tc>
          <w:tcPr>
            <w:tcW w:w="7320" w:type="dxa"/>
            <w:vAlign w:val="bottom"/>
          </w:tcPr>
          <w:p>
            <w:pPr>
              <w:ind w:left="5540"/>
              <w:spacing w:after="0"/>
              <w:rPr>
                <w:sz w:val="20"/>
                <w:szCs w:val="20"/>
                <w:color w:val="auto"/>
              </w:rPr>
            </w:pPr>
            <w:r>
              <w:rPr>
                <w:rFonts w:ascii="Arial" w:cs="Arial" w:eastAsia="Arial" w:hAnsi="Arial"/>
                <w:sz w:val="18"/>
                <w:szCs w:val="18"/>
                <w:color w:val="auto"/>
              </w:rPr>
              <w:t>F-17</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Net Loss per Share of Common Stock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2010, the Company’s board of directors authorized the filing of a registration statement with the Securities and Exchange Commission (SEC) for the Company to sell shares of common stock to the public. Pro forma basic and diluted net loss per share of common stock have been computed in contemplation of the completion of this offering and give effect to the conversion of all the Company’s outstanding convertible preferred stock into common stock. Also, the numerator in the pro forma basic and diluted net loss per share calculation has been adjusted to remove gains and losses resulting from changes in the fair value of convertible preferred stock warrants as these will become warrants to purchase shares of the Company’s common stock upon a qualifying initial public offering. The following table reconciles the calculation of pro forma loss per share (unaudited, in thousands, except per share amounts):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amortization of debt discount related to the promissory notes issued in January 2011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Deemed dividend due to change in conversion price of Series E convertible preferred stock</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computing pro forma net loss per share available to common stockholders,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(29,872)</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available to common stockholders, basic and diluted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pro forma net loss per share available to common stockholders, basic and diluted</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available to common stockholders, basic and diluted</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January 2011, the Company’s board of directors approved a change in the conversion price of the Company’s Series E convertible preferred stock such that the holders of Series E stock will receive approximately 2,000,000 more shares of common stock upon conversion. During 2011, the Company will account for the increase as a non-cash deemed dividend of approximately $9,900,000 based on the fair value of the Company’s common stock at the time of the change in conversion price. During January 2011, the Company issued $5,000,000 of promissory notes that bear interest at 8% along with warrants to purchase 103,182 shares of convertible preferred stock valued at $1,157,000.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Multiple Deliverables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September 2009, the FASB ratified authoritative accounting guidance regarding revenue recognition for arrangements with multiple deliverables. The guidance allows the use of management’s best estimate of selling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price for individual elements of an arrangement when vendor specific objective evidence, or third-party evidence is unavailable. The guidance also requires arrangement consideration to be allocated at the inception of the arrangement to all deliverables using the relative-selling-price method and eliminates the use of the residual method of allocation. The guidance is effective for annual periods beginning January 1, 2011, with early adoption permitted. The Company is currently evaluating the impact of this guidance on its consolidated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Software Elements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2009, the FASB ratified authoritative accounting guidance that modifies the scope of the software revenue recognition guidance to exclude tangible products that contain both software and non-software components that function together to deliver the product’s essential functionality. The guidance is effective for annual periods beginning January 1, 2011, with early adoption permitted. This guidance must be adopted in the same period an entity adopts the amended guidance for revenue arrangements with multiple deliverables guidance described in the preceding paragraph. The Company is currently evaluating the impact of this guidance on its consolidated financial statements.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Milestone Method of Revenue Recognition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March 2010, the FASB ratified the milestone method of revenue recognition. Under this new standard, an entity can recognize contingent consideration earned from the achievement of a substantive milestone in its entirety in the period in which the milestone is achieved.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the entity. The milestone method of revenue recognition is effective for fiscal years beginning on or after June 15, 2010 and early adoption is permitted. The Company is currently evaluating the impact of this guidance on its consolidated financial statements.</w:t>
      </w:r>
    </w:p>
    <w:p>
      <w:pPr>
        <w:spacing w:after="0" w:line="195" w:lineRule="exact"/>
        <w:rPr>
          <w:sz w:val="20"/>
          <w:szCs w:val="20"/>
          <w:color w:val="auto"/>
        </w:rPr>
      </w:pPr>
    </w:p>
    <w:p>
      <w:pPr>
        <w:ind w:right="6440" w:firstLine="8"/>
        <w:spacing w:after="0" w:line="347" w:lineRule="auto"/>
        <w:tabs>
          <w:tab w:leader="none" w:pos="307"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License, Development, Collaboration, and Grant Agreements License Agreements</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2003, the Company entered into a license agreement to obtain an exclusive worldwide license for certain technology regarding nanovolume crystallization arrays. The Company may, in its sole discretion, cancel the license agreement with 30-days notice; otherwise, the license terminates at the end of the life of the last licensed patent to expire. Under the terms of the agreement, the Company is obligated to issue up to $2,100,000 in value of shares of the Company’s common or convertible preferred stock if the Company achieves certain milestones. As a result of achieving one of these milestones during 2006, the Company issued 35,389 shares of Series D convertible preferred stock valued at $16.95 per share for an aggregate value of $597,000, net of issuance costs, and recorded this amount as research and development expense. The milestones required to issue the remaining $1,503,000 of shares of the convertible preferred stock due under the agreement have not been achieved as of December 31, 2009.</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During 2003, the Company also entered into a separate research sponsorship agreement under which the Company agreed to pay a total of $900,000 over five years in 20 quarterly installments of $45,000 each to sponsor certain research. These quarterly payments were recorded as research and development expenses. As of December 27, 2008, the entire $900,000 has been paid and the agreement terminated in fiscal 2008 following payment of the final installment.</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40"/>
          </w:cols>
          <w:pgMar w:left="240" w:top="459" w:right="3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December 2003, the Company entered into a license agreement to obtain a nonexclusive worldwide license for certain technology regarding submicroliter protein crystallization. The Company may, in its sole discretion, cancel the agreement with 30-days notice; otherwise, the license terminates at the end of the life of the last licensed patent to expire. Pursuant to the agreement, the Company made payments for nonrefundable license fees, each in the amount of $250,000, in January 2006 and January 2007. Also pursuant to this agreement, the Company began making quarterly payments in the amount of $25,000 starting in the first quarter of 2007. These quarterly payments, which we have made through December 31, 2009 and which are scheduled to continue until the agreement is terminated, could increase in future periods if the Company meets certain sales volumes. The nonrefundable license fee and quarterly payments were recorded as research and development expense.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2009, the Company entered into an agreement to grant a sub-license to certain intellectual property previously licensed by the Company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third party (Licensor). As consideration, the Company received shares of the sub-licensee’s preferred stock (Investment), with an estimated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$1,676,000. The Investment is accounted for under the cost method of accounting. The Company based its estimate of the fair value of the investment on a variety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factors including the sale of similar securities by the sub-licensee, with appropriate consideration taken for differences in liquidation preference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the sub-licensee’s capital structure, and the Company’s expectations about the performance and future operations of the sub-licensee.</w:t>
      </w:r>
    </w:p>
    <w:p>
      <w:pPr>
        <w:spacing w:after="0" w:line="18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Concurrently, the sub-licensee purchased 310,000 shares of the Company’s convertible Series E convertible preferred stock (Series E stock) for cash of $24.22 per share for total cash proceeds of $7,500,000, which represented a premium of $466,000 over the then fair value of the Company’s Series E stock. The fair value of the Company’s Series E stock was determined based on comparable sales of such shares. Since the Company’s Series E stock was sold as part of a multiple element arrangement for which the fair value of the sub-license was not known, the value of the Company’s preferred stock and the value of the Investment were determined to be the most reliable measures of fair value for the exchanged assets. As a result, during the fourth quarter of 2009 the Company recognized other income of $2,142,000 representing the fair value of the Investment and the premium on the sale of the Series E stock.</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Pursuant to the Company’s agreement with the Licensor, the Company transferred 20% of its Investment to the Licensor and recorded the estimated fair value of the transferred shares, or $335,000 as other expense. At December 31, 2009, the carrying value of the Investment was $1,340,000, and is included in other assets in the Company’s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Agreements</w:t>
      </w:r>
    </w:p>
    <w:p>
      <w:pPr>
        <w:spacing w:after="0" w:line="96"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In June 2005, the Company entered into an agreement to develop an application area of interest. Under the agreement, the Company performed research and development services and manufactured prototype instruments. The agreement provided for total payments to the Company of $942,000, to be paid in installments over the 30-month life of the agreement. The Company determined that the research and development services and the manufacturing of prototype instruments should be accounted for as a combined unit of accounting, and revenue was recognized ratably over the estimated project period. The Company recognized revenue of $377,000 and $89,000 related to this agreement during 2007 and 2008, respectively. The agreement terminated during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Institute for Regenerative Medicine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April 2009, the Company was awarded a grant from the California Institute for Regenerative Medicine in the amount of $750,000 to be earned over a two-year period. Under the grant, the Company designs and develops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prototype microfluidic systems for use in stem cell research. The agreement provides for quarterly payments in the amount of $97,000 during the first year beginning on April 1, 2009 and quarterly payments of $90,000 during the second year. The grant revenue is recognized as the related research and development services are performed, and costs associated with this grant were reported as research and development expense during the period incurred. During 2009, the Company recognized grant revenue of $291,000 related to this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National Institutes of Health</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June 2006, the Company was awarded a government grant from the National Institutes of Health (NIH) in the amount of $1,048,000 to be earned over a two-year period. Under the grant, the Company performed research and development activities to design a diffraction capable screening chip. The agreement provided for quarterly reimbursement of the eligible research and development expenses including salaries, equipment, scientific consumables, and certain third-party costs. The grant revenue was recognized as the related services were performed and costs associated with this grant were reported as research and development expense in the period incurred. The Company recognized revenue of $606,000 and $258,000 during 2007 and 2008, respectively, under this grant. This agreement terminated in June 2008.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 Economic Development Board</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2005, the Company entered into a letter agreement providing for up to SG$10.0 million (approximately US$7.1 million using the December 31, 2009 exchange rate) in grants from the Singapore Economic Development Board (EDB). The grants were payable for the period August 1, 2005 through July 31, 2010 in connection with the establishment and operation by Fluidigm Singapore, a wholly owned subsidiary of the Company, of a research, development and manufacturing center for chips in Singapore. Grant payments were calculated as a portion of qualifying expenses incurred in Singapore relating to salaries, overhead, outsourcing and subcontracting expenses, operating expenses and royalties paid. Fluidigm Singapore was required to submit incentive payment requests for qualifying expenditures on a quarterly basis along with reports regarding its compliance with the incentive payment conditions, as described below, through the end of the applicable quarter.</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January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review of the incentive payment requests on a semi-annual rather than an annual basis.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February 2007, Fluidigm Singapore entered into a second letter agreement with EDB which provided for up to an additional SG$3.7 million (approximately US$2.6 million using the December 31, 2009 exchange rate) in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is the ongoing development and manufacture in Singapore of certain instrumentation. This letter agreement applies to research, development, and manufacturing activity by Fluidigm Singapore in Singapore from June 1, 2006 through May 31, 2011.</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Fluidigm Singapore’s continued eligibility for such grants is subject to its compliance with the following conditions: increasing levels of research; its development and manufacturing activity in Singapore, including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the Company’s business strategy for its Singapore operations. All ownership rights in the intellectual property developed by Fluidigm in Singapore remain with Fluidigm Singapore, and no such rights are conveyed to EDB under the agreements.</w:t>
      </w:r>
    </w:p>
    <w:p>
      <w:pPr>
        <w:spacing w:after="0" w:line="12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These agreements further provided EDB with the right to demand repayment of a portion of past grants in the event the Company did not meet its obligations under the agreements. Based on correspondence with EDB, the Company believes that it has fulfilled its obligations under the grants and it will, therefore, not have to repay any of the grant proceeds received through December 31, 2009.</w:t>
      </w:r>
    </w:p>
    <w:p>
      <w:pPr>
        <w:spacing w:after="0" w:line="140"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Company recognized revenue of $1,758,000, $1,654,000 and $1,522,000 related to EDB grants during 2007, 2008 and 2009, respectively. As of December 27, 2008 and December 31, 2009, the Company had deferred revenue of $378,000 and $144,000, respectively, related to incentive payments for equipment expenditures, which is being recognized ratably over the estimated useful life of the equipment of four years. As of December 27, 2008 and December 31, 2009, the Company had accounts receivable from EDB in the amounts of $328,000 and $666,000, respectively.</w:t>
      </w:r>
    </w:p>
    <w:p>
      <w:pPr>
        <w:spacing w:after="0" w:line="188"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Data</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are summaries of cash and cash equivalents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6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Cost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2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tcPr>
          <w:p>
            <w:pPr>
              <w:ind w:left="2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9,926</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 from government-sponsored agencies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Cash</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14,602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As of December 27, 2008:</w:t>
            </w: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13,413</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Cash</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17,796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2640" w:type="dxa"/>
            <w:vAlign w:val="bottom"/>
            <w:gridSpan w:val="2"/>
          </w:tcPr>
          <w:p>
            <w:pPr>
              <w:ind w:left="100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consists of the following (in thousands):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8,735</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(8,674)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was $1,643,000, $1,497,000 and $1,632,000 for 2007, 2008 and 2009, respectively.</w:t>
      </w: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November 2002, the Company entered into a master security agreement with a lender under which the Company had drawn down $3,584,000 for the purchase of equipment. The loan, which was secured by the underlying equipment and a letter of credit, carried an interest rate between 8.0% and 10.5% per annum. In connection with this agreement, the Company issued warrants to the lender in 2004 to purchase 6,193 shares of Series D convertible preferred stock at $16.95 per share (see Note 8). The fair value of the warrants resulted in a $90,000 discount that was amortized to interest expense over the expected life of the debt. In February 2008, prior to the due date, the Company paid the outstanding principal balance, accrued interest, and a $41,000 prepayment fee in settlement of this debt. Upon settlement of this debt, the remaining unamortized discount was immediately recognized as interest expense.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of a loan agreement entered into in March 2005 and amended in August 2006, the Company borrowed $13,000,000 for general corporate purposes (the 2005 Agreement). The 2005 Agreement was secured by the assets of the Company, excluding intellectual property but including any proceeds from the sale of intellectual property, bore interest at 9.75% per annum and was originally scheduled to mature in March 2010. In connection with the 2005 Agreement, the Company issued warrants to the lender to purchase 61,342 shares of Series D convertible preferred stock at $16.95 per share (see Note 8). The $104,000 fair value of the warrants resulted in a debt discount that is being amortized over the life of the borrowing.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February 2008, the Company amended the 2005 Agreement to provide the Company with an additional $10,000,000 of borrowing availability for general corporate purposes (the 2008 Amendment). The $10,000,000 of additional availability under the 2008 Amendment carried interest at 11.5% per annum and was originally scheduled to mature in June 2011. In connection with the 2008 Amendment, the Company issued warrants to purchase 49,545 shares of Series E convertible preferred stock at $24.22 per share (see Note 8) to the lender. The $484,000 fair value of the warrants resulted in a debt discount that is being amortized over the life of the borrowing.</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March 2009, amounts outstanding under the 2005 Agreement and the 2008 Amendment were combined and amended (the 2009 Agreement) so as to extend the final repayment date to March 1, 2012 and to provide for an interest only period from March 2009 through February 2010. At the time of the 2009 Agreement, the combined principal balance outstanding under the two loans was $14,557,000. Amounts outstanding under the 2009 Agreement bear interest at 13.5% per annum. At the end of the interest only period, the Company will begin making monthly principal and interest payments of $612,000 with an additional final payment of $2,263,000. The additional final payment of $2,263,000 is being accreted using the effective interest method as interest expense through the amended maturity date of March 1, 2012. The 2009 Agreement requires a prepayment fee of 1.5% of the outstanding principal amount being prepaid. In connection with the 2009 Agreement, the Company issued a warrant to purchase 41,288 shares of Series E convertible preferred stock at $24.22 per share (see Note 8) to the lender. The fair value of the warrant resulted in a $76,000 discount that is being amortized over the expected life of the borrowing.</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recognized interest expense of $27,000, $76,000 and $179,000 during 2007, 2008 and 2009, respectively, related to the amortization of debt discounts. As of December 31, 2009, the Company was in compliance with all loan covenants or had obtained waivers through December 31, 2010 from the lender.</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June 2010, the Company amended the 2009 Agreement. See Note 15 for the scheduled principal payments under the amended loan and security agreement.</w:t>
      </w:r>
    </w:p>
    <w:p>
      <w:pPr>
        <w:spacing w:after="0" w:line="207" w:lineRule="exact"/>
        <w:rPr>
          <w:sz w:val="20"/>
          <w:szCs w:val="20"/>
          <w:color w:val="auto"/>
        </w:rPr>
      </w:pPr>
    </w:p>
    <w:p>
      <w:pPr>
        <w:ind w:right="8580" w:firstLine="8"/>
        <w:spacing w:after="0" w:line="391" w:lineRule="auto"/>
        <w:tabs>
          <w:tab w:leader="none" w:pos="307"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Operating Leases</w:t>
      </w:r>
    </w:p>
    <w:p>
      <w:pPr>
        <w:spacing w:after="0" w:line="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leases its headquarters in South San Francisco, California, under multiple noncancelable lease agreements that expire through April 2015. These agreements include renewal options that provide the Company with the ability to extend the lease terms for an additional three years. The Company also leases office and manufacturing space under noncancelable leases in Singapore with various expiration dates through July 2013. The Company’s other operating leases are for office space in Japan and France and are on a month-to-month basis. The Company entered into a new lease agreement for its headquarters in South San Francisco, California in September 2010. See Note 15 for the schedule of future minimum lease payments under noncancelable operating leases.</w:t>
      </w:r>
    </w:p>
    <w:p>
      <w:pPr>
        <w:spacing w:after="0" w:line="10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lease payments are expensed on a straight-line basis over the life of the lease. Rental expense under operating leases for 2007, 2008 and 2009 totaled $1,574,000, $1,580,000 and $1,915,000,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From time to time, the Company has entered into indemnification provisions under certain of its agreements in the ordinary course of business, typically with business partners, customers, and suppliers. Pursuant to these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December 31, 2009, the Company had no accrued liabilities for these indemnification provisions.</w:t>
      </w:r>
    </w:p>
    <w:p>
      <w:pPr>
        <w:spacing w:after="0" w:line="195" w:lineRule="exact"/>
        <w:rPr>
          <w:sz w:val="20"/>
          <w:szCs w:val="20"/>
          <w:color w:val="auto"/>
        </w:rPr>
      </w:pPr>
    </w:p>
    <w:p>
      <w:pPr>
        <w:ind w:right="8420" w:firstLine="8"/>
        <w:spacing w:after="0" w:line="391" w:lineRule="auto"/>
        <w:tabs>
          <w:tab w:leader="none" w:pos="307"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Promissory Notes Note and Warrant Purchase Agreement</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2009, the Company entered into a convertible Note and Warrant Purchase Agreement (Notes) with its existing investors to provide the Company with cash proceeds of $10,667,000. In connection with issuance of the Notes, the Company issued warrants to purchase 220,176 shares of Series E convertible preferred stock at $24.22 per share (see Note 8), which resulted in a $262,000 debt discount. The Notes were scheduled to mature on December 31, 2009 with interest accruing on the outstanding principal amount for the first 60 days at 1% per month and at 2% per month after the first 60 days, compounded monthly. The Notes’ outstanding principal and accrued interest were convertible into preferred stock upon the occurrence of a qualified financing transaction or at the option of a majority of investors, as defined in the Note agreement.</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November 2009, the note holders agreed to convert the outstanding principal and accrued interest of $11,033,000 into 455,525 shares of Series E convertible preferred stock. The Company recognized $366,000 of interest expense related to the Notes and immediately expensed the remaining debt discount balance of $262,000.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BMSIF Convertible Notes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2005, the Company entered into a convertible note purchase agreement with the Biomedical Sciences Investment Fund Pte Ltd (BMSIF). BMSIF is wholly owned by EDB Investments Pte. Ltd., whose parent entity is EDB. Ultimately, each of these entities is controlled by the government of Singapore. In June 2006, the Company issued an unsecured convertible promissory note to BMSIF in the amount of $3,000,000 carrying an interest rate of 8% per year. In June 2007, pursuant to the conversion provisions of this agreement, the Company elected to convert the principal balance of $3,000,000 and accrued interest of $240,000 into 191,105 shares of Series D convertible preferred stock at $16.95 per share.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August 2006, the Company entered into another convertible note purchase agreement with BMSIF. Under this agreement, BMSIF agreed to provide a $15,000,000 credit facility for general corporate purposes to be drawn down in three separate $5,000,000 tranches at an interest rate of 8% per year. In August and November 2006, the Company drew down two of the three tranches in exchange for unsecured convertible promissory notes of $5,000,000 each. In March 2007, BMSIF elected to convert the outstanding principal and accrued interest balance of $10,636,000 into 487,916 shares of Series E convertible preferred stock at $21.80 per share.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April 2007, the Company drew down the third and final tranche of $5,000,000 that was available from BMSIF in exchange for an unsecured promissory note. In May 2008, BMSIF elected to convert the outstanding principal and accrued interest balance of $5,414,000 into 248,380 shares of Series E convertible preferred stock at $21.80 per share.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BMSIF notes that were converted into Series E convertible preferred stock had a conversion price of $21.80 per share which was a discount to the estimated fair values of $22.45 and $24.22 per share for the Series E convertible preferred stock at the times of the borrowings. The intrinsic value of the embedded beneficial conversion option associated with each borrowing under the arrangement was measured as the difference between the conversion price and the fair value of Series E convertible preferred stock on the commitment date and the resulting debt discount was being amortized to interest expense over the two year contractual term of the debt. Upon conversion of the notes to convertible preferred stock, the remaining unamortized debt discount was immediately recognized as interest expense.</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2007, the Company recognized debt discounts of $485,000 related to the beneficial conversion feature of the BMSIF notes. Amortization of the debt discounts resulted in interest expense of $468,000, and $280,000 during 2007, and 2008, respectively. All amounts due under the BMSIF notes were converted to preferred stock during 2008.</w:t>
      </w:r>
    </w:p>
    <w:p>
      <w:pPr>
        <w:spacing w:after="0" w:line="215" w:lineRule="exact"/>
        <w:rPr>
          <w:sz w:val="20"/>
          <w:szCs w:val="20"/>
          <w:color w:val="auto"/>
        </w:rPr>
      </w:pPr>
    </w:p>
    <w:p>
      <w:pPr>
        <w:ind w:left="360" w:hanging="352"/>
        <w:spacing w:after="0"/>
        <w:tabs>
          <w:tab w:leader="none" w:pos="3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issued warrants to purchase shares of its convertible preferred stock at various times since 2001. The Company’s convertible preferred stock warrants are generally exercisable immediately and can only be exercised for cash or net share settled. Changes in the fair value of the preferred shares into which the warrants are convertible do not affect the settlement amounts of the warrants. Freestanding warrants to purchase the Company’s convertible preferred stock are valued at fair value and classified as liabilities in the consolidated balance sheets because the warrants may conditionally obligate the Company to transfer assets at some point in the future.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2009, the Company issued warrants to purchase 261,495 shares of Series E convertible preferred stock at $24.22 per share in connection with the 2009 Agreement (see Note 5) and the Note and Warrant Purchase Agreement with existing investors (see Note 7).</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2008, warrants to purchase 33,030 shares of the Company’s Series C convertible preferred stock expired unexercised. Upon expiration, the related warrant liability was eliminated and the change in fair value was included in other income (expense), net in the accompanying consolidated statement of operations.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2008, warrants to purchase 6,817 shares of the Company’s Series C convertible preferred stock were exercised utilizing a cashless exercise option that allowed the holder to receive 2,712 shares of Series C convertible preferred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following warrants were outstanding: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4"/>
              </w:rPr>
              <w:t>Series of</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into</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into which the</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which the</w:t>
            </w:r>
          </w:p>
        </w:tc>
        <w:tc>
          <w:tcPr>
            <w:tcW w:w="3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Reason for</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Warrant is</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warrant is</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per</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Issue Date</w:t>
            </w:r>
          </w:p>
        </w:tc>
        <w:tc>
          <w:tcPr>
            <w:tcW w:w="1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w:t>
            </w:r>
          </w:p>
        </w:tc>
        <w:tc>
          <w:tcPr>
            <w:tcW w:w="2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2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300" w:type="dxa"/>
            <w:vAlign w:val="bottom"/>
          </w:tcPr>
          <w:p>
            <w:pPr>
              <w:spacing w:after="0"/>
              <w:rPr>
                <w:sz w:val="15"/>
                <w:szCs w:val="15"/>
                <w:color w:val="auto"/>
              </w:rPr>
            </w:pPr>
          </w:p>
        </w:tc>
        <w:tc>
          <w:tcPr>
            <w:tcW w:w="38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2002</w:t>
            </w: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Series C</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2,890</w:t>
            </w:r>
          </w:p>
        </w:tc>
        <w:tc>
          <w:tcPr>
            <w:tcW w:w="112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$15.62</w:t>
            </w: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Earlier of (i) the closing of an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8"/>
              </w:rPr>
              <w:t>acquisition of the Company or (ii) March 27,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November 2002</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Series 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5,121</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$15.62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December 16, 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2004</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March 18,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March 2005</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30,671</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March 29, 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2005</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March 29,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February 2008</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16,516</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February 15, 2015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2008</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February 15, 2015</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March 2009</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41,288</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March 25, 2016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2009</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220,176</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August 25,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386,556</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warrants to purchase convertible preferred stock outstanding and their fair values as of December 27,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Shares as of</w:t>
            </w:r>
          </w:p>
        </w:tc>
        <w:tc>
          <w:tcPr>
            <w:tcW w:w="160" w:type="dxa"/>
            <w:vAlign w:val="bottom"/>
          </w:tcPr>
          <w:p>
            <w:pPr>
              <w:spacing w:after="0"/>
              <w:rPr>
                <w:sz w:val="14"/>
                <w:szCs w:val="14"/>
                <w:color w:val="auto"/>
              </w:rPr>
            </w:pPr>
          </w:p>
        </w:tc>
        <w:tc>
          <w:tcPr>
            <w:tcW w:w="1380" w:type="dxa"/>
            <w:vAlign w:val="bottom"/>
            <w:gridSpan w:val="4"/>
          </w:tcPr>
          <w:p>
            <w:pPr>
              <w:ind w:left="460"/>
              <w:spacing w:after="0"/>
              <w:rPr>
                <w:sz w:val="20"/>
                <w:szCs w:val="20"/>
                <w:color w:val="auto"/>
              </w:rPr>
            </w:pPr>
            <w:r>
              <w:rPr>
                <w:rFonts w:ascii="Arial" w:cs="Arial" w:eastAsia="Arial" w:hAnsi="Arial"/>
                <w:sz w:val="14"/>
                <w:szCs w:val="14"/>
                <w:b w:val="1"/>
                <w:bCs w:val="1"/>
                <w:color w:val="auto"/>
                <w:w w:val="86"/>
              </w:rPr>
              <w:t>Fair Value as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3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4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8,011</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Series D</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67,535</w:t>
            </w:r>
          </w:p>
        </w:tc>
        <w:tc>
          <w:tcPr>
            <w:tcW w:w="5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67,535</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49,545</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578,000</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0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125,091</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386,556</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141,000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616,000</w:t>
            </w:r>
          </w:p>
        </w:tc>
        <w:tc>
          <w:tcPr>
            <w:tcW w:w="10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80" w:type="dxa"/>
            <w:vAlign w:val="bottom"/>
          </w:tcPr>
          <w:p>
            <w:pPr>
              <w:spacing w:after="0"/>
              <w:rPr>
                <w:sz w:val="24"/>
                <w:szCs w:val="24"/>
                <w:color w:val="auto"/>
              </w:rPr>
            </w:pPr>
          </w:p>
        </w:tc>
        <w:tc>
          <w:tcPr>
            <w:tcW w:w="4800" w:type="dxa"/>
            <w:vAlign w:val="bottom"/>
            <w:gridSpan w:val="3"/>
          </w:tcPr>
          <w:p>
            <w:pPr>
              <w:ind w:left="2460"/>
              <w:spacing w:after="0"/>
              <w:rPr>
                <w:sz w:val="20"/>
                <w:szCs w:val="20"/>
                <w:color w:val="auto"/>
              </w:rPr>
            </w:pPr>
            <w:r>
              <w:rPr>
                <w:rFonts w:ascii="Arial" w:cs="Arial" w:eastAsia="Arial" w:hAnsi="Arial"/>
                <w:sz w:val="18"/>
                <w:szCs w:val="18"/>
                <w:color w:val="auto"/>
              </w:rPr>
              <w:t>F-27</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fair values of outstanding convertible preferred stock warrants were estimated using the Black-Scholes option-pricing model with the following weighted-average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Expected life (equals the remaining contractual term)</w:t>
            </w:r>
          </w:p>
        </w:tc>
        <w:tc>
          <w:tcPr>
            <w:tcW w:w="2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2.8 years</w:t>
            </w:r>
          </w:p>
        </w:tc>
        <w:tc>
          <w:tcPr>
            <w:tcW w:w="420" w:type="dxa"/>
            <w:vAlign w:val="bottom"/>
          </w:tcPr>
          <w:p>
            <w:pPr>
              <w:spacing w:after="0"/>
              <w:rPr>
                <w:sz w:val="18"/>
                <w:szCs w:val="18"/>
                <w:color w:val="auto"/>
              </w:rPr>
            </w:pPr>
          </w:p>
        </w:tc>
        <w:tc>
          <w:tcPr>
            <w:tcW w:w="720" w:type="dxa"/>
            <w:vAlign w:val="bottom"/>
            <w:gridSpan w:val="3"/>
          </w:tcPr>
          <w:p>
            <w:pPr>
              <w:ind w:left="40"/>
              <w:spacing w:after="0"/>
              <w:rPr>
                <w:sz w:val="20"/>
                <w:szCs w:val="20"/>
                <w:color w:val="auto"/>
              </w:rPr>
            </w:pPr>
            <w:r>
              <w:rPr>
                <w:rFonts w:ascii="Arial" w:cs="Arial" w:eastAsia="Arial" w:hAnsi="Arial"/>
                <w:sz w:val="18"/>
                <w:szCs w:val="18"/>
                <w:color w:val="auto"/>
                <w:w w:val="89"/>
              </w:rPr>
              <w:t>4.4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w w:val="91"/>
              </w:rPr>
              <w:t>7.3 years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0%</w:t>
            </w:r>
          </w:p>
        </w:tc>
        <w:tc>
          <w:tcPr>
            <w:tcW w:w="1260" w:type="dxa"/>
            <w:vAlign w:val="bottom"/>
            <w:gridSpan w:val="6"/>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9.  Convertible Preferred Stock</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280" w:type="dxa"/>
            <w:vAlign w:val="bottom"/>
            <w:gridSpan w:val="2"/>
          </w:tcPr>
          <w:p>
            <w:pPr>
              <w:ind w:left="460"/>
              <w:spacing w:after="0"/>
              <w:rPr>
                <w:sz w:val="20"/>
                <w:szCs w:val="20"/>
                <w:color w:val="auto"/>
              </w:rPr>
            </w:pPr>
            <w:r>
              <w:rPr>
                <w:rFonts w:ascii="Arial" w:cs="Arial" w:eastAsia="Arial" w:hAnsi="Arial"/>
                <w:sz w:val="18"/>
                <w:szCs w:val="18"/>
                <w:color w:val="auto"/>
              </w:rPr>
              <w:t>Convertible preferred stock was comprised of the following (in thousands):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rPr>
              <w:t>December 31, 2009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6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jc w:val="center"/>
              <w:ind w:right="440"/>
              <w:spacing w:after="0" w:line="12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8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Issued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2"/>
                <w:szCs w:val="12"/>
                <w:color w:val="auto"/>
              </w:rPr>
            </w:pPr>
          </w:p>
        </w:tc>
        <w:tc>
          <w:tcPr>
            <w:tcW w:w="7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Liquidation</w:t>
            </w:r>
          </w:p>
        </w:tc>
      </w:t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Authorized</w:t>
            </w:r>
          </w:p>
        </w:tc>
        <w:tc>
          <w:tcPr>
            <w:tcW w:w="420" w:type="dxa"/>
            <w:vAlign w:val="bottom"/>
            <w:gridSpan w:val="2"/>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Proceeds</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2"/>
              </w:rPr>
              <w:t>Preferences</w:t>
            </w:r>
          </w:p>
        </w:tc>
        <w:tc>
          <w:tcPr>
            <w:tcW w:w="100" w:type="dxa"/>
            <w:vAlign w:val="bottom"/>
          </w:tcPr>
          <w:p>
            <w:pPr>
              <w:spacing w:after="0"/>
              <w:rPr>
                <w:sz w:val="14"/>
                <w:szCs w:val="14"/>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11,413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41,710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36,611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36,965</w:t>
            </w: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91,785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95,607</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11,117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10,239</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183,845</w:t>
            </w:r>
          </w:p>
        </w:tc>
        <w:tc>
          <w:tcPr>
            <w:tcW w:w="4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188,246</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certain change in control events that are outside of the control of the Company, including liquidation, sale, or transfer of control of the Company, holders of the convertible preferred stock can cause its redemption. Accordingly, these shares are considered contingently redeemable and therefore classified as temporary equity on the consolidated balance sheets instead of in stockholders’ deficit. The Company has not adjusted the carrying values of the convertible preferred stock to their redemption values, since it is uncertain whether or when a redemption event will occur. The significant rights, privileges, and preferences of the convertible preferred stock are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Each share of convertible preferred stock is convertible, at any time at the option of the holder, into common stock based upon a conversion rate of one share of common stock for each share of convertible preferred stock regardless of the series, subject to certain adjustments to the conversion price.</w:t>
      </w:r>
    </w:p>
    <w:p>
      <w:pPr>
        <w:spacing w:after="0" w:line="8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Conversion is automatic upon: (i) the closing of an underwritten initial public offering of the Company’s common stock at an offering price of not less than $34.44 per share (appropriately adjusted for any stock splits, stock dividends, recapitalization, or similar events) and with aggregate gross proceeds of not less than $25,000,000, (ii) the closing of an underwritten initial public offering of the Company’s common stock at an offering price of less than $34.44 per share (appropriately adjusted for any stock splits, stock dividends, recapitalization, or similar events) or with aggregate gross proceeds of less than $25,000,000 and written consent of the holders of two-thirds of all shares of convertible preferred stock voting together for such automatic conversion, or (iii) the written consent of the holders of two-thirds of all shares of convertible preferred stock voting together, except that the written consent of the holders of greater than two-thirds of all shares of Series 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convertible preferred stock voting separately is required for Series E convertible preferred stock to convert if such conversion is not in connection with the closing of an underwritten initial public offering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Holders of Series A, B, C, D, and E convertible preferred stock are entitled to noncumulative dividends of $0.67, $1.09, $1.57, $1.82, and $2.60 per share, respectively, if and when declared by the Board of Directors (adjusted for any stock splits, stock dividends, recapitalization, or similar events) and subject to the preferences described below. Holders of Series D and E convertible preferred stock shall be entitled to receive dividends, when and if declared, in preference and priority to any declaration or payment of dividends to holders of Series A, B, or C convertible preferred stock or common stock, other than for dividends payable in only common stock. Payments of any dividends to the holders of Series D and E convertible preferred stock shall be on a pro rata, pari passu basis in proportion to the entitled dividend rates for these respective series, as applicable. Holders of Series C convertible preferred stock shall be entitled to receive dividends, when and if declared, in preference and priority to any declaration or payment of dividends to holders of Series A and B convertible preferred stock or common stock, other than for dividends payable in only common stock. Holders of Series A and B convertible preferred stock shall be entitled to receive dividends, when and if declared, in preference and priority to any declaration or payment of dividends to holders of common stock, other than for dividends payable in only common stock. Payments of any dividends to the holders of Series A and B convertible preferred stock shall be on a pro rata, pari passu basis in proportion to the entitled dividend rates for these respective series, as applicable. No dividends have been declared or paid through December 31,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a liquidation, dissolution, or winding up of the Company, holders of Series E convertible preferred stock shall be entitled to receive a liquidation preference of $24.22 per share, together with any declared but unpaid dividends, prior to any payment or distribution to holders of Series A, B, C, or D convertible preferred stock or common stock.</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payment to the holders of Series E convertible preferred stock, holders of Series D convertible preferred stock shall be entitled to receive a liquidation preference of $16.95 per share, together with any declared but unpaid dividends, prior to any payment or distribution to holders of Series A, B, or C convertible preferred stock or common stock.</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After payment to the holders of Series D convertible preferred stock, holders of Series C convertible preferred stock shall be entitled to receive a liquidation preference of $15.62 per share, together with any declared but unpaid dividends, prior to any payment or distribution to holders of Series A or B convertible preferred stock or common stock.</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payment to the holders of Series C convertible preferred stock, holders of Series B convertible preferred stock shall be entitled to receive a liquidation preference of $10.77 per share, together with any declared but unpaid dividends, prior to any payment or distribution to holders of Series A convertible preferred stock or common stock.</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After payment to the holders of Series B convertible preferred stock, holders of Series A convertible preferred stock shall be entitled to receive a liquidation preference of $6.66 per share, together with any declared but unpaid dividends, prior to any payment or distribution to holders of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change of control or a sale, transfer, or lease of all or substantially all of the assets of the Company is considered to be a liquidation event.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After the payment to the holders of convertible preferred stock of their respective liquidation preferences, the entire remaining assets of the Company shall be distributed on a pro rata basis to the holders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Holders of convertible preferred stock are entitled to the number of votes they would have upon conversion of their convertible preferred stock into common stock on the applicable record date. So long as 330,305 shares of Series D convertible preferred stock remain outstanding, the holders of Series D convertible preferred stock are entitled to elect two members to the Company’s Board of Directors, and so long as 330,305 shares of Series C convertible preferred stock remain outstanding, the holders of Series C convertible preferred stock are entitled to elect three members to the Board of Directors. The holders of Series A, B, and E convertible preferred stock and the holders of common stock, voting together as a single class, are entitled to elect any additional members to the Board of Directors.</w:t>
      </w:r>
    </w:p>
    <w:p>
      <w:pPr>
        <w:spacing w:after="0" w:line="219" w:lineRule="exact"/>
        <w:rPr>
          <w:sz w:val="20"/>
          <w:szCs w:val="20"/>
          <w:color w:val="auto"/>
        </w:rPr>
      </w:pPr>
    </w:p>
    <w:p>
      <w:pPr>
        <w:ind w:left="400" w:hanging="392"/>
        <w:spacing w:after="0"/>
        <w:tabs>
          <w:tab w:leader="none" w:pos="4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2009 Equity Incentive Plan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April 30, 2009, the Company’s Board of Directors adopted the 2009 Equity Incentive Plan (the 2009 Plan) under which incentive stock options, nonstatutory stock options, stock appreciation rights, restricted stock and restricted stock units may be granted to Company employees, officers, directors, and consultants.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Incentive stock options and nonstatutory stock options granted under the 2009 Plan expire no later than ten years from the date of grant. The exercise price of each option granted to a participant shall be at least 110% of the fair value of the underlying common stock on the date of grant if, on the grant date, the participant owns stock representing more than 10% of the voting power of all classes of the Company’s capital stock; otherwise, the exercise price shall be at least 100% of the fair value of the underlying common stock on the date of grant. The estimated fair value of the underlying common stock shall be determined by the Board of Directors until such time as the Company’s common stock is listed on any established stock exchange or national market system. Generally, outstanding options vest at a rate of 25% on the first anniversary of the option grant date and ratably each month over the remaining 36 month period. The Company may grant options with different vesting terms from time to time.</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appreciation right shall be determined by the Board of Directors but will be no less than 100% of the estimated fair value of the underlying common stock on the date of grant. The stock appreciation rights expire upon the date determined by the Board of Directors but no later than ten years from the date of grant.</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Restricted stock may have certain terms and conditions set by the Board of Directors. The Company will hold the shares of restricted stock until the restrictions on such shares have elapsed.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sets the terms, conditions, and restrictions related to the grant of restricted stock units, including the number of restricted stock units to grant. The Board of Directors also sets vesting criteria and depending on the extent the criteria are met, the Board of Directors will determine the number of restricted stock units to be paid out.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outstanding stock appreciation rights, restricted stock or restricted stock units as of December 31,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1999 Stock Option Plan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1999 Stock Option Plan (the 1999 Plan) expired in 2009. Options granted or shares issued under the 1999 Plan that were outstanding on the date the 2009 Plan became effective will remain subject to the terms of the 1999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2009 Plan had a total of 1,813,262 shares of common stock authorized for issuance.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2009 Plan and the 1999 Plan is as follows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1"/>
              </w:rPr>
              <w:t>Shares</w:t>
            </w:r>
          </w:p>
        </w:tc>
        <w:tc>
          <w:tcPr>
            <w:tcW w:w="2420" w:type="dxa"/>
            <w:vAlign w:val="bottom"/>
            <w:gridSpan w:val="6"/>
          </w:tcPr>
          <w:p>
            <w:pPr>
              <w:ind w:left="56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Available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for</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Grant</w:t>
            </w:r>
          </w:p>
        </w:tc>
        <w:tc>
          <w:tcPr>
            <w:tcW w:w="860" w:type="dxa"/>
            <w:vAlign w:val="bottom"/>
          </w:tcPr>
          <w:p>
            <w:pPr>
              <w:spacing w:after="0"/>
              <w:rPr>
                <w:sz w:val="14"/>
                <w:szCs w:val="14"/>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8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canceled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3"/>
          </w:tcPr>
          <w:p>
            <w:pPr>
              <w:ind w:left="460"/>
              <w:spacing w:after="0"/>
              <w:rPr>
                <w:sz w:val="20"/>
                <w:szCs w:val="20"/>
                <w:color w:val="auto"/>
              </w:rPr>
            </w:pPr>
            <w:r>
              <w:rPr>
                <w:rFonts w:ascii="Arial" w:cs="Arial" w:eastAsia="Arial" w:hAnsi="Arial"/>
                <w:sz w:val="18"/>
                <w:szCs w:val="18"/>
                <w:color w:val="auto"/>
              </w:rPr>
              <w:t>Balance as of December 29, 2007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(460)</w:t>
            </w: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canceled</w:t>
            </w: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86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8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granted(1)</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(1,119)</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canceled(1)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3"/>
          </w:tcPr>
          <w:p>
            <w:pPr>
              <w:ind w:left="460"/>
              <w:spacing w:after="0"/>
              <w:rPr>
                <w:sz w:val="20"/>
                <w:szCs w:val="20"/>
                <w:color w:val="auto"/>
              </w:rPr>
            </w:pPr>
            <w:r>
              <w:rPr>
                <w:rFonts w:ascii="Arial" w:cs="Arial" w:eastAsia="Arial" w:hAnsi="Arial"/>
                <w:sz w:val="18"/>
                <w:szCs w:val="18"/>
                <w:color w:val="auto"/>
              </w:rPr>
              <w:t>Balance as of December 31, 2009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8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number of options granted and canceled includes options granted and canceled in connection with the Exchange (see below).</w:t>
      </w:r>
    </w:p>
    <w:p>
      <w:pPr>
        <w:spacing w:after="0" w:line="15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Options exercised as reflected in the table above exclude options that were exercised prior to vesting. These exercised but unvested shares generally vest over a four-year period. There were 1,979 and 396 unvested shares as of December 27, 2008 and December 31, 2009, respectively, which are subject to a repurchase option held by the Company at the original exercise price and are not deemed to be issued until those shares vest.</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80"/>
          </w:cols>
          <w:pgMar w:left="240" w:top="460"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Company determines stock-based compensation expense using the Black-Scholes option-pricing model and the following weighted-average assumptions (excluding options granted in connection with the Exchange discussed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63.0%</w:t>
            </w:r>
          </w:p>
        </w:tc>
        <w:tc>
          <w:tcPr>
            <w:tcW w:w="11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53.8%</w:t>
            </w:r>
          </w:p>
        </w:tc>
        <w:tc>
          <w:tcPr>
            <w:tcW w:w="11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59.1%</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life</w:t>
            </w:r>
          </w:p>
        </w:tc>
        <w:tc>
          <w:tcPr>
            <w:tcW w:w="840" w:type="dxa"/>
            <w:vAlign w:val="bottom"/>
          </w:tcPr>
          <w:p>
            <w:pPr>
              <w:ind w:left="100"/>
              <w:spacing w:after="0"/>
              <w:rPr>
                <w:sz w:val="20"/>
                <w:szCs w:val="20"/>
                <w:color w:val="auto"/>
              </w:rPr>
            </w:pPr>
            <w:r>
              <w:rPr>
                <w:rFonts w:ascii="Arial" w:cs="Arial" w:eastAsia="Arial" w:hAnsi="Arial"/>
                <w:sz w:val="18"/>
                <w:szCs w:val="18"/>
                <w:color w:val="auto"/>
                <w:w w:val="97"/>
              </w:rPr>
              <w:t>6.0 years</w:t>
            </w:r>
          </w:p>
        </w:tc>
        <w:tc>
          <w:tcPr>
            <w:tcW w:w="3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w w:val="97"/>
              </w:rPr>
              <w:t>6.0 years</w:t>
            </w:r>
          </w:p>
        </w:tc>
        <w:tc>
          <w:tcPr>
            <w:tcW w:w="3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w w:val="97"/>
              </w:rPr>
              <w:t>5.7 years</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3.2%</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2.4%</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Dividend yield</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160" w:type="dxa"/>
            <w:vAlign w:val="bottom"/>
            <w:gridSpan w:val="2"/>
          </w:tcPr>
          <w:p>
            <w:pPr>
              <w:jc w:val="center"/>
              <w:ind w:left="232"/>
              <w:spacing w:after="0"/>
              <w:rPr>
                <w:sz w:val="20"/>
                <w:szCs w:val="20"/>
                <w:color w:val="auto"/>
              </w:rPr>
            </w:pPr>
            <w:r>
              <w:rPr>
                <w:rFonts w:ascii="Arial" w:cs="Arial" w:eastAsia="Arial" w:hAnsi="Arial"/>
                <w:sz w:val="18"/>
                <w:szCs w:val="18"/>
                <w:color w:val="auto"/>
                <w:w w:val="92"/>
              </w:rPr>
              <w:t>0%</w:t>
            </w:r>
          </w:p>
        </w:tc>
        <w:tc>
          <w:tcPr>
            <w:tcW w:w="1160" w:type="dxa"/>
            <w:vAlign w:val="bottom"/>
            <w:gridSpan w:val="2"/>
          </w:tcPr>
          <w:p>
            <w:pPr>
              <w:jc w:val="center"/>
              <w:ind w:left="232"/>
              <w:spacing w:after="0"/>
              <w:rPr>
                <w:sz w:val="20"/>
                <w:szCs w:val="20"/>
                <w:color w:val="auto"/>
              </w:rPr>
            </w:pPr>
            <w:r>
              <w:rPr>
                <w:rFonts w:ascii="Arial" w:cs="Arial" w:eastAsia="Arial" w:hAnsi="Arial"/>
                <w:sz w:val="18"/>
                <w:szCs w:val="18"/>
                <w:color w:val="auto"/>
                <w:w w:val="92"/>
              </w:rPr>
              <w:t>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$ 5.57</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$ 9.83</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$ 2.32</w:t>
            </w: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Expected volatility is derived from the historical volatilities of several unrelated public companies within the life sciences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 of options granted to the various employee groups, the Company used the “simplified” method. The “simplified” method is calculated as the average of the time-to-vesting and the contractual life of the options. For the expected lives of options not at-the-money, as used in determining the incremental value of modified options (see discussion of Exchange below), the lattice model was used. Forfeitures were estimated based on an analysis of actual forfeitures, and the Company periodically evaluates the adequacy of its forfeiture rate based on actual forfeiture experience, analysis of employee turnover, and other factors. The impact of a forfeiture rate adjustment is recognized in full in the period of adjustment, and if the actual number of future forfeitures differs from that estimated by the Company, the Company may be required to record adjustments to stock-based compensation expense in future periods. Adjustments to forfeiture rates have not had a significant impact on any of the periods presented herein. Each of these inputs is subjective and generally requires significant judgment by the Company.</w:t>
      </w:r>
    </w:p>
    <w:p>
      <w:pPr>
        <w:spacing w:after="0" w:line="12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grants stock options at exercise prices not less than the estimated fair value of the Company’s common stock at the date of grant. In the absence of an active market for its common stock, the Company’s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the Company’s operating and financial performance, the hiring of key personnel, the introduction of new products, the lack of marketability and additional factors relating to the Company’s business.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Information regarding the Company’s stock option grants during fiscal 2009 including, grant date; the number of stock options issued with each grant; and the exercise price, is summarized as follows (in thousands, except per share amounts):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and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 Share of</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Granted</w:t>
            </w:r>
          </w:p>
        </w:tc>
        <w:tc>
          <w:tcPr>
            <w:tcW w:w="5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29, 2008</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November 17, 2009</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301</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23, 2009(2)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options granted in connection with the Exchange discussed below.</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the Company’s stock options outstanding and exercisable as of December 31, 2009 is summarized in the following table: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7"/>
              </w:rPr>
              <w:t>Options Outstanding</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tcPr>
          <w:p>
            <w:pPr>
              <w:spacing w:after="0"/>
              <w:rPr>
                <w:sz w:val="12"/>
                <w:szCs w:val="12"/>
                <w:color w:val="auto"/>
              </w:rPr>
            </w:pPr>
          </w:p>
        </w:tc>
        <w:tc>
          <w:tcPr>
            <w:tcW w:w="166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Options</w:t>
            </w:r>
          </w:p>
        </w:tc>
      </w:t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Exercise Price Per Share</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4"/>
                <w:szCs w:val="14"/>
                <w:color w:val="auto"/>
              </w:rPr>
            </w:pPr>
          </w:p>
        </w:tc>
        <w:tc>
          <w:tcPr>
            <w:tcW w:w="16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6"/>
              </w:rPr>
              <w:t>Life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Exercisable</w:t>
            </w:r>
          </w:p>
        </w:tc>
      </w:tr>
      <w:tr>
        <w:trPr>
          <w:trHeight w:val="142"/>
        </w:trPr>
        <w:tc>
          <w:tcPr>
            <w:tcW w:w="1520" w:type="dxa"/>
            <w:vAlign w:val="bottom"/>
            <w:tcBorders>
              <w:top w:val="single" w:sz="8" w:color="auto"/>
            </w:tcBorders>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9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$0.92</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$1.82</w:t>
            </w:r>
          </w:p>
        </w:tc>
        <w:tc>
          <w:tcPr>
            <w:tcW w:w="44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$3.39</w:t>
            </w: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$4.08</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$4.45</w:t>
            </w: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$5.03 - $21.99</w:t>
            </w:r>
          </w:p>
        </w:tc>
        <w:tc>
          <w:tcPr>
            <w:tcW w:w="44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9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Options exercisable as of December 31, 2009 had a weighted-average remaining contractual life of 6.8 years, a weighted-average exercise price per share of $4.03, and an aggregate intrinsic value of $701,000.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that have vested or are expected to vest as of December 31, 2009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Average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spacing w:after="0"/>
              <w:rPr>
                <w:sz w:val="12"/>
                <w:szCs w:val="12"/>
                <w:color w:val="auto"/>
              </w:rPr>
            </w:pPr>
          </w:p>
        </w:tc>
        <w:tc>
          <w:tcPr>
            <w:tcW w:w="14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Price per</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Share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Life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Value(3)</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Expected to vest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4.53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vested and expected to vest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aggregate intrinsic value was calculated as the difference between the exercise price of the options and the fair value of the Company’s common stock of $4.45 per share as of December 31, 2009.</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during 2007, 2008 and 2009 was $259,000, $857,000 and $42,000, respectively.</w:t>
      </w:r>
    </w:p>
    <w:p>
      <w:pPr>
        <w:spacing w:after="0" w:line="171"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In December 2009, the Company completed an offer to exchange (the Exchange) 801,000 employee stock options that were issued under the Company’s 1999 Plan. Options with exercise prices ranging from $5.03 to $21.99 per share were exchanged on a one-for-one basis for new options with a lower exercise price of $4.45 per share, the estimated fair value of common stock on the date of the Exchange as determined by the Company’s Board of Directors. Options granted pursuant to the Exchange have a new vesting period that was determined by adding 3 months to the original vesting date of each exchanged option. The Exchange resulted in a modification cost totaling $645,000 of which $353,000 was recognized for the year ended December 31, 2009 with $292,000 is being amortized over the new remaining vesting periods. These vesting periods range from three months to four years from the date of the Exchange.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There were no stock-based compensation tax benefits recognized during 2007, 2008 or 2009. Capitalized stock-based compensation costs were insignificant during 2007, 2008 and 2009.</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December 31, 2009, there was $2,692,000 of total unrecognized compensation cost related to stock-based compensation arrangements which is expected to be recognized over an average period of 2.2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and April 2008, the Company granted 94,133 performance-based awards (the 2008 performance awards) to certain executives. These awards vest over an approximately four-year period based on continuing service and were subject to accelerated vesting if specified corporate and departmental performance goals were met for the fiscal year ended December 27, 2008. Based upon achievement of departmental performance goals, the vesting of a total of 34,846 such shares was accelerated. In March 2009, the Compensation Committee of the Board of Directors accelerated the vesting of 28,240 options based upon the achievement of corporate performance goals. Stock-based compensation expense for these performance-based awards is recognized as expense over the requisite performance periods using an accelerated attribution method. The Company recognized $505,000 and $309,000 of stock-based compensation expense during 2008 and 2009, respectively, relating to performance-based awards.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November 2009, the Company granted 89,017 performance-based awards (the 2009 performance awards) to certain executives with performance conditions substantially similar to the 2008 performance awards. Based on achievement of departmental goals, a total of 25,723 shares were accelerated in December 2009. Based on achievement of corporate goals, the vesting of a total of 27,150 shares was accelerated in December 2009. The Company recognized $181,000 of stock-based compensation expense during 2009 relating to these 2009 performance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Granted to Nonemployees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Company accounts for options granted to nonemployees under the fair value method. The fair value of these options was estimated using the Black-Scholes option-pricing model with the following assumptions for 2007, 2008 and 2009: risk-free interest rates of 2.0% to 5.0%, dividend yield of 0%, expected volatility of 54.7% to 66.3%, and an expected life of the options equal to the remaining contractual terms of one to ten years. Options granted to nonemployees are remeasured at each financial statement reporting date until the award is vested.</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granted options to nonemployees to purchase 38,976 and 3,303 shares of common stock during 2007 and 2008, respectively. No options to nonemployees were granted during 2009. As of December 27, 2008 and December 31, 2009, there were 10,161 and 8,550 unvested options held by nonemployees with a weighted-average exercise price of $13.81 and $6.16, respectively, and an average remaining vesting period of 2.6 and 1.8 years, respectively.</w:t>
      </w:r>
    </w:p>
    <w:p>
      <w:pPr>
        <w:spacing w:after="0" w:line="218" w:lineRule="exact"/>
        <w:rPr>
          <w:sz w:val="20"/>
          <w:szCs w:val="20"/>
          <w:color w:val="auto"/>
        </w:rPr>
      </w:pPr>
    </w:p>
    <w:p>
      <w:pPr>
        <w:ind w:left="400" w:hanging="392"/>
        <w:spacing w:after="0"/>
        <w:tabs>
          <w:tab w:leader="none" w:pos="4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net loss before (provision) benefit for income taxes is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(23,267)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(29,520)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International</w:t>
            </w:r>
          </w:p>
        </w:tc>
        <w:tc>
          <w:tcPr>
            <w:tcW w:w="28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(2,079)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benefit for income taxes</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(25,346)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(29,646)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120" w:type="dxa"/>
            <w:vAlign w:val="bottom"/>
            <w:gridSpan w:val="3"/>
          </w:tcPr>
          <w:p>
            <w:pPr>
              <w:jc w:val="right"/>
              <w:ind w:right="306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income tax (provision) benefit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2008</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Federal</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55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92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147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Reconciliation of income taxes at the statutory rate to the (provision) benefit for income taxes recorded in the statements of operations is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federal statutory rate</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0.0</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0.0</w:t>
            </w: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(31.4)</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(34.0)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vMerge w:val="continue"/>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liabilities are as follows at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58,850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64,676</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Reserves and accruals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carryforwards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4,795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r>
      <w:tr>
        <w:trPr>
          <w:trHeight w:val="223"/>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65,236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72,115</w:t>
            </w: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(65,236)</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(72,115)</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evaluates a number of factors to determine the realizability of its deferred tax assets. Recognition of deferred tax assets is appropriate when realization of these assets is more likely than not. Assessing the realizability of deferred tax assets is dependent upon several factors including the historic financial results. The Company has incurred losses since its inception; accordingly, the net deferred tax assets have been fully offset by a valuation allowance. The valuation allowance increased by $9,570,000, $12,489,000 and $6,879,000 during 2007, 2008 and 2009, respectively.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December 31, 2009, the Company had net operating loss carryforwards for federal income tax purposes of $169,568,000, which expire in the years 2019 through 2029, and federal research and development tax credits of $3,648,000, which expire in the years 2019 through 2029. As of December 31, 2009, the Company had net operating loss carryforwards for California state income tax purposes of $133,019,000, which expire in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years 2014 through 2029, state research and development tax credits of $3,901,000, which do not expire, and California manufacturer’s investment credit of $127,000, which expires beginning in 2012. In addition, the Company has approximately $26,000,000 in other state net operating loss carryovers which have various expiration dates from 2010 through 2029. As of December 31, 2009, the Company had foreign net operating loss carryforwards of $2,711,000. A significant portion of the foreign net operating losses relate to activity in Japan and have a seven year carryforward with various expiration dates.</w:t>
      </w:r>
    </w:p>
    <w:p>
      <w:pPr>
        <w:spacing w:after="0" w:line="113"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the utilization of net operation loss and credit carryforwards could be significantly reduced.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not provided for U.S. federal and state income taxes on all of the non-U.S. subsidiaries’ undistributed earnings as of December 31, 2009, because such earnings are intended to be indefinitely reinvested. Upon distribution of those earnings in the form of dividends or otherwise, the Company would be subject to applicable U.S. federal and state income taxes. Undistributed earnings of the Company’s foreign subsidiaries amounted to approximately $500,000 at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Effective January 1, 2007, the Company adopted new accounting guidance related to the recognition, measurement and presentation of uncertain tax positions. As a result, in 2007 the Company recorded a liability for net unrecognized tax benefits of $75,000, and recognized a cumulative effect of a change in accounting principle that resulted in a charge to the accumulated deficit. The liability for unrecognized tax benefits is classified as non-current.</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aggregate changes in the balance of the Company’s gross unrecognized tax benefits during 2007, 2008 and 2009 were as follows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January 1, 2007</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29, 2007</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in balances related to tax position taken during prior periods</w:t>
            </w:r>
          </w:p>
        </w:tc>
        <w:tc>
          <w:tcPr>
            <w:tcW w:w="2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December 27, 2008</w:t>
            </w:r>
          </w:p>
        </w:tc>
        <w:tc>
          <w:tcPr>
            <w:tcW w:w="2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Decreases in balances related to tax position taken during prior periods</w:t>
            </w:r>
          </w:p>
        </w:tc>
        <w:tc>
          <w:tcPr>
            <w:tcW w:w="2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interest and penalties related to unrecognized tax benefits are classified as income tax expense and were immaterial.</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2009, unrecognized tax benefits of $67,000, if recognized, would affect the Company’s effective tax rate. The remaining unrecognized tax benefits are netted against deferred tax assets with a full valuation allowance, and if recognized, would not affect the Company’s effective tax rate. The Company does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not anticipate existing unrecognized tax benefits will significantly increase or decrease within the next 12 months. The Company files income tax returns in the United States, various states, and certain foreign jurisdictions. As a result of our net operating loss carryforwards, all of our tax years are subject to federal and state tax examination.</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sponsors a 401(k) plan that stipulates that eligible employees can elect to contribute to the plan, subject to certain limitations, up to the lesser of 60% of eligible compensation or the maximum amount allowed by the IRS. The Company has not made contributions to this plan since its inception.</w:t>
      </w:r>
    </w:p>
    <w:p>
      <w:pPr>
        <w:spacing w:after="0" w:line="1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Related-Party Transactions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Note 7, the Company entered into multiple convertible note purchase agreements with BMSIF pursuant to which the Company issued convertible notes and received total proceeds of $23.0 million. Principal and interest on these notes was converted into shares of Series D and Series E convertible preferred stock.</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BMSIF and its related companies held 1,557,648 shares of the Company’s convertible preferred stock as of December 31, 2009, which constitutes 11% of the outstanding shares on a fully diluted basis. In addition, the Company’s manufacturing operations in Singapore, which commenced in October 2005, have been supported by grants from EDB, which provide incentive payments for research, development, and manufacturing activity in Singapore by the Company. These agreements are discussed in Note 3.</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discussed in Note 7, the Company entered into a convertible Note and Warrant Purchase Agreement (Note) with its existing investors to provide the Company with cash proceeds of $10,667,000. In connection with the Note, the Company issued warrants to purchase 220,207 shares of Series E convertible preferred stock at $24.22 per share (see Note 8). In November 2009, the Note’s outstanding principal and accrued interest was converted into 455,525 shares of Series E convertible preferred stock.</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January 2004, the Company loaned $250,000 to an officer of the Company in connection with the purchase of a new home. The outstanding principal and interest payable under the loan of $287,000 was settled in full on April 10, 2008 in exchange for 15,014 shares of the Company’s common stock that were owned by the officer. The shares were valued at $19.31 per share as determined by the Company’s Board of Directors in April 2008.</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Dr. Stephen Quake, who is a professor of bioengineering at Stanford University, is one of the Company’s founding stockholders and held 384,290 shares of the Company’s common stock as of December 27, 2008 and December 31, 2009. Dr. Quake serves as a consultant to the Company and is a member of the Company’s Scientific Advisory Board. The Company paid consulting fees of $67,000, $117,000 and $108,000 to Dr. Quake during 2007, 2008 and 2009, respectively, and accrued amounts payable to Dr. Quake related to these payments were $17,000 and $8,000 as of December 27, 2008 and December 31, 2009, respectively.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general counsel was a member of a law firm whose services are utilized by the Company. On April 1, 2008, the Company’s general counsel resigned his position from such law firm. Amounts paid to the law firm for services and patent fees were $576,000, and $180,000 for 2007 and the period from January 1 through April 1, 2008,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represents the related party balances and transactions included in the Company’s consolidated balance sheets and consolidated statements of operations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3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6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328</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358"/>
        </w:trPr>
        <w:tc>
          <w:tcPr>
            <w:tcW w:w="6800" w:type="dxa"/>
            <w:vAlign w:val="bottom"/>
          </w:tcPr>
          <w:p>
            <w:pPr>
              <w:spacing w:after="0"/>
              <w:rPr>
                <w:sz w:val="24"/>
                <w:szCs w:val="2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Grant revenue</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$1,758</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1,654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jc w:val="right"/>
              <w:spacing w:after="0"/>
              <w:rPr>
                <w:sz w:val="20"/>
                <w:szCs w:val="20"/>
                <w:color w:val="auto"/>
              </w:rPr>
            </w:pPr>
            <w:r>
              <w:rPr>
                <w:rFonts w:ascii="Arial" w:cs="Arial" w:eastAsia="Arial" w:hAnsi="Arial"/>
                <w:sz w:val="18"/>
                <w:szCs w:val="18"/>
                <w:color w:val="auto"/>
              </w:rPr>
              <w:t>660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729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Information About Geographic Areas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determined that it has a single reporting segment and operating unit structure, which is the development, manufacturing, and commercialization of microfluidic systems for the life science and Ag-Bio industries.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represents the Company’s product revenue by geography based on the billing address of the Company’s customers for each year presented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$12,630</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735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3,172</w:t>
            </w:r>
          </w:p>
        </w:tc>
        <w:tc>
          <w:tcPr>
            <w:tcW w:w="58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1,431</w:t>
            </w: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4,451</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13,364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grant revenue is primarily generated in Singapore and collaboration revenue is primarily generated in the United States.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long-lived assets by geographic area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3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1,223</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Singapore</w:t>
            </w: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1,548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2"/>
          </w:tcPr>
          <w:p>
            <w:pPr>
              <w:ind w:left="4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2,777</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5000" w:type="dxa"/>
            <w:vAlign w:val="bottom"/>
            <w:gridSpan w:val="2"/>
          </w:tcPr>
          <w:p>
            <w:pPr>
              <w:ind w:left="2060"/>
              <w:spacing w:after="0"/>
              <w:rPr>
                <w:sz w:val="20"/>
                <w:szCs w:val="20"/>
                <w:color w:val="auto"/>
              </w:rPr>
            </w:pPr>
            <w:r>
              <w:rPr>
                <w:rFonts w:ascii="Arial" w:cs="Arial" w:eastAsia="Arial" w:hAnsi="Arial"/>
                <w:sz w:val="18"/>
                <w:szCs w:val="18"/>
                <w:color w:val="auto"/>
              </w:rPr>
              <w:t>F-38</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ind w:right="9500" w:firstLine="8"/>
        <w:spacing w:after="0" w:line="391" w:lineRule="auto"/>
        <w:tabs>
          <w:tab w:leader="none" w:pos="395"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Collaboration Agreement</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a collaboration agreement to develop a new product, the Company received an up-front payment of $750,000 in May 2010. The up-front payment is being recognized on a straight-line basis over a period of fifteen months. The agreement provides for milestone payments for the design and development of product prototypes. These product prototypes were not previously produced by the Company and the achievement of these and future milestones was uncertain at the time the Company entered into the agreement. Accordingly, milestone revenues have been and are expected to be recognized as the Company achieves each milestone. The Company achieved two milestones and received two milestone payments totaling $750,000 in September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Long-Term Debt Agreement</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June 2010, the Company amended the 2009 Agreement (see Note 5) (the 2010 Amendment). The 2010 Amendment extended the maturity date of the existing agreement to February 2013. The loan continues to bear interest at 13.5% per annum with interest only payments due monthly through February 2011. Commencing in March 2011, the Company will begin making monthly payments of $612,000 for principal and interest with an additional payment of $2,263,000 due in March 2012. The additional payment is being accreted as interest expense using the effective interest method through the extended maturity date of February 2013. The 2010 Amendment is being accounted for as a modification as the terms of the 2010 Amendment were not substantially different from the terms of the 2009 Agreement. The 2010 Amendment requires a prepayment fee of 1.0% of the outstanding principal amount being prepaid. In connection with the 2010 Amendment, the Company issued a new warrant to purchase 57,784 shares of Series E-1 convertible preferred stock at $12.11 per share. The fair value of this warrant resulted in additional debt discount of $63,000, which is being amortized as interest expense over the expected life of the borrowing. In addition, the Company reduced the exercise price of all of the warrants previously issued to the lender to $12.11 per share and extended the term of one of the warrants. As a result, these warrants were revalued resulting in additional debt discount of $62,000 that is being amortized over the expected remaining life of the borrowing.</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considering the effects of the 2010 Amendment, the scheduled principal payments under the Company’s long-term debt obligations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are as follows (in thousands):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2010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tcPr>
          <w:p>
            <w:pPr>
              <w:ind w:left="440"/>
              <w:spacing w:after="0"/>
              <w:rPr>
                <w:sz w:val="20"/>
                <w:szCs w:val="20"/>
                <w:color w:val="auto"/>
              </w:rPr>
            </w:pPr>
            <w:r>
              <w:rPr>
                <w:rFonts w:ascii="Arial" w:cs="Arial" w:eastAsia="Arial" w:hAnsi="Arial"/>
                <w:sz w:val="18"/>
                <w:szCs w:val="18"/>
                <w:color w:val="auto"/>
              </w:rPr>
              <w:t>Total principal payments due in future periods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14,686</w:t>
            </w:r>
          </w:p>
        </w:tc>
        <w:tc>
          <w:tcPr>
            <w:tcW w:w="100" w:type="dxa"/>
            <w:vAlign w:val="bottom"/>
          </w:tcPr>
          <w:p>
            <w:pPr>
              <w:spacing w:after="0"/>
              <w:rPr>
                <w:sz w:val="19"/>
                <w:szCs w:val="19"/>
                <w:color w:val="auto"/>
              </w:rPr>
            </w:pPr>
          </w:p>
        </w:tc>
      </w:tr>
      <w:tr>
        <w:trPr>
          <w:trHeight w:val="217"/>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debt discount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r>
      <w:tr>
        <w:trPr>
          <w:trHeight w:val="222"/>
        </w:trPr>
        <w:tc>
          <w:tcPr>
            <w:tcW w:w="9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14,461</w:t>
            </w:r>
          </w:p>
        </w:tc>
        <w:tc>
          <w:tcPr>
            <w:tcW w:w="10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balance sheet classification of long-term debt at December 31, 2009 reflects the payments due under the 2010 Amendment.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Conversion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2010, the Company offered holders of convertible preferred stock warrants with exercise prices greater than $12.11 per share an opportunity to amend their eligible warrants by lowering the exercise price of the warrants to $12.11 per share. The amended warrants would be exercisable for shares of new Series E-1 convertible preferred stock and would receive an equal number of shares of the Company’s common stock for each warrant exercised, subject to the warrant holder’s agreement to immediately exercise the warrants in full and for cash. The offer expired on August 16, 2010. Warrants to purchase 57,724 shares of Series E-1 convertible preferred stock at $24.22 were amended. The Company received proceeds of $699,000 and issued 57,724 shares of Series E-1 convertible preferred stock and 57,724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September 2010, the Company terminated its existing lease agreement and entered into a new lease for its headquarters in South San Francisco, California. The new lease expires in April 2015 and includes a renewal option for an additional three years. The Company received a $360,000 lease incentive payment which will be recognized as a reduction of rent expense on a straight-line basis over the term of the new lease.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After considering the effects of the new office lease, the future minimum lease payments under noncancelable operating leases as of December 31, 2009 are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$1,509</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r>
      <w:tr>
        <w:trPr>
          <w:trHeight w:val="222"/>
        </w:trPr>
        <w:tc>
          <w:tcPr>
            <w:tcW w:w="9900" w:type="dxa"/>
            <w:vAlign w:val="bottom"/>
          </w:tcPr>
          <w:p>
            <w:pPr>
              <w:ind w:left="440"/>
              <w:spacing w:after="0"/>
              <w:rPr>
                <w:sz w:val="20"/>
                <w:szCs w:val="20"/>
                <w:color w:val="auto"/>
              </w:rPr>
            </w:pPr>
            <w:r>
              <w:rPr>
                <w:rFonts w:ascii="Arial" w:cs="Arial" w:eastAsia="Arial" w:hAnsi="Arial"/>
                <w:sz w:val="18"/>
                <w:szCs w:val="18"/>
                <w:color w:val="auto"/>
              </w:rPr>
              <w:t>Total minimum payments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5,357</w:t>
            </w:r>
          </w:p>
        </w:tc>
        <w:tc>
          <w:tcPr>
            <w:tcW w:w="10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EDB Grant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described in Note 3, in October 2005, the Company entered into a letter agreement with EDB providing for up to SG$10.0 million (approximately US$7.1 million using the December 31, 2009 exchange rate) in grants from EDB. In July 2010, Fluidigm Singapore submitted its final progress report and evidence of achievement of its development targets under the letter agreement. In September 2010, the Company received confirmation from EDB that all of its obligations under the letter agreement had been met, and in October 2010, received its final grant payment.</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Pro forma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88"/>
              </w:rPr>
              <w:t>(Note 1)</w:t>
            </w:r>
          </w:p>
        </w:tc>
        <w:tc>
          <w:tcPr>
            <w:tcW w:w="7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14,602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Accounts receivable (net of allowances of $103 and $467 at December 31, 2009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September 30, 2010, respectively)</w:t>
            </w:r>
          </w:p>
        </w:tc>
        <w:tc>
          <w:tcPr>
            <w:tcW w:w="140" w:type="dxa"/>
            <w:vAlign w:val="bottom"/>
          </w:tcPr>
          <w:p>
            <w:pPr>
              <w:spacing w:after="0"/>
              <w:rPr>
                <w:sz w:val="19"/>
                <w:szCs w:val="19"/>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8,690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3,945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28,483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1,930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Investment</w:t>
            </w: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32,153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22,090</w:t>
            </w:r>
          </w:p>
        </w:tc>
        <w:tc>
          <w:tcPr>
            <w:tcW w:w="38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LIABILITIES, CONVERTIBLE PREFERRED STOCK AND STOCKHOLDERS’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7,129</w:t>
            </w: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11,443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14,461</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11,590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21,927</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23,936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27,382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340" w:type="dxa"/>
            <w:vAlign w:val="bottom"/>
            <w:gridSpan w:val="2"/>
          </w:tcPr>
          <w:p>
            <w:pPr>
              <w:spacing w:after="0"/>
              <w:rPr>
                <w:sz w:val="20"/>
                <w:szCs w:val="20"/>
                <w:color w:val="auto"/>
              </w:rPr>
            </w:pPr>
            <w:r>
              <w:rPr>
                <w:rFonts w:ascii="Arial" w:cs="Arial" w:eastAsia="Arial" w:hAnsi="Arial"/>
                <w:sz w:val="18"/>
                <w:szCs w:val="18"/>
                <w:color w:val="auto"/>
              </w:rPr>
              <w:t>Convertible preferred stock issuable in series: $0.001 par value, 11,269 shares authorized,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10,239 and 10,297 shares issued and outstanding as of December 31, 2009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September 30, 2010, respectively; aggregate liquidation preference of $188,948 as of</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September 30, 2010, no shares authorized, issued or outstanding pro forma (unaudited)</w:t>
            </w:r>
          </w:p>
        </w:tc>
        <w:tc>
          <w:tcPr>
            <w:tcW w:w="140" w:type="dxa"/>
            <w:vAlign w:val="bottom"/>
          </w:tcPr>
          <w:p>
            <w:pPr>
              <w:spacing w:after="0"/>
              <w:rPr>
                <w:sz w:val="19"/>
                <w:szCs w:val="19"/>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183,845</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184,549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Common stock: $0.001 par value, 18,327 shares authorized, 1,862 and 1,934 shares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issued and outstanding as of December 31, 2009 and September 30, 2010,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respectively; 13,518 shares issued and outstanding pro forma (unaudited)</w:t>
            </w:r>
          </w:p>
        </w:tc>
        <w:tc>
          <w:tcPr>
            <w:tcW w:w="140" w:type="dxa"/>
            <w:vAlign w:val="bottom"/>
          </w:tcPr>
          <w:p>
            <w:pPr>
              <w:spacing w:after="0"/>
              <w:rPr>
                <w:sz w:val="19"/>
                <w:szCs w:val="19"/>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9,308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(182,425)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(196,249)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deficit</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(173,619)</w:t>
            </w: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(186,395)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32,153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22,090</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16,369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Grant revenue (includes grant revenue from related party of $1,226 and $1,069 for the nine months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ended September 30, 2009 and 2010, respectively)</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9,249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32,039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5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Gain from changes in the fair value of convertible preferred stock warrants,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(15,697)</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(15,700)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of common stock,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1,699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 (unaudited)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in computing pro forma net loss per share available to common stockholders, basic and diluted</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center"/>
              <w:spacing w:after="0"/>
              <w:rPr>
                <w:sz w:val="20"/>
                <w:szCs w:val="20"/>
                <w:color w:val="auto"/>
              </w:rPr>
            </w:pPr>
            <w:r>
              <w:rPr>
                <w:rFonts w:ascii="Arial" w:cs="Arial" w:eastAsia="Arial" w:hAnsi="Arial"/>
                <w:sz w:val="11"/>
                <w:szCs w:val="11"/>
                <w:b w:val="1"/>
                <w:bCs w:val="1"/>
                <w:color w:val="auto"/>
                <w:w w:val="71"/>
              </w:rPr>
              <w:t>(Unaudited)</w:t>
            </w:r>
          </w:p>
        </w:tc>
        <w:tc>
          <w:tcPr>
            <w:tcW w:w="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(15,700)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Gain from changes in the fair value of convertible preferred stock warrants, net</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Amortization of debt discount and issuance cost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(3,057)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(14,388)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82"/>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promissory notes, net of issuance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exercise of convertible preferred stock warrants and issuance of convertible preferred stock, net of issuance costs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17,796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12,375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Issuance of convertible preferred stock warrants in connection with amendment of long-term debt agreement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convertible preferred stock warrants in connection with issuance of convertible promissory notes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Extinguishment of convertible preferred stock warrants as part of preferred stock warrant exchange and exercise</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7740" w:firstLine="8"/>
        <w:spacing w:after="0" w:line="347" w:lineRule="auto"/>
        <w:tabs>
          <w:tab w:leader="none" w:pos="307"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for interim financial information. These financial statements were prepared following the requirements of the Securities and Exchange Commission (SEC) for interim reporting. As permitted under those rules, certain footnotes or other financial information that are normally required by U.S. generally accepted accounting principles (GAAP) can be condensed or omitted.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position as of September 30, 2010 and its results of operations and cash flows for the nine months ended September 30, 2009 and 2010. The results of operations for the nine months ended September 30, 2010 are not necessarily indicative of the results to be expected for the year ending December 31, 2010 or for any other interim period or for any other future year.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these condensed consolidated financial statements requires the Company to make estimates and judgments that affect the reported amounts of assets, liabilities, revenues, expenses, and related disclosures. On an ongoing basis, the Company evaluates its estimates, including critical accounting policies or estimates related to revenue recognition, income tax provision, stock-based compensation, inventory valuation, and warrants to purchase convertible preferred stock. The Company bases its estimates on historical experience and on various relevant assumptions that the Company believes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condensed consolidated balance sheet data as of December 31, 2009 was derived from the audited consolidated financial statements included elsewhere in this prospectus. These interim financial statements should be read in conjunction with the audited consolidated financial statements and the related notes thereto for the year ended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Company has incurred recurring losses and operating cash flow deficiencies. As of September 30, 2010, the Company had a total stockholders’ deficit of $196.2 million. The Company has historically experienced negative cash flows from operating activities as it has expanded its business and built its infrastructure and this may continue in the future. If the Company’s cash resources are insufficient to satisfy its future cash requirements, the Company may be required to issue convertible debt or equity to raise additional capital. If the Company raises additional funds through collaboration and licensing arrangements with third parties, it may be necessary to relinquish some rights to its technologies or its products, or grant licenses on terms that are not favorable to the Company.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 exploring its financing alternatives. If the Company is unable to raise adequate funds, it may have to liquidate some or all of its assets, or delay, reduce the scope of or eliminate some or all of its development programs. If the Company does not have, or is not able to obtain, sufficient funds, it may have to delay development or commercialization of its products or license to third parties the rights to commercialize products or technologies that it would otherwise seek to commercialize. In addition, the Company may have to</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reduce marketing, customer support or other resources devoted to its products or cease operations. Any of these factors could harm the Company’s operating results.</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 may be unable to raise additional capital or to do so on terms that are favorable, depending upon capital market and overall economic conditions. Sale of convertible debt securities or additional equity could result in substantial dilution to the Company’s stockholders.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These factors raise substantial doubt about the Company’s ability to continue as a going concern. The accompanying financial statements do not include any adjustments that might result from the outcome of these uncertainties.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evaluated subsequent events after the balance sheet date of September 30, 2010 through the date of the filing of Amendment No. 3 to the Registration Statement on Form S-1 in which these condensed consolidated financial statements are included.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Presentation</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Company’s board of directors has approved the filing of a registration statement on Form S-1 with respect to a proposed initial public offering of its common stock. The unaudited pro forma information as of September 30, 2010 contemplates the conversion of all outstanding shares of convertible preferred stock into shares of common stock, the reclassification of preferred stock warrant liabilities to additional paid-in capital, the issuance and sale in January 2011 of promissory notes in an aggregate principal amount of $5,000,000 (the 2011 Note and Warrant Purchase Agreement) (Note 12), the issuance of warrants in connection with the 2011 Note and Warrant Purchase Agreement, the exercise of such warrants, the conversion of such Series E-1 preferred stock into common stock, and the filing of the Company’s sixth amended and restated certificate of incorporation (Note 12). The pro forma information excludes any common stock that may be issued upon a public offering by the Company and any related net proceeds therefrom.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comprehensive loss consists primarily of net loss and foreign currency translation adjustments. For the nine months ended September 30, 2009 and 2010, comprehensive loss was $576,000 and $752,000,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Pro Forma Net Loss per Share of Common Stock</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Company’s basic net loss per share of common stock is calculated by dividing net loss by the weighted-average number of shares of common stock outstanding for the period. The weighted-average number of shares of common stock used to calculate the Company’s basic net loss per share of common stock excludes shares subject to repurchases related to stock options that were exercised prior to vesting, as such shares are not deemed to be issued until the related stock options vest. Diluted net loss per share of common stock is computed by dividing net loss by the weighted-average number of potential common shares outstanding for the period as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potential common shares but have been excluded from the calculation of diluted net loss per share of common stock, as their effect is anti-dilutive.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of common stock for the interim periods presented because including them would have been anti-dilutive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0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Convertible promissory notes convertible into shares of convertible preferred stock</w:t>
            </w:r>
          </w:p>
        </w:tc>
        <w:tc>
          <w:tcPr>
            <w:tcW w:w="46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Pro forma basic and diluted net loss per share of common stock have been computed to give effect to the conversion of convertible preferred stock into common stock. Also, the numerator in the pro forma basic and diluted net loss per share calculation has been adjusted to remove gains and losses resulting from changes in the fair value of convertible preferred stock warrants as these will become warrants to purchase shares of the Company’s common stock upon a qualifying initial public offering. The following table reconciles the calculation of pro forma net loss per share (in thousands, except per share amounts):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amortization of debt discount related to the promissory notes issued in January 2011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Deemed dividend due to change in conversion price of Series E convertible preferred stock (Note 12)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computing pro forma net loss per share available to common stockholders, basic and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available to common stockholders, basic and diluted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pro forma net loss per share available to common stockholders, 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available to common stockholders, basic and diluted</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a minority equity investment that is accounted for under the cost method of accounting. Under the cost method of accounting, investments in equity securities are carried at cost and are adjusted only for other-than-temporary declines in value. No such declines have been identified through September 30,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ind w:right="8240" w:firstLine="8"/>
        <w:spacing w:after="0" w:line="391" w:lineRule="auto"/>
        <w:tabs>
          <w:tab w:leader="none" w:pos="307"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Grant Agreements Collaboration Agreement</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a collaboration agreement to develop a new product, the Company received an up-front payment of $750,000 in May 2010. The up-front payment is being recognized on a straight-line basis over a period of fifteen months. The agreement provides for milestone payments for the design and development of product prototypes. These product prototypes were not previously produced by the Company and the achievement of these and future milestones was uncertain at the time the Company entered into the agreement. Accordingly, milestone revenues have been and are expected to be recognized as the Company achieves each milestone. The Company achieved two milestones and received payments totaling $750,000 in September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2005, the Company entered into a letter agreement with the Singapore Economic Development Board (EDB) providing for up to</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SG$10.0 million (approximately US$7.6 million using the September 30, 2010 exchange rate) in grants from EDB. In July 2010, Fluidigm Singapore submitted its final progress report and evidence of achievement of its development targets under the letter agreement. In September 2010, the Company received confirmation from EDB that all of its obligations under the letter agreement had been met and in October 2010, received its final grant payment.</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96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7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r>
      <w:tr>
        <w:trPr>
          <w:trHeight w:val="222"/>
        </w:trPr>
        <w:tc>
          <w:tcPr>
            <w:tcW w:w="78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3,945</w:t>
            </w: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of Financial Instruments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restricted cash,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Company’s cash equivalents are classified as Level I because they are valued using quoted market prices. The Company’s convertible preferred stock warrants are valued using Level III inputs, the valuation of which is discussed in Note 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60"/>
          </w:cols>
          <w:pgMar w:left="240" w:top="460" w:right="2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2009</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center"/>
              <w:ind w:left="334"/>
              <w:spacing w:after="0"/>
              <w:rPr>
                <w:sz w:val="20"/>
                <w:szCs w:val="20"/>
                <w:color w:val="auto"/>
              </w:rPr>
            </w:pPr>
            <w:r>
              <w:rPr>
                <w:rFonts w:ascii="Arial" w:cs="Arial" w:eastAsia="Arial" w:hAnsi="Arial"/>
                <w:sz w:val="18"/>
                <w:szCs w:val="18"/>
                <w:color w:val="auto"/>
                <w:w w:val="89"/>
              </w:rPr>
              <w:t>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93"/>
              </w:rPr>
              <w:t>(72)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460"/>
              <w:spacing w:after="0"/>
              <w:rPr>
                <w:sz w:val="20"/>
                <w:szCs w:val="20"/>
                <w:color w:val="auto"/>
              </w:rPr>
            </w:pPr>
            <w:r>
              <w:rPr>
                <w:rFonts w:ascii="Arial" w:cs="Arial" w:eastAsia="Arial" w:hAnsi="Arial"/>
                <w:sz w:val="18"/>
                <w:szCs w:val="18"/>
                <w:color w:val="auto"/>
                <w:w w:val="89"/>
              </w:rPr>
              <w:t>Following are summaries of the Company’s cash and cash equivalents (in thousands):</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56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Loss</w:t>
            </w:r>
          </w:p>
        </w:tc>
        <w:tc>
          <w:tcPr>
            <w:tcW w:w="56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432</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5,083</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9,926</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from government-sponsored agencies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2,390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14,602</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2010, the Company amended the 2009 Agreement (the 2010 Amendment). The 2010 Amendment extended the maturity date of the existing agreement to February 2013. This loan continues to bear interest at 13.5% per annum with interest only payments due monthly through February 2011. Commencing in March 2011, the Company will begin making monthly payments of $612,000 for principal and interest with an additional payment of $2,263,000 due in March 2012. The additional payment is being accreted as interest expense using the effective interest method through the extended maturity date of February 2013. The 2010 Amendment requires a prepayment fee of 1.0% of the outstanding principal amount being prepaid. In connection with the 2010 Amendment, the Company issued a new warrant to purchase 57,784 shares of Series E-1 convertible preferred stock at $12.11 per share. The fair value of this warrant resulted in additional debt discount of $63,000 to be amortized as interest expense over the expected life of the borrowing. In addition, the Company reduced the exercise price of all the warrants previously issued to the lender to $12.11 per share and extended the term of one of the warrants.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2010, the Company was in compliance with all loan covenants or had obtained waivers through December 31, 2010 from the lender.</w:t>
      </w:r>
    </w:p>
    <w:p>
      <w:pPr>
        <w:spacing w:after="0" w:line="269" w:lineRule="exact"/>
        <w:rPr>
          <w:sz w:val="20"/>
          <w:szCs w:val="20"/>
          <w:color w:val="auto"/>
        </w:rPr>
      </w:pPr>
    </w:p>
    <w:p>
      <w:pPr>
        <w:ind w:right="8620" w:firstLine="8"/>
        <w:spacing w:after="0" w:line="347" w:lineRule="auto"/>
        <w:tabs>
          <w:tab w:leader="none" w:pos="307"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w:t>
      </w:r>
    </w:p>
    <w:p>
      <w:pPr>
        <w:spacing w:after="0" w:line="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September 2010, the Company terminated its existing lease agreement and entered into a new lease for its headquarters in South San Francisco, California. The new lease expires in April 2015 and includes a renewal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option for an additional three years. Upon entering into the new lease, the Company received a $360,000 lease incentive payment that will be recognized as a reduction of rent expense on a straight-line basis over the term of the new lease.</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noncancelable operating leases are as follows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Convertible Preferred Stock Warrants</w:t>
      </w:r>
    </w:p>
    <w:p>
      <w:pPr>
        <w:spacing w:after="0" w:line="96"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In July 2010, the Company offered holders of preferred stock warrants with exercise prices greater than $12.11 per share an opportunity to amend their eligible warrants by lowering the exercise price of the warrants to $12.11 per share. The amended warrants would be exercisable for shares of Series E-1 stock and would receive one common share for each warrant exercised, subject to the warrant holder’s agreement to immediately exercise the warrants in full and for cash. The rights, preferences, and other terms of the Series E-1 stock are identical to those of the Company’s Series E stock, except the liquidation preference of the Series E-1 stock is $12.11 per share. The offer expired in August 2010. Warrants to purchase 57,724 shares of Series E-1 stock at $24.22 were amended. The Company received cash proceeds of $699,000 and issued 57,724 shares of Series E-1 stock and 57,724 shares of common stock.</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30, 2010, the Company had 386,698 outstanding warrants to purchase shares of convertible preferred stock with exercise prices ranging from $12.11—$24.22 per share. The Company accounts for convertible preferred stock warrants as liabilities that are recognized at fair value at each measurement date. The fair value of the Company’s convertible preferred stock warrants was computed using the Black-Scholes option valuation method and the following weighted average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3"/>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4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69.8%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life (equals the remaining contractual term)</w:t>
            </w:r>
          </w:p>
        </w:tc>
        <w:tc>
          <w:tcPr>
            <w:tcW w:w="334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7.5 years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6.8 years</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Dividend yield</w:t>
            </w:r>
          </w:p>
        </w:tc>
        <w:tc>
          <w:tcPr>
            <w:tcW w:w="5060" w:type="dxa"/>
            <w:vAlign w:val="bottom"/>
            <w:gridSpan w:val="3"/>
          </w:tcPr>
          <w:p>
            <w:pPr>
              <w:jc w:val="right"/>
              <w:ind w:right="76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356"/>
        </w:trPr>
        <w:tc>
          <w:tcPr>
            <w:tcW w:w="4420" w:type="dxa"/>
            <w:vAlign w:val="bottom"/>
          </w:tcPr>
          <w:p>
            <w:pPr>
              <w:spacing w:after="0"/>
              <w:rPr>
                <w:sz w:val="24"/>
                <w:szCs w:val="24"/>
                <w:color w:val="auto"/>
              </w:rPr>
            </w:pPr>
          </w:p>
        </w:tc>
        <w:tc>
          <w:tcPr>
            <w:tcW w:w="5060" w:type="dxa"/>
            <w:vAlign w:val="bottom"/>
            <w:gridSpan w:val="3"/>
          </w:tcPr>
          <w:p>
            <w:pPr>
              <w:jc w:val="right"/>
              <w:ind w:right="4060"/>
              <w:spacing w:after="0"/>
              <w:rPr>
                <w:sz w:val="20"/>
                <w:szCs w:val="20"/>
                <w:color w:val="auto"/>
              </w:rPr>
            </w:pPr>
            <w:r>
              <w:rPr>
                <w:rFonts w:ascii="Arial" w:cs="Arial" w:eastAsia="Arial" w:hAnsi="Arial"/>
                <w:sz w:val="18"/>
                <w:szCs w:val="18"/>
                <w:color w:val="auto"/>
              </w:rPr>
              <w:t>F-49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Stock-Based Compensation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nine months ended September 30, 2010, the Company granted 369,942 options at a weighted-average exercise price of $4.45 per share and a weighted-average fair value of $1.73 per share. These options vest over a four-year period.</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Information regarding the Company’s stock option grants since September 30, 2009 including grant date; the number of stock options issued with each grant; and the exercise price, which either equaled or was greater than the grant date fair value of the underlying common stock for each grant of stock options, is summarized as follows (in thousands, except per share amounts):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9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Exercise Price</w:t>
            </w:r>
          </w:p>
        </w:tc>
      </w:tr>
      <w:tr>
        <w:trPr>
          <w:trHeight w:val="161"/>
        </w:trPr>
        <w:tc>
          <w:tcPr>
            <w:tcW w:w="32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Grant Date</w:t>
            </w:r>
          </w:p>
        </w:tc>
        <w:tc>
          <w:tcPr>
            <w:tcW w:w="40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4"/>
                <w:szCs w:val="14"/>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17, 2009</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December 23, 2009</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2010</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May 6, 2010</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6, 2010</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computation of the fair value of stock options and other equity instruments using the Black-Scholes option pricing model requires inputs such as the fair value of the Company’s common stock. The Company performs contemporaneous valuations to determine the fair value of its common stock.</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recognized stock-based compensation expense of $1,233,000 and $1,266,000 during the nine months ended September 30, 2009 and 2010, respectively.</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Income tax expense for the nine months ended September 30, 2009 and September 30, 2010 was $3,000 and $142,000, respectively, and was comprised of state and foreign income and withholding taxes. The provision for income taxes for the periods differs from the 34% U.S. federal statutory rate primarily due to the recording of a valuation allowance for U.S. losses and tax assets which the Company does not consider to be realizable.</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At September 30, 2010, the Company had no material interest or penalties accrued related to uncertain tax positions.</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December 31, 2009, the Company’s unrecognized tax benefits balance was $4,785,000. During the nine months ended September 30, 2010, the unrecognized tax benefits balance increased by $588,000 to $5,373,000. As of September 30, 2010, unrecognized tax benefits of $81,000, if recognized, would affect the Company’s effective tax rate. The remaining unrecognized tax benefits are netted against deferred tax assets with a full valuation allowance, and if recognized, would not affect the Company’s effective tax rate.</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Information About Geographic Areas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a single reporting segment and operating unit structure, which is the development, manufacturing, and commercialization of microfluidic systems for the life science and agricultural biotechnology industries.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the Company’s product revenue by geography based on the billing address of the Company’s customers for each period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8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$12,028</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Europe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3,365</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1,369</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16,369</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20,883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grant revenue is primarily generated in Singapore and collaboration revenue is primarily generated in the United States.</w:t>
      </w:r>
    </w:p>
    <w:p>
      <w:pPr>
        <w:spacing w:after="0" w:line="246" w:lineRule="exact"/>
        <w:rPr>
          <w:sz w:val="20"/>
          <w:szCs w:val="20"/>
          <w:color w:val="auto"/>
        </w:rPr>
      </w:pPr>
    </w:p>
    <w:p>
      <w:pPr>
        <w:ind w:left="400" w:hanging="392"/>
        <w:spacing w:after="0"/>
        <w:tabs>
          <w:tab w:leader="none" w:pos="4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had related party receivables of $666,000 and $594,000 and related deferred revenue of $144,000 and $75,000 at December 31, 2009 and September 30, 2010, respectively, included in the accompanying condensed consolidated balance sheet. The accompanying condensed consolidated statements of operations also included the following related party transactions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Nine months ended</w:t>
            </w:r>
          </w:p>
        </w:tc>
      </w:tr>
      <w:tr>
        <w:trPr>
          <w:trHeight w:val="161"/>
        </w:trPr>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4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$1,069</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160" w:type="dxa"/>
            <w:vAlign w:val="bottom"/>
            <w:gridSpan w:val="3"/>
          </w:tcPr>
          <w:p>
            <w:pPr>
              <w:jc w:val="right"/>
              <w:ind w:right="500"/>
              <w:spacing w:after="0"/>
              <w:rPr>
                <w:sz w:val="20"/>
                <w:szCs w:val="20"/>
                <w:color w:val="auto"/>
              </w:rPr>
            </w:pPr>
            <w:r>
              <w:rPr>
                <w:rFonts w:ascii="Arial" w:cs="Arial" w:eastAsia="Arial" w:hAnsi="Arial"/>
                <w:sz w:val="18"/>
                <w:szCs w:val="18"/>
                <w:color w:val="auto"/>
              </w:rPr>
              <w:t>75</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Grant revenue consists of amounts received from the Economic Development Board of Singapore, which is an affiliate of a shareholder of the Company.</w:t>
      </w:r>
    </w:p>
    <w:p>
      <w:pPr>
        <w:spacing w:after="0" w:line="269" w:lineRule="exact"/>
        <w:rPr>
          <w:sz w:val="20"/>
          <w:szCs w:val="20"/>
          <w:color w:val="auto"/>
        </w:rPr>
      </w:pPr>
    </w:p>
    <w:p>
      <w:pPr>
        <w:ind w:right="9540" w:firstLine="8"/>
        <w:spacing w:after="0" w:line="347" w:lineRule="auto"/>
        <w:tabs>
          <w:tab w:leader="none" w:pos="395"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Line of Credit</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December 2010, the Company entered into a bank line of credit agreement (the Line of Credit) that is collateralized by the Company’s accounts receivable and provides the Company with the ability to borrow up to $4.0 million, subject to certain covenants and other restrictions. The term of the Line of Credit is two years and it bears interest at the greater of 5.50% or the prime rate, as defined in the Line of Credit, plus 2.25% per year. As of December 31, 2010, the balance on the Line of Credit was $3,125,000.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January 2011, the Company amended and restated its Certificate of Incorporation. The amendment and restatement increased the total number of shares of stock authorized for issuance from 28,470,639 to 29,595,999,</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60"/>
          </w:cols>
          <w:pgMar w:left="240" w:top="459" w:right="2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consisting of an increase in the number of shares of common stock authorized from 16,909,116 to 18,327,000 and a decrease in the number of shares of convertible preferred stock authorized from 11,561,523 to 11,268,999. The amendment also decreased the conversion price of the Series E convertible preferred stock from $24.22 to $18.63 per share. As a result, the Company will record a deemed dividend of approximately $9,900,000 to reflect the fair value of the additional shares of common stock to be issued as a result of the change in conversion price of the Series E convertible preferred stock. The deemed dividend will be recognized in fiscal 2011 and will increase the net loss allocable to common stockholders in the calculation of basic and diluted net loss per common share. Future changes, if any, to the conversion price of the Company’s convertible preferred stock or additional shares of common stock that may be issued if the automatic conversion of the Company’s preferred stock is less than the liquidation preference of such stock, may result in additional deemed dividends to be recognized in future periods. The amendment also amended the conditions under which the Company’s outstanding convertible preferred stock will automatically convert into common stock. All outstanding shares of convertible preferred stock will now convert into common stock automatically upon the closing of a firm commitment underwritten initial public offering pursuant to a registration statement filed under the Securities Act of 1933, as amended, in connection with which the Company raises aggregate gross proceeds of at least $25,000,000. In addition, the outstanding convertible preferred stock will be converted into common stock upon the written consent or request for conversion of two-thirds of the outstanding shares of convertible preferred stock, provided that outside the context of an initial public offering, in no event will the Series E convertible preferred stock automatically be converted into common stock without the additional written consent of holders of more than two-thirds of the outstanding shares of Series E convertible preferred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and Warrant Purchase Agreement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January 2011, the Company entered into a Note and Warrant Purchase Agreement (the Note Agreement) with existing stockholders, including certain of the Company’s officers, under which the Company issued subordinated secured promissory notes (the Notes) with an aggregate principal balance of $5,000,000. The Company’s obligations under the Notes are secured by the assets of the Company, excluding intellectual property, and are subordinated to senior indebtedness of the loan agreement entered into in March 2005, as amended and the Line of Credit. Notes issued under the Note Agreement mature on the earliest to occur of the closing of the next financing in which the Company issues and sells shares of capital stock of at least $25,000,000, a change of control as defined in the Note Agreement, when, upon the occurrence and during the continuation of an event of default, such amounts are declared due and payable by the holders of a majority in outstanding principal amount of the Notes, or January 6, 2012 (the maturity date). Outstanding Notes bear interest at 8.0% per annum. In addition, in the event the Company consummates a change of control (as defined in the Note Agreement) prior to repayment of the Notes but after the six month anniversary of their issuance, each holder of a Note will be entitled to repayment of an amount equal to 2.5 times the outstanding principal amount of such Note, together with accrued and unpaid interest on the outstanding principal amount through the closing date of the change of control. In connection with the Note Agreement, the Company issued warrants to acquire a total of 103,182 shares of Series E-1 convertible preferred stock with an exercise price of $0.02 per share. The number of shares of Series E-1 convertible preferred stock issuable under the warrants could increase to a maximum of 185,797 shares in the event the Notes remain outstanding on the six month anniversary of their issuance. The warrants expire at the earlier of January 6, 2021, an acquisition as defined in the Note Agreement, or immediately prior to the closing of a firm commitment underwritten initial public offering.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February 3, 2011, the Company’s stockholders approved an amended and restated certificate of incorporation effecting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financial statements have been retroactively adjusted to reflect this reverse stock split for all periods presented.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220345</wp:posOffset>
            </wp:positionV>
            <wp:extent cx="5471160" cy="6852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71160" cy="68522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4955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31840" cy="749554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table sets forth all expenses to be paid by the registrant, other than estimated underwriting discounts and commissions, in connection with this offering. All amounts shown are estimates except for the SEC registration fee and the Financial Industry Regulatory Authority, or FINRA, filing fee.</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FINRA filing fee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$9,125</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 (including legal fees)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$37,225</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tcPr>
          <w:p>
            <w:pPr>
              <w:ind w:left="440"/>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$2,250,000</w:t>
            </w: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Section 145 of the Delaware General Corporation Law, or DGCL, authorizes a corporation’s board of directors to grant, and authorizes a court to award, indemnity to officers, directors and other corporate agents.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as permitted by Section 145 of the DGCL, the bylaws of the registrant provide that:</w:t>
      </w:r>
    </w:p>
    <w:p>
      <w:pPr>
        <w:spacing w:after="0" w:line="90" w:lineRule="exact"/>
        <w:rPr>
          <w:sz w:val="20"/>
          <w:szCs w:val="20"/>
          <w:color w:val="auto"/>
        </w:rPr>
      </w:pPr>
    </w:p>
    <w:p>
      <w:pPr>
        <w:ind w:left="780" w:hanging="326"/>
        <w:spacing w:after="0" w:line="298" w:lineRule="auto"/>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 shall indemnify its directors and officers for serving the registrant in those capacities or for serving other business enterprises as a director, officer, employee or agent at the registrant’s request, to the fullest extent permitted by the DGCL. The DGCL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31"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not prohibited by the DGCL or other law.</w:t>
      </w:r>
    </w:p>
    <w:p>
      <w:pPr>
        <w:spacing w:after="0" w:line="50" w:lineRule="exact"/>
        <w:rPr>
          <w:rFonts w:ascii="Arial" w:cs="Arial" w:eastAsia="Arial" w:hAnsi="Arial"/>
          <w:sz w:val="18"/>
          <w:szCs w:val="18"/>
          <w:color w:val="auto"/>
        </w:rPr>
      </w:pPr>
    </w:p>
    <w:p>
      <w:pPr>
        <w:jc w:val="both"/>
        <w:ind w:left="780" w:right="240" w:hanging="326"/>
        <w:spacing w:after="0" w:line="259" w:lineRule="auto"/>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under the registrant’s bylaws or the DGCL.</w:t>
      </w:r>
    </w:p>
    <w:p>
      <w:pPr>
        <w:spacing w:after="0" w:line="59" w:lineRule="exact"/>
        <w:rPr>
          <w:rFonts w:ascii="Arial" w:cs="Arial" w:eastAsia="Arial" w:hAnsi="Arial"/>
          <w:sz w:val="18"/>
          <w:szCs w:val="18"/>
          <w:color w:val="auto"/>
        </w:rPr>
      </w:pPr>
    </w:p>
    <w:p>
      <w:pPr>
        <w:ind w:left="780" w:right="140" w:hanging="326"/>
        <w:spacing w:after="0" w:line="306" w:lineRule="auto"/>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 will not be obligated pursuant to the bylaws to indemnify a person with respect to proceedings initiated by that person against the registrant or its directors, officers, employees, agents or other indemnities, except with respect to proceedings authorized by the registrant’s Board of Directors prior to their initiation, or brought to enforce a right to indemnifications as otherwise required by applicable law.</w:t>
      </w:r>
    </w:p>
    <w:p>
      <w:pPr>
        <w:spacing w:after="0" w:line="25"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 may not retroactively amend the bylaw provisions to reduce its indemnification obligations to directors, officers, employees and agents.</w:t>
      </w:r>
    </w:p>
    <w:p>
      <w:pPr>
        <w:spacing w:after="0" w:line="194"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three years prior to the filing of this registration statement, the registrant has issued the following unregistered securities:</w:t>
      </w:r>
    </w:p>
    <w:p>
      <w:pPr>
        <w:spacing w:after="0" w:line="171" w:lineRule="exact"/>
        <w:rPr>
          <w:sz w:val="20"/>
          <w:szCs w:val="20"/>
          <w:color w:val="auto"/>
        </w:rPr>
      </w:pPr>
    </w:p>
    <w:p>
      <w:pPr>
        <w:ind w:firstLine="464"/>
        <w:spacing w:after="0" w:line="259"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December 20, 2007 through June 11, 2010, the registrant issued and sold an aggregate of 90,014 shares of its common stock upon the exercise of options issued to certain employees, directors and consultants under the registrant’s 1999 Stock Option Plan, as amended, at exercise prices ranging from $0.92 to $14.54, for aggregate consideration of $246,318.</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December 28, 2007 through December 29, 2008, the registrant granted to certain of its employees, directors and consultants under the registrant’s 1999 Stock Option Plan, as amended, options to purchase an aggregate of 531,964 shares of its common stock at exercise prices ranging from $6.60 to $21.99 per share.</w:t>
      </w:r>
    </w:p>
    <w:p>
      <w:pPr>
        <w:spacing w:after="0" w:line="140" w:lineRule="exact"/>
        <w:rPr>
          <w:rFonts w:ascii="Arial" w:cs="Arial" w:eastAsia="Arial" w:hAnsi="Arial"/>
          <w:sz w:val="18"/>
          <w:szCs w:val="18"/>
          <w:color w:val="auto"/>
        </w:rPr>
      </w:pPr>
    </w:p>
    <w:p>
      <w:pPr>
        <w:ind w:right="260" w:firstLine="464"/>
        <w:spacing w:after="0" w:line="259"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August 3, 2010 through August 30, 2010, the registrant issued and sold an aggregate of 3,726 shares of its common stock upon the exercise of options issued to certain employees, directors and consultants under the registrant’s 2009 Equity Incentive Plan, as amended, at exercise prices ranging from $4.09 to $4.45, for aggregate consideration of $16,388.</w:t>
      </w:r>
    </w:p>
    <w:p>
      <w:pPr>
        <w:spacing w:after="0" w:line="140" w:lineRule="exact"/>
        <w:rPr>
          <w:rFonts w:ascii="Arial" w:cs="Arial" w:eastAsia="Arial" w:hAnsi="Arial"/>
          <w:sz w:val="18"/>
          <w:szCs w:val="18"/>
          <w:color w:val="auto"/>
        </w:rPr>
      </w:pPr>
    </w:p>
    <w:p>
      <w:pPr>
        <w:jc w:val="both"/>
        <w:ind w:right="120"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November 17, 2009 through January 24, 2011, the registrant granted to certain of its employees, directors and consultants under the registrant’s 2009 Equity Incentive Plan, as amended, options to purchase an aggregate of 702,831 shares of its common stock at exercise prices ranging from $4.09 to $8.38 per share.</w:t>
      </w:r>
    </w:p>
    <w:p>
      <w:pPr>
        <w:spacing w:after="0" w:line="140"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October 2007 through December 2007, the registrant issued and sold an aggregate of 1,452,508 shares of Series E preferred stock to a total of seven investors at $24.22 per share, for aggregate proceeds of $35,179,780.</w:t>
      </w:r>
    </w:p>
    <w:p>
      <w:pPr>
        <w:spacing w:after="0" w:line="131" w:lineRule="exact"/>
        <w:rPr>
          <w:rFonts w:ascii="Arial" w:cs="Arial" w:eastAsia="Arial" w:hAnsi="Arial"/>
          <w:sz w:val="18"/>
          <w:szCs w:val="18"/>
          <w:color w:val="auto"/>
        </w:rPr>
      </w:pPr>
    </w:p>
    <w:p>
      <w:pPr>
        <w:ind w:right="80" w:firstLine="464"/>
        <w:spacing w:after="0" w:line="259" w:lineRule="auto"/>
        <w:tabs>
          <w:tab w:leader="none" w:pos="67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December 2007, the registrant issued 990 shares of its common stock to one accredited investor at an issuance price of $8.24 per share for aggregate monetary consideration of $8,160, which amount was deemed paid by the transfer of certain rights granted to registrant pursuant to the terms of a licensing agreement.</w:t>
      </w:r>
    </w:p>
    <w:p>
      <w:pPr>
        <w:spacing w:after="0" w:line="140" w:lineRule="exact"/>
        <w:rPr>
          <w:rFonts w:ascii="Arial" w:cs="Arial" w:eastAsia="Arial" w:hAnsi="Arial"/>
          <w:sz w:val="18"/>
          <w:szCs w:val="18"/>
          <w:color w:val="auto"/>
        </w:rPr>
      </w:pPr>
    </w:p>
    <w:p>
      <w:pPr>
        <w:ind w:right="420" w:firstLine="464"/>
        <w:spacing w:after="0" w:line="268"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December 2007, the registrant granted to one of its directors under the registrant’s 1999 Stock Option Plan, as amended, options to purchase an aggregate of 16,515 shares of the registrant’s common stock at an exercise price of $14.54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64"/>
        <w:spacing w:after="0" w:line="370" w:lineRule="auto"/>
        <w:tabs>
          <w:tab w:leader="none" w:pos="7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In February 2008, in connection with an amendment to a loan and security agreement between the registrant and Lighthouse Capital Partners V, L.P., or LCP, the registrant issued a warrant to purchase 49,545 shares of the registrant’s Series E preferred stock to LCP, or LCP, at an exercise price of $24.22 per share.</w:t>
      </w:r>
    </w:p>
    <w:p>
      <w:pPr>
        <w:spacing w:after="0" w:line="62" w:lineRule="exact"/>
        <w:rPr>
          <w:rFonts w:ascii="Arial" w:cs="Arial" w:eastAsia="Arial" w:hAnsi="Arial"/>
          <w:sz w:val="15"/>
          <w:szCs w:val="15"/>
          <w:color w:val="auto"/>
        </w:rPr>
      </w:pPr>
    </w:p>
    <w:p>
      <w:pPr>
        <w:ind w:right="160" w:firstLine="464"/>
        <w:spacing w:after="0" w:line="268" w:lineRule="auto"/>
        <w:tabs>
          <w:tab w:leader="none" w:pos="66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February 2008, the registrant granted to one of its executive officers under the registrant’s 1999 Stock Option Plan, as amended, options to purchase an aggregate of 99,090 shares of the registrant’s common stock at an exercise price of $14.54 per share.</w:t>
      </w:r>
    </w:p>
    <w:p>
      <w:pPr>
        <w:spacing w:after="0" w:line="131" w:lineRule="exact"/>
        <w:rPr>
          <w:rFonts w:ascii="Arial" w:cs="Arial" w:eastAsia="Arial" w:hAnsi="Arial"/>
          <w:sz w:val="18"/>
          <w:szCs w:val="18"/>
          <w:color w:val="auto"/>
        </w:rPr>
      </w:pPr>
    </w:p>
    <w:p>
      <w:pPr>
        <w:ind w:right="500" w:firstLine="464"/>
        <w:spacing w:after="0" w:line="268" w:lineRule="auto"/>
        <w:tabs>
          <w:tab w:leader="none" w:pos="66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April 2008, the registrant granted to 110 of its employees, consultants and directors under the registrant’s 1999 Stock Option Plan, as amended, options to purchase an aggregate of 316,017 shares of its common stock at an exercise price of $19.31 per share.</w:t>
      </w:r>
    </w:p>
    <w:p>
      <w:pPr>
        <w:spacing w:after="0" w:line="131" w:lineRule="exact"/>
        <w:rPr>
          <w:rFonts w:ascii="Arial" w:cs="Arial" w:eastAsia="Arial" w:hAnsi="Arial"/>
          <w:sz w:val="18"/>
          <w:szCs w:val="18"/>
          <w:color w:val="auto"/>
        </w:rPr>
      </w:pPr>
    </w:p>
    <w:p>
      <w:pPr>
        <w:ind w:right="400" w:firstLine="464"/>
        <w:spacing w:after="0" w:line="370" w:lineRule="auto"/>
        <w:tabs>
          <w:tab w:leader="none" w:pos="7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On May 12, 2008, the registrant issued 2,712 shares of its Series C preferred stock to Imperial Bank pursuant to Imperial Bank’s net exercise of its warrant to purchase up to 6,817 shares of Series C preferred stock. The remainder of the warrant was cancelled pursuant to the terms of the net exercise.</w:t>
      </w:r>
    </w:p>
    <w:p>
      <w:pPr>
        <w:spacing w:after="0" w:line="62" w:lineRule="exact"/>
        <w:rPr>
          <w:rFonts w:ascii="Arial" w:cs="Arial" w:eastAsia="Arial" w:hAnsi="Arial"/>
          <w:sz w:val="15"/>
          <w:szCs w:val="15"/>
          <w:color w:val="auto"/>
        </w:rPr>
      </w:pPr>
    </w:p>
    <w:p>
      <w:pPr>
        <w:ind w:right="360" w:firstLine="464"/>
        <w:spacing w:after="0" w:line="268" w:lineRule="auto"/>
        <w:tabs>
          <w:tab w:leader="none" w:pos="66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June 2008, the registrant granted to seven of its employees and consultants under the registrant’s 1999 Stock Option Plan, as amended, options to purchase an aggregate of 14,119 shares of its common stock at an exercise price of $20.71 per share.</w:t>
      </w:r>
    </w:p>
    <w:p>
      <w:pPr>
        <w:spacing w:after="0" w:line="131" w:lineRule="exact"/>
        <w:rPr>
          <w:rFonts w:ascii="Arial" w:cs="Arial" w:eastAsia="Arial" w:hAnsi="Arial"/>
          <w:sz w:val="18"/>
          <w:szCs w:val="18"/>
          <w:color w:val="auto"/>
        </w:rPr>
      </w:pPr>
    </w:p>
    <w:p>
      <w:pPr>
        <w:ind w:right="380" w:firstLine="464"/>
        <w:spacing w:after="0" w:line="268" w:lineRule="auto"/>
        <w:tabs>
          <w:tab w:leader="none" w:pos="75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August 2008, the registrant granted to eight of its employees under the registrant’s 1999 Stock Option Plan, as amended, options to purchase an aggregate of 10,650 shares of its common stock at an exercise price of $21.99 per share.</w:t>
      </w:r>
    </w:p>
    <w:p>
      <w:pPr>
        <w:spacing w:after="0" w:line="131" w:lineRule="exact"/>
        <w:rPr>
          <w:rFonts w:ascii="Arial" w:cs="Arial" w:eastAsia="Arial" w:hAnsi="Arial"/>
          <w:sz w:val="18"/>
          <w:szCs w:val="18"/>
          <w:color w:val="auto"/>
        </w:rPr>
      </w:pPr>
    </w:p>
    <w:p>
      <w:pPr>
        <w:ind w:right="300" w:firstLine="464"/>
        <w:spacing w:after="0" w:line="370" w:lineRule="auto"/>
        <w:tabs>
          <w:tab w:leader="none" w:pos="7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In August 2009, the registrant issued and sold convertible promissory notes with an aggregate principal amount of $10,666,814 and warrants to purchase an aggregate of 220,176 shares of the registrant’s Series E preferred stock an exercise price of $24.22 per share to a total of 100 accredited investors.</w:t>
      </w:r>
    </w:p>
    <w:p>
      <w:pPr>
        <w:spacing w:after="0" w:line="62" w:lineRule="exact"/>
        <w:rPr>
          <w:rFonts w:ascii="Arial" w:cs="Arial" w:eastAsia="Arial" w:hAnsi="Arial"/>
          <w:sz w:val="15"/>
          <w:szCs w:val="15"/>
          <w:color w:val="auto"/>
        </w:rPr>
      </w:pPr>
    </w:p>
    <w:p>
      <w:pPr>
        <w:ind w:right="120" w:firstLine="464"/>
        <w:spacing w:after="0" w:line="306"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November 2009, the registrant issued and sold an aggregate of 765,186 shares of the registrant’s Series E preferred stock to a total of 101 accredited investors at a purchase price of $24.22 per share, for aggregate consideration of $18,532,822, of which (i) $11,032,826 was paid by the conversion of indebtedness of the registrant and interest accrued thereon, and (ii) $7,499,996 was paid by cash payments to the registrant.</w:t>
      </w:r>
    </w:p>
    <w:p>
      <w:pPr>
        <w:spacing w:after="0" w:line="106" w:lineRule="exact"/>
        <w:rPr>
          <w:rFonts w:ascii="Arial" w:cs="Arial" w:eastAsia="Arial" w:hAnsi="Arial"/>
          <w:sz w:val="16"/>
          <w:szCs w:val="16"/>
          <w:color w:val="auto"/>
        </w:rPr>
      </w:pPr>
    </w:p>
    <w:p>
      <w:pPr>
        <w:ind w:right="400" w:firstLine="464"/>
        <w:spacing w:after="0" w:line="268"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November 2009, the registrant granted to seven of its employees and consultants under the registrant’s 2009 Equity Incentive Plan, as amended, options to purchase an aggregate of 108,985 shares of its common stock at an exercise price of $4.09 per share.</w:t>
      </w:r>
    </w:p>
    <w:p>
      <w:pPr>
        <w:spacing w:after="0" w:line="13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December 2009, as part of a stock option exchange program, the registrant granted to 109 of its employees, directors and consultants under the registrant’s 2009 Equity Incentive Plan, as amended, options to purchase an aggregate of 806,743 shares of the registrant’s common stock at an exercise price of $4.45 per share in exchange for the cancellation by such parties of stock options to purchase an equal number of shares of the registrant’s common stock that were previously outstanding under the registrant’s 1999 Stock Option Plan, as amended.</w:t>
      </w:r>
    </w:p>
    <w:p>
      <w:pPr>
        <w:spacing w:after="0" w:line="112" w:lineRule="exact"/>
        <w:rPr>
          <w:rFonts w:ascii="Arial" w:cs="Arial" w:eastAsia="Arial" w:hAnsi="Arial"/>
          <w:sz w:val="16"/>
          <w:szCs w:val="16"/>
          <w:color w:val="auto"/>
        </w:rPr>
      </w:pPr>
    </w:p>
    <w:p>
      <w:pPr>
        <w:ind w:right="400" w:firstLine="464"/>
        <w:spacing w:after="0" w:line="268" w:lineRule="auto"/>
        <w:tabs>
          <w:tab w:leader="none" w:pos="67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January 2010, the registrant granted to five of its directors under the registrant’s 2009 Equity Incentive Plan, as amended, options to purchase an aggregate of 43,352 shares of its common stock at an exercise price of $4.45 per share.</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8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June 2010, in connection with an amendment to a loan and security agreement between the registrant and LCP, the registrant (i) amended and restated warrants previously issued to LCP and its affiliates to provide that the exercise price of the amended and restated warrants will be reduced to $12.11 per share and that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amended and restated warrants will be exercisable for a number of shares of the registrant’s Series D-1 preferred stock or Series E-1 preferred stock, as applicable, equal to the number of shares of the registrant’s Series D preferred stock or Series E preferred stock that was previously issuable upon the exercise of the warrants; and (ii) issued a new warrant to purchase 148,6178 shares of the registrant’s Series E-1 preferred stock to LCP at an exercise price of $12.11 per share.</w:t>
      </w:r>
    </w:p>
    <w:p>
      <w:pPr>
        <w:spacing w:after="0" w:line="143" w:lineRule="exact"/>
        <w:rPr>
          <w:sz w:val="20"/>
          <w:szCs w:val="20"/>
          <w:color w:val="auto"/>
        </w:rPr>
      </w:pPr>
    </w:p>
    <w:p>
      <w:pPr>
        <w:ind w:right="300" w:firstLine="464"/>
        <w:spacing w:after="0" w:line="259" w:lineRule="auto"/>
        <w:tabs>
          <w:tab w:leader="none" w:pos="66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August 2010, upon exercise of outstanding amended and restated warrants, the registrant issued and sold an aggregate of 57,724 shares of the registrant’s Series E-1 preferred stock and an aggregate of 57,724 shares of the registrant’s common stock to 49 accredited investors for aggregate proceeds of $699,048.</w:t>
      </w:r>
    </w:p>
    <w:p>
      <w:pPr>
        <w:spacing w:after="0" w:line="140"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August 2010, the registrant granted to one of its employees under the registrant’s 2009 Equity Incentive Plan, as amended, options to purchase an aggregate of 115,606 shares of its common stock at an exercise price of $4.45 per share.</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January 2011, the registrant granted to fourteen of its executive officers and directors under the registrant’s 2009 Equity Incentive Plan, as amended, options to purchase an aggregate of 138,150 shares of its common stock at an exercise price of $8.38 per share.</w:t>
      </w:r>
    </w:p>
    <w:p>
      <w:pPr>
        <w:spacing w:after="0" w:line="131" w:lineRule="exact"/>
        <w:rPr>
          <w:rFonts w:ascii="Arial" w:cs="Arial" w:eastAsia="Arial" w:hAnsi="Arial"/>
          <w:sz w:val="18"/>
          <w:szCs w:val="18"/>
          <w:color w:val="auto"/>
        </w:rPr>
      </w:pPr>
    </w:p>
    <w:p>
      <w:pPr>
        <w:jc w:val="both"/>
        <w:ind w:right="120" w:firstLine="464"/>
        <w:spacing w:after="0" w:line="306" w:lineRule="auto"/>
        <w:tabs>
          <w:tab w:leader="none" w:pos="74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January 2011, the registrant issued and sold subordinated secured promissory notes with an aggregate principal amount of $5,000,000 and warrants to purchase an aggregate of 98,751 shares of the registrant’s Series E-1 preferred stock at an exercise price of $0.02 per share to a total of 49 accredited investors all of whom were existing investors in the registrant and had a substantial pre-existing relationship with the registrant.</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4" w:lineRule="exact"/>
        <w:rPr>
          <w:sz w:val="20"/>
          <w:szCs w:val="20"/>
          <w:color w:val="auto"/>
        </w:rPr>
      </w:pPr>
    </w:p>
    <w:p>
      <w:pPr>
        <w:ind w:left="780" w:right="260" w:hanging="326"/>
        <w:spacing w:after="0" w:line="268"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 respect to the transactions described in paragraphs (a) through (d), Rule 701 promulgated under the Securities Act as transactions pursuant to a compensatory benefit plan approved by the registrant’s Board of Directors; and</w:t>
      </w:r>
    </w:p>
    <w:p>
      <w:pPr>
        <w:spacing w:after="0" w:line="50" w:lineRule="exact"/>
        <w:rPr>
          <w:rFonts w:ascii="Arial" w:cs="Arial" w:eastAsia="Arial" w:hAnsi="Arial"/>
          <w:sz w:val="18"/>
          <w:szCs w:val="18"/>
          <w:color w:val="auto"/>
        </w:rPr>
      </w:pPr>
    </w:p>
    <w:p>
      <w:pPr>
        <w:ind w:left="780" w:right="80" w:hanging="326"/>
        <w:spacing w:after="0" w:line="294" w:lineRule="auto"/>
        <w:tabs>
          <w:tab w:leader="none" w:pos="7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with respect to the transactions described in paragraphs (e) through (w),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sz w:val="20"/>
          <w:szCs w:val="20"/>
          <w:color w:val="auto"/>
        </w:rPr>
        <w:tab/>
      </w:r>
      <w:r>
        <w:rPr>
          <w:rFonts w:ascii="Arial" w:cs="Arial" w:eastAsia="Arial" w:hAnsi="Arial"/>
          <w:sz w:val="16"/>
          <w:szCs w:val="16"/>
          <w:color w:val="auto"/>
        </w:rPr>
        <w:t>The following exhibits are included herein or incorporated herein by reference:</w:t>
      </w:r>
    </w:p>
    <w:p>
      <w:pPr>
        <w:spacing w:after="0" w:line="19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00" w:type="dxa"/>
            <w:vAlign w:val="bottom"/>
          </w:tcPr>
          <w:p>
            <w:pPr>
              <w:spacing w:after="0"/>
              <w:rPr>
                <w:sz w:val="14"/>
                <w:szCs w:val="14"/>
                <w:color w:val="auto"/>
              </w:rPr>
            </w:pPr>
          </w:p>
        </w:tc>
        <w:tc>
          <w:tcPr>
            <w:tcW w:w="1016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60" w:type="dxa"/>
            <w:vAlign w:val="bottom"/>
            <w:gridSpan w:val="2"/>
          </w:tcPr>
          <w:p>
            <w:pPr>
              <w:spacing w:after="0"/>
              <w:rPr>
                <w:sz w:val="20"/>
                <w:szCs w:val="20"/>
                <w:color w:val="auto"/>
              </w:rPr>
            </w:pPr>
            <w:r>
              <w:rPr>
                <w:rFonts w:ascii="Arial" w:cs="Arial" w:eastAsia="Arial" w:hAnsi="Arial"/>
                <w:sz w:val="18"/>
                <w:szCs w:val="18"/>
                <w:color w:val="auto"/>
              </w:rPr>
              <w:t>1.1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Certificate of Incorporation of the registrant, as currently in effect.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3.1.1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Certificate of Incorporation of the registrant, to be in effect prior to completion of this offering.</w:t>
            </w:r>
          </w:p>
        </w:tc>
        <w:tc>
          <w:tcPr>
            <w:tcW w:w="0" w:type="dxa"/>
            <w:vAlign w:val="bottom"/>
          </w:tcPr>
          <w:p>
            <w:pPr>
              <w:spacing w:after="0"/>
              <w:rPr>
                <w:sz w:val="1"/>
                <w:szCs w:val="1"/>
                <w:color w:val="auto"/>
              </w:rPr>
            </w:pPr>
          </w:p>
        </w:tc>
      </w:tr>
      <w:tr>
        <w:trPr>
          <w:trHeight w:val="426"/>
        </w:trPr>
        <w:tc>
          <w:tcPr>
            <w:tcW w:w="560" w:type="dxa"/>
            <w:vAlign w:val="bottom"/>
            <w:gridSpan w:val="2"/>
          </w:tcPr>
          <w:p>
            <w:pPr>
              <w:spacing w:after="0"/>
              <w:rPr>
                <w:sz w:val="20"/>
                <w:szCs w:val="20"/>
                <w:color w:val="auto"/>
              </w:rPr>
            </w:pPr>
            <w:r>
              <w:rPr>
                <w:rFonts w:ascii="Arial" w:cs="Arial" w:eastAsia="Arial" w:hAnsi="Arial"/>
                <w:sz w:val="35"/>
                <w:szCs w:val="35"/>
                <w:color w:val="auto"/>
                <w:vertAlign w:val="subscript"/>
              </w:rPr>
              <w:t>3.2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312"/>
        </w:trPr>
        <w:tc>
          <w:tcPr>
            <w:tcW w:w="560" w:type="dxa"/>
            <w:vAlign w:val="bottom"/>
            <w:gridSpan w:val="2"/>
          </w:tcPr>
          <w:p>
            <w:pPr>
              <w:spacing w:after="0"/>
              <w:rPr>
                <w:sz w:val="20"/>
                <w:szCs w:val="20"/>
                <w:color w:val="auto"/>
              </w:rPr>
            </w:pPr>
            <w:r>
              <w:rPr>
                <w:rFonts w:ascii="Arial" w:cs="Arial" w:eastAsia="Arial" w:hAnsi="Arial"/>
                <w:sz w:val="18"/>
                <w:szCs w:val="18"/>
                <w:color w:val="auto"/>
              </w:rPr>
              <w:t>3.3</w:t>
            </w:r>
            <w:r>
              <w:rPr>
                <w:rFonts w:ascii="Arial" w:cs="Arial" w:eastAsia="Arial" w:hAnsi="Arial"/>
                <w:sz w:val="22"/>
                <w:szCs w:val="22"/>
                <w:color w:val="auto"/>
                <w:vertAlign w:val="superscript"/>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234"/>
        </w:trPr>
        <w:tc>
          <w:tcPr>
            <w:tcW w:w="560" w:type="dxa"/>
            <w:vAlign w:val="bottom"/>
            <w:gridSpan w:val="2"/>
          </w:tcPr>
          <w:p>
            <w:pPr>
              <w:spacing w:after="0"/>
              <w:rPr>
                <w:sz w:val="20"/>
                <w:szCs w:val="20"/>
                <w:color w:val="auto"/>
              </w:rPr>
            </w:pPr>
            <w:r>
              <w:rPr>
                <w:rFonts w:ascii="Arial" w:cs="Arial" w:eastAsia="Arial" w:hAnsi="Arial"/>
                <w:sz w:val="18"/>
                <w:szCs w:val="18"/>
                <w:color w:val="auto"/>
              </w:rPr>
              <w:t>3.4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4.1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4"/>
                <w:szCs w:val="14"/>
                <w:color w:val="auto"/>
              </w:rPr>
            </w:pPr>
          </w:p>
        </w:tc>
        <w:tc>
          <w:tcPr>
            <w:tcW w:w="992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2"/>
              </w:rPr>
              <w:t>Series E Preferred Stock Purchase Agreement dated June 13, 2006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preferred stock set forth therein, as amended.</w:t>
            </w:r>
          </w:p>
        </w:tc>
        <w:tc>
          <w:tcPr>
            <w:tcW w:w="0" w:type="dxa"/>
            <w:vAlign w:val="bottom"/>
          </w:tcPr>
          <w:p>
            <w:pPr>
              <w:spacing w:after="0"/>
              <w:rPr>
                <w:sz w:val="1"/>
                <w:szCs w:val="1"/>
                <w:color w:val="auto"/>
              </w:rPr>
            </w:pPr>
          </w:p>
        </w:tc>
      </w:tr>
      <w:tr>
        <w:trPr>
          <w:trHeight w:val="426"/>
        </w:trPr>
        <w:tc>
          <w:tcPr>
            <w:tcW w:w="660" w:type="dxa"/>
            <w:vAlign w:val="bottom"/>
            <w:gridSpan w:val="2"/>
          </w:tcPr>
          <w:p>
            <w:pPr>
              <w:jc w:val="right"/>
              <w:ind w:right="152"/>
              <w:spacing w:after="0"/>
              <w:rPr>
                <w:sz w:val="20"/>
                <w:szCs w:val="20"/>
                <w:color w:val="auto"/>
              </w:rPr>
            </w:pPr>
            <w:r>
              <w:rPr>
                <w:rFonts w:ascii="Arial" w:cs="Arial" w:eastAsia="Arial" w:hAnsi="Arial"/>
                <w:sz w:val="35"/>
                <w:szCs w:val="35"/>
                <w:color w:val="auto"/>
                <w:w w:val="91"/>
                <w:vertAlign w:val="subscript"/>
              </w:rPr>
              <w:t>4.3</w:t>
            </w:r>
            <w:r>
              <w:rPr>
                <w:rFonts w:ascii="Arial" w:cs="Arial" w:eastAsia="Arial" w:hAnsi="Arial"/>
                <w:sz w:val="11"/>
                <w:szCs w:val="11"/>
                <w:color w:val="auto"/>
                <w:w w:val="91"/>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 of Warrant to Purchase Shares of Preferred Stock of the registrant dated as of August 25, 2009.</w:t>
            </w:r>
          </w:p>
        </w:tc>
        <w:tc>
          <w:tcPr>
            <w:tcW w:w="0" w:type="dxa"/>
            <w:vAlign w:val="bottom"/>
          </w:tcPr>
          <w:p>
            <w:pPr>
              <w:spacing w:after="0"/>
              <w:rPr>
                <w:sz w:val="1"/>
                <w:szCs w:val="1"/>
                <w:color w:val="auto"/>
              </w:rPr>
            </w:pPr>
          </w:p>
        </w:tc>
      </w:tr>
      <w:tr>
        <w:trPr>
          <w:trHeight w:val="216"/>
        </w:trPr>
        <w:tc>
          <w:tcPr>
            <w:tcW w:w="660" w:type="dxa"/>
            <w:vAlign w:val="bottom"/>
            <w:gridSpan w:val="2"/>
          </w:tcPr>
          <w:p>
            <w:pPr>
              <w:jc w:val="right"/>
              <w:ind w:right="152"/>
              <w:spacing w:after="0" w:line="216" w:lineRule="exact"/>
              <w:rPr>
                <w:sz w:val="20"/>
                <w:szCs w:val="20"/>
                <w:color w:val="auto"/>
              </w:rPr>
            </w:pPr>
            <w:r>
              <w:rPr>
                <w:rFonts w:ascii="Arial" w:cs="Arial" w:eastAsia="Arial" w:hAnsi="Arial"/>
                <w:sz w:val="25"/>
                <w:szCs w:val="25"/>
                <w:color w:val="auto"/>
                <w:vertAlign w:val="subscript"/>
              </w:rPr>
              <w:t>4.4</w:t>
            </w:r>
            <w:r>
              <w:rPr>
                <w:rFonts w:ascii="Arial" w:cs="Arial" w:eastAsia="Arial" w:hAnsi="Arial"/>
                <w:sz w:val="10"/>
                <w:szCs w:val="10"/>
                <w:color w:val="auto"/>
              </w:rPr>
              <w:t>(3)</w:t>
            </w:r>
          </w:p>
        </w:tc>
        <w:tc>
          <w:tcPr>
            <w:tcW w:w="440" w:type="dxa"/>
            <w:vAlign w:val="bottom"/>
          </w:tcPr>
          <w:p>
            <w:pPr>
              <w:spacing w:after="0"/>
              <w:rPr>
                <w:sz w:val="18"/>
                <w:szCs w:val="18"/>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88"/>
              </w:rPr>
              <w:t>Series E Preferred Stock Purchase Agreement dated November 16, 2009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preferred stock set forth therein.</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89"/>
              </w:rPr>
              <w:t>Ninth Amended and Restated Investor Rights Agreement between the registrant and certain holders of the registrant’s capital stock named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therein, including amendments No. 1, No. 2 and No. 3.</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(2)(3)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1"/>
              </w:rPr>
              <w:t>Loan and Security Agreement No. 4561 between the registrant and Lighthouse Capital Partners V, L.P. dated March 29, 2005, including</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amendments No. 1 through No. 8.</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4.6A</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4.6B</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4.6C</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4.6D</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4.6E</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4.7</w:t>
            </w: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Note and Warrant Purchase Agreement dated January 6, 2011 among the registrant and the investors named therein.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4.8</w:t>
            </w: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7"/>
              </w:rPr>
              <w:t>Business Financing Agreement between the registrant and Bridge Bank, National Association, dated as of December 16, 2010.</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72"/>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10.1</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10.2</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10.2A</w:t>
            </w:r>
            <w:r>
              <w:rPr>
                <w:rFonts w:ascii="Arial" w:cs="Arial" w:eastAsia="Arial" w:hAnsi="Arial"/>
                <w:sz w:val="11"/>
                <w:szCs w:val="11"/>
                <w:color w:val="auto"/>
                <w:w w:val="92"/>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10.3</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10.3A</w:t>
            </w:r>
            <w:r>
              <w:rPr>
                <w:rFonts w:ascii="Arial" w:cs="Arial" w:eastAsia="Arial" w:hAnsi="Arial"/>
                <w:sz w:val="11"/>
                <w:szCs w:val="11"/>
                <w:color w:val="auto"/>
                <w:w w:val="92"/>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10.4</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10.4A</w:t>
            </w:r>
            <w:r>
              <w:rPr>
                <w:rFonts w:ascii="Arial" w:cs="Arial" w:eastAsia="Arial" w:hAnsi="Arial"/>
                <w:sz w:val="11"/>
                <w:szCs w:val="11"/>
                <w:color w:val="auto"/>
                <w:w w:val="92"/>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10.5</w:t>
            </w:r>
            <w:r>
              <w:rPr>
                <w:rFonts w:ascii="Arial" w:cs="Arial" w:eastAsia="Arial" w:hAnsi="Arial"/>
                <w:sz w:val="11"/>
                <w:szCs w:val="11"/>
                <w:color w:val="auto"/>
                <w:w w:val="90"/>
              </w:rPr>
              <w:t>(2)(3)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2"/>
              </w:rPr>
              <w:t>Second Amended and Restated License Agreement by and between California Institute of Technology and the registrant effective as of</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318"/>
        </w:trPr>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10.5A</w:t>
            </w:r>
            <w:r>
              <w:rPr>
                <w:rFonts w:ascii="Arial" w:cs="Arial" w:eastAsia="Arial" w:hAnsi="Arial"/>
                <w:sz w:val="11"/>
                <w:szCs w:val="11"/>
                <w:color w:val="auto"/>
                <w:w w:val="91"/>
              </w:rPr>
              <w:t>(2)(3)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89"/>
              </w:rPr>
              <w:t>First Addendum, effective as of March 29, 2007, to Second Amended and Restated License Agreement by and between California Institute</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of Technology and the registrant effective as of May 1, 2004.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Exhibit</w:t>
            </w:r>
          </w:p>
        </w:tc>
        <w:tc>
          <w:tcPr>
            <w:tcW w:w="980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tcPr>
          <w:p>
            <w:pPr>
              <w:spacing w:after="0"/>
              <w:rPr>
                <w:sz w:val="14"/>
                <w:szCs w:val="14"/>
                <w:color w:val="auto"/>
              </w:rPr>
            </w:pPr>
          </w:p>
        </w:tc>
        <w:tc>
          <w:tcPr>
            <w:tcW w:w="9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10.6A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First Amendment to Co-Exclusive License Agreement between President and Fellows of Harvard College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414"/>
        </w:trPr>
        <w:tc>
          <w:tcPr>
            <w:tcW w:w="1620" w:type="dxa"/>
            <w:vAlign w:val="bottom"/>
            <w:gridSpan w:val="3"/>
          </w:tcPr>
          <w:p>
            <w:pPr>
              <w:spacing w:after="0"/>
              <w:rPr>
                <w:sz w:val="20"/>
                <w:szCs w:val="20"/>
                <w:color w:val="auto"/>
              </w:rPr>
            </w:pPr>
            <w:r>
              <w:rPr>
                <w:rFonts w:ascii="Arial" w:cs="Arial" w:eastAsia="Arial" w:hAnsi="Arial"/>
                <w:sz w:val="18"/>
                <w:szCs w:val="18"/>
                <w:color w:val="auto"/>
              </w:rPr>
              <w:t>10.10A</w:t>
            </w:r>
            <w:r>
              <w:rPr>
                <w:rFonts w:ascii="Arial" w:cs="Arial" w:eastAsia="Arial" w:hAnsi="Arial"/>
                <w:sz w:val="22"/>
                <w:szCs w:val="22"/>
                <w:color w:val="auto"/>
                <w:vertAlign w:val="superscript"/>
              </w:rPr>
              <w:t>(2)(3)</w:t>
            </w:r>
          </w:p>
        </w:tc>
        <w:tc>
          <w:tcPr>
            <w:tcW w:w="9800" w:type="dxa"/>
            <w:vAlign w:val="bottom"/>
          </w:tcPr>
          <w:p>
            <w:pPr>
              <w:spacing w:after="0"/>
              <w:rPr>
                <w:sz w:val="20"/>
                <w:szCs w:val="20"/>
                <w:color w:val="auto"/>
              </w:rPr>
            </w:pPr>
            <w:r>
              <w:rPr>
                <w:rFonts w:ascii="Arial" w:cs="Arial" w:eastAsia="Arial" w:hAnsi="Arial"/>
                <w:sz w:val="18"/>
                <w:szCs w:val="18"/>
                <w:color w:val="auto"/>
                <w:w w:val="87"/>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234"/>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31"/>
        </w:trPr>
        <w:tc>
          <w:tcPr>
            <w:tcW w:w="78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(RISC) dated March 27, 2008 (originally dated October 7, 2005), by and between Singapore Economic Development Board and Fluidigm</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10.12A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Supplement, dated January 11, 2006, to Letter Agreement Relating to Application for Incentives under the Research Incentive Scheme for</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Companies (RISC), dated October 7, 2005 between Singapore Economic Development Board and Fluidigm Singapore Pte. Ltd.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(RISC) dated March 27, 2008 (originally dated February 12, 2007), by and between Singapore Economic Development Board and</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Fluidigm Singapore Pte. Ltd.</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Employee Loan Agreement by and between the registrant and Gajus V. Worthington dated January 20,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Stock Repurchase Agreement by and between the registrant and Gajus V. Worthington dated April 10,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Fredric Walder dated May 3, 2010.</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Lease Agreement between ARE - San Francisco No. 17 LLC and the registrant, dated September 14, 2010, as amended September 22,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331"/>
        </w:trPr>
        <w:tc>
          <w:tcPr>
            <w:tcW w:w="78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8"/>
              </w:rPr>
              <w:t>Tenancy for Flatted Factory Space in Singapore between JTC Corporation and the registrant dated July 27, 2005, as amended August 12,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2008 and May 31, 2010.</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Collaboration and Option Agreement by and between Novartis Vaccines &amp; Diagnostics, Inc. and the registrant dated May 17, 2010,</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including all exhibits thereto.</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License Agreement by and between Novartis Vaccines &amp; Diagnostics, Inc. and the registrant.</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0" w:type="dxa"/>
            <w:vAlign w:val="bottom"/>
          </w:tcPr>
          <w:p>
            <w:pPr>
              <w:ind w:left="396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Quality Agreement for Development of In-Vitro Diagnostic Devices by and between Novartis Vaccines &amp; Diagnostics, Inc. and the registrant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May 14,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Co-Promotion Agreement, by and between 454 Life Sciences and the registrant dated May 20,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65" w:lineRule="exact"/>
        <w:rPr>
          <w:sz w:val="20"/>
          <w:szCs w:val="20"/>
          <w:color w:val="auto"/>
        </w:rPr>
      </w:pPr>
    </w:p>
    <w:p>
      <w:pPr>
        <w:ind w:left="720" w:hanging="25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All schedules have been omitted because the information required to be presented in them is not applicable or is shown in the consolidated financial statements or related notes.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right="160" w:firstLine="464"/>
        <w:spacing w:after="0" w:line="306" w:lineRule="auto"/>
        <w:tabs>
          <w:tab w:leader="none" w:pos="7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6"/>
          <w:szCs w:val="16"/>
          <w:color w:val="auto"/>
        </w:rPr>
      </w:pPr>
    </w:p>
    <w:p>
      <w:pPr>
        <w:jc w:val="both"/>
        <w:ind w:right="40" w:firstLine="464"/>
        <w:spacing w:after="0" w:line="259"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5 to the registration statement to be signed on its behalf by the undersigned, thereunto duly authorized, in the City of Palo Alto, State of California, on the 7th day of February, 2011.</w:t>
      </w:r>
    </w:p>
    <w:p>
      <w:pPr>
        <w:spacing w:after="0" w:line="1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Gajus V. Worthington</w:t>
            </w:r>
          </w:p>
        </w:tc>
      </w:tr>
      <w:tr>
        <w:trPr>
          <w:trHeight w:val="202"/>
        </w:trPr>
        <w:tc>
          <w:tcPr>
            <w:tcW w:w="320" w:type="dxa"/>
            <w:vAlign w:val="bottom"/>
          </w:tcPr>
          <w:p>
            <w:pPr>
              <w:spacing w:after="0"/>
              <w:rPr>
                <w:sz w:val="17"/>
                <w:szCs w:val="17"/>
                <w:color w:val="auto"/>
              </w:rPr>
            </w:pPr>
          </w:p>
        </w:tc>
        <w:tc>
          <w:tcPr>
            <w:tcW w:w="4240" w:type="dxa"/>
            <w:vAlign w:val="bottom"/>
          </w:tcPr>
          <w:p>
            <w:pPr>
              <w:jc w:val="center"/>
              <w:spacing w:after="0" w:line="202" w:lineRule="exact"/>
              <w:rPr>
                <w:sz w:val="20"/>
                <w:szCs w:val="20"/>
                <w:color w:val="auto"/>
              </w:rPr>
            </w:pPr>
            <w:r>
              <w:rPr>
                <w:rFonts w:ascii="Arial" w:cs="Arial" w:eastAsia="Arial" w:hAnsi="Arial"/>
                <w:sz w:val="18"/>
                <w:szCs w:val="18"/>
                <w:color w:val="auto"/>
                <w:w w:val="89"/>
              </w:rPr>
              <w:t>Gajus V. Worthington</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1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5 to the registration statement has been signed by the following persons in the capacities indicated on the 7th day of February,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5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9"/>
              </w:rPr>
              <w:t>/s/ Gajus V. Worthington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President, Chief Executive Officer and 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7, 2011</w:t>
            </w:r>
          </w:p>
        </w:tc>
      </w:tr>
      <w:tr>
        <w:trPr>
          <w:trHeight w:val="218"/>
        </w:trPr>
        <w:tc>
          <w:tcPr>
            <w:tcW w:w="540" w:type="dxa"/>
            <w:vAlign w:val="bottom"/>
          </w:tcPr>
          <w:p>
            <w:pPr>
              <w:spacing w:after="0"/>
              <w:rPr>
                <w:sz w:val="18"/>
                <w:szCs w:val="18"/>
                <w:color w:val="auto"/>
              </w:rPr>
            </w:pPr>
          </w:p>
        </w:tc>
        <w:tc>
          <w:tcPr>
            <w:tcW w:w="36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Gajus V. Worthington</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Executive Officer)</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7"/>
        </w:trPr>
        <w:tc>
          <w:tcPr>
            <w:tcW w:w="5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9"/>
              </w:rPr>
              <w:t>/s/ Vikram Jog</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Chief Financial Officer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7, 2011</w:t>
            </w:r>
          </w:p>
        </w:tc>
      </w:tr>
      <w:tr>
        <w:trPr>
          <w:trHeight w:val="218"/>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Vikram Jog</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0"/>
              </w:rPr>
              <w:t>(Principal Accounting and Financial Officer)</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7,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Jeremy Loh</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7,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Samuel Colella</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7,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Kenneth Nussbacher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7,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Raymond Whitaker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7,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John A. Young</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89"/>
              </w:rPr>
              <w:t>/s/ Gajus V. Worthington</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54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Gajus V. Worthington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92"/>
              </w:rPr>
              <w:t>Attorney-in-Fact</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4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89"/>
              </w:rPr>
              <w:t>/s/ Vikram Jog</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54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Vikram Jog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92"/>
              </w:rPr>
              <w:t>Attorney-in-Fact</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8"/>
        </w:trPr>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220"/>
              <w:spacing w:after="0"/>
              <w:rPr>
                <w:sz w:val="20"/>
                <w:szCs w:val="20"/>
                <w:color w:val="auto"/>
              </w:rPr>
            </w:pPr>
            <w:r>
              <w:rPr>
                <w:rFonts w:ascii="Arial" w:cs="Arial" w:eastAsia="Arial" w:hAnsi="Arial"/>
                <w:sz w:val="18"/>
                <w:szCs w:val="18"/>
                <w:color w:val="auto"/>
              </w:rPr>
              <w:t>II-8</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6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00" w:type="dxa"/>
            <w:vAlign w:val="bottom"/>
          </w:tcPr>
          <w:p>
            <w:pPr>
              <w:spacing w:after="0"/>
              <w:rPr>
                <w:sz w:val="24"/>
                <w:szCs w:val="24"/>
                <w:color w:val="auto"/>
              </w:rPr>
            </w:pPr>
          </w:p>
        </w:tc>
        <w:tc>
          <w:tcPr>
            <w:tcW w:w="1016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Certificate of Incorporation of the registrant, as currently in effect.</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Certificate of Incorporation of the registrant, to be in effect prior to completion of this offering.</w:t>
            </w:r>
          </w:p>
        </w:tc>
        <w:tc>
          <w:tcPr>
            <w:tcW w:w="0" w:type="dxa"/>
            <w:vAlign w:val="bottom"/>
          </w:tcPr>
          <w:p>
            <w:pPr>
              <w:spacing w:after="0"/>
              <w:rPr>
                <w:sz w:val="1"/>
                <w:szCs w:val="1"/>
                <w:color w:val="auto"/>
              </w:rPr>
            </w:pPr>
          </w:p>
        </w:tc>
      </w:tr>
      <w:tr>
        <w:trPr>
          <w:trHeight w:val="426"/>
        </w:trPr>
        <w:tc>
          <w:tcPr>
            <w:tcW w:w="660" w:type="dxa"/>
            <w:vAlign w:val="bottom"/>
            <w:gridSpan w:val="2"/>
          </w:tcPr>
          <w:p>
            <w:pPr>
              <w:ind w:left="100"/>
              <w:spacing w:after="0"/>
              <w:rPr>
                <w:sz w:val="20"/>
                <w:szCs w:val="20"/>
                <w:color w:val="auto"/>
              </w:rPr>
            </w:pPr>
            <w:r>
              <w:rPr>
                <w:rFonts w:ascii="Arial" w:cs="Arial" w:eastAsia="Arial" w:hAnsi="Arial"/>
                <w:sz w:val="35"/>
                <w:szCs w:val="35"/>
                <w:color w:val="auto"/>
                <w:vertAlign w:val="subscript"/>
              </w:rPr>
              <w:t>3.2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222"/>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3.3</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88"/>
              </w:rPr>
              <w:t>Series E Preferred Stock Purchase Agreement dated June 13, 2006 by and among the registrant and the purchasers of the registrant’s preferred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stock set forth therein, as amended.</w:t>
            </w:r>
          </w:p>
        </w:tc>
        <w:tc>
          <w:tcPr>
            <w:tcW w:w="0" w:type="dxa"/>
            <w:vAlign w:val="bottom"/>
          </w:tcPr>
          <w:p>
            <w:pPr>
              <w:spacing w:after="0"/>
              <w:rPr>
                <w:sz w:val="1"/>
                <w:szCs w:val="1"/>
                <w:color w:val="auto"/>
              </w:rPr>
            </w:pPr>
          </w:p>
        </w:tc>
      </w:tr>
      <w:tr>
        <w:trPr>
          <w:trHeight w:val="426"/>
        </w:trPr>
        <w:tc>
          <w:tcPr>
            <w:tcW w:w="660" w:type="dxa"/>
            <w:vAlign w:val="bottom"/>
            <w:gridSpan w:val="2"/>
          </w:tcPr>
          <w:p>
            <w:pPr>
              <w:ind w:left="100"/>
              <w:spacing w:after="0"/>
              <w:rPr>
                <w:sz w:val="20"/>
                <w:szCs w:val="20"/>
                <w:color w:val="auto"/>
              </w:rPr>
            </w:pPr>
            <w:r>
              <w:rPr>
                <w:rFonts w:ascii="Arial" w:cs="Arial" w:eastAsia="Arial" w:hAnsi="Arial"/>
                <w:sz w:val="35"/>
                <w:szCs w:val="35"/>
                <w:color w:val="auto"/>
                <w:vertAlign w:val="subscript"/>
              </w:rPr>
              <w:t>4.3</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Warrant to Purchase Shares of Preferred Stock of the registrant dated as of August 25, 2009.</w:t>
            </w:r>
          </w:p>
        </w:tc>
        <w:tc>
          <w:tcPr>
            <w:tcW w:w="0" w:type="dxa"/>
            <w:vAlign w:val="bottom"/>
          </w:tcPr>
          <w:p>
            <w:pPr>
              <w:spacing w:after="0"/>
              <w:rPr>
                <w:sz w:val="1"/>
                <w:szCs w:val="1"/>
                <w:color w:val="auto"/>
              </w:rPr>
            </w:pP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0"/>
              </w:rPr>
              <w:t>Series E Preferred Stock Purchase Agreement dated November 16, 2009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preferred stock set forth therein.</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1"/>
              </w:rPr>
              <w:t>Ninth Amended and Restated Investor Rights Agreement between the registrant and certain holders of the registrant’s capital stock named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therein, including amendments No. 1, No. 2 and No. 3.</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(2)(3)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3"/>
              </w:rPr>
              <w:t>Loan and Security Agreement No. 4561 between the registrant and Lighthouse Capital Partners V, L.P. dated March 29, 2005, including</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amendments No. 1 through No. 8.</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4.6A</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4.6B</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4.6C</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4.6D</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4.6E</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4.7</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Note and Warrant Purchase Agreement dated January 6, 2011 among the registrant and the investors named therein.</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4.8</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Business Financing Agreement between the registrant and Bridge Bank, National Association, dated as of December 16,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10.2A</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Exhibit</w:t>
            </w:r>
          </w:p>
        </w:tc>
        <w:tc>
          <w:tcPr>
            <w:tcW w:w="980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tcPr>
          <w:p>
            <w:pPr>
              <w:spacing w:after="0"/>
              <w:rPr>
                <w:sz w:val="14"/>
                <w:szCs w:val="14"/>
                <w:color w:val="auto"/>
              </w:rPr>
            </w:pPr>
          </w:p>
        </w:tc>
        <w:tc>
          <w:tcPr>
            <w:tcW w:w="9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10.3A</w:t>
            </w:r>
            <w:r>
              <w:rPr>
                <w:rFonts w:ascii="Arial" w:cs="Arial" w:eastAsia="Arial" w:hAnsi="Arial"/>
                <w:sz w:val="11"/>
                <w:szCs w:val="11"/>
                <w:color w:val="auto"/>
              </w:rPr>
              <w:t>(3)</w:t>
            </w:r>
          </w:p>
        </w:tc>
        <w:tc>
          <w:tcPr>
            <w:tcW w:w="9800" w:type="dxa"/>
            <w:vAlign w:val="bottom"/>
          </w:tcPr>
          <w:p>
            <w:pPr>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10.4A</w:t>
            </w:r>
            <w:r>
              <w:rPr>
                <w:rFonts w:ascii="Arial" w:cs="Arial" w:eastAsia="Arial" w:hAnsi="Arial"/>
                <w:sz w:val="11"/>
                <w:szCs w:val="11"/>
                <w:color w:val="auto"/>
              </w:rPr>
              <w:t>(3)</w:t>
            </w:r>
          </w:p>
        </w:tc>
        <w:tc>
          <w:tcPr>
            <w:tcW w:w="9800" w:type="dxa"/>
            <w:vAlign w:val="bottom"/>
          </w:tcPr>
          <w:p>
            <w:pPr>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Second Amended and Restated License Agreement by and between California Institute of Technology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10.5A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8"/>
              </w:rPr>
              <w:t>First Addendum, effective as of March 29, 2007, to Second Amended and Restated License Agreement by and between California Institute</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 Technology and the registrant effective as of May 1,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10.6A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First Amendment to Co-Exclusive License Agreement between President and Fellows of Harvard College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10.10A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7"/>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(RISC) dated March 27, 2008 (originally dated October 7, 2005), by and between Singapore Economic Development Board and Fluidigm</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10.12A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Supplement, dated January 11, 2006, to Letter Agreement Relating to Application for Incentives under the Research Incentive Scheme for</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Companies (RISC), dated October 7, 2005 between Singapore Economic Development Board and Fluidigm Singapore Pte. Ltd.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(RISC) dated March 27, 2008 (originally dated February 12, 2007), by and between Singapore Economic Development Board and</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Fluidigm Singapore Pte. Ltd.</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Employee Loan Agreement by and between the registrant and Gajus V. Worthington dated January 20,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Stock Repurchase Agreement by and between the registrant and Gajus V. Worthington dated April 10,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62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Offer Letter to Fredric Walder dated May 3,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Lease Agreement between ARE-San Francisco No. 17, LLC and the registrant, dated September 14, 2010, as amended September 22, 2010.</w:t>
            </w:r>
          </w:p>
        </w:tc>
        <w:tc>
          <w:tcPr>
            <w:tcW w:w="0" w:type="dxa"/>
            <w:vAlign w:val="bottom"/>
          </w:tcPr>
          <w:p>
            <w:pPr>
              <w:spacing w:after="0"/>
              <w:rPr>
                <w:sz w:val="1"/>
                <w:szCs w:val="1"/>
                <w:color w:val="auto"/>
              </w:rPr>
            </w:pPr>
          </w:p>
        </w:tc>
      </w:tr>
      <w:tr>
        <w:trPr>
          <w:trHeight w:val="331"/>
        </w:trPr>
        <w:tc>
          <w:tcPr>
            <w:tcW w:w="62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Tenancy for Flatted Factory Space in Singapore between JTC Corporation and the registrant dated July 27, 2005, as amended August 12, 2008</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May 31, 2010.</w:t>
            </w:r>
          </w:p>
        </w:tc>
        <w:tc>
          <w:tcPr>
            <w:tcW w:w="0" w:type="dxa"/>
            <w:vAlign w:val="bottom"/>
          </w:tcPr>
          <w:p>
            <w:pPr>
              <w:spacing w:after="0"/>
              <w:rPr>
                <w:sz w:val="1"/>
                <w:szCs w:val="1"/>
                <w:color w:val="auto"/>
              </w:rPr>
            </w:pP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Collaboration and Option Agreement by and between Novartis Vaccines &amp; Diagnostics, Inc. and the registrant dated May 17, 2010, including all</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exhibits thereto.</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License Agreement by and between Novartis Vaccines &amp; Diagnostics, Inc. and the registrant.</w:t>
            </w:r>
          </w:p>
        </w:tc>
        <w:tc>
          <w:tcPr>
            <w:tcW w:w="0" w:type="dxa"/>
            <w:vAlign w:val="bottom"/>
          </w:tcPr>
          <w:p>
            <w:pPr>
              <w:spacing w:after="0"/>
              <w:rPr>
                <w:sz w:val="1"/>
                <w:szCs w:val="1"/>
                <w:color w:val="auto"/>
              </w:rPr>
            </w:pP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Quality Agreement for Development of In-Vitro Diagnostic Devices by and between Novartis Vaccines &amp; Diagnostics, Inc. and the registrant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May 14,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Co-Promotion Agreement, by and between 454 Life Sciences and the registrant dated May 20,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420"/>
          </w:cols>
          <w:pgMar w:left="240" w:top="460"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UNDERWRITING AGREEMENT FOR EQUITY OFFERING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5,172,414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Fluidigm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w:t>
      </w:r>
    </w:p>
    <w:p>
      <w:pPr>
        <w:spacing w:after="0" w:line="171" w:lineRule="exact"/>
        <w:rPr>
          <w:sz w:val="20"/>
          <w:szCs w:val="20"/>
          <w:color w:val="auto"/>
        </w:rPr>
      </w:pPr>
    </w:p>
    <w:p>
      <w:pPr>
        <w:jc w:val="center"/>
        <w:ind w:left="5040"/>
        <w:spacing w:after="0"/>
        <w:tabs>
          <w:tab w:leader="none" w:pos="240" w:val="left"/>
        </w:tabs>
        <w:rPr>
          <w:sz w:val="20"/>
          <w:szCs w:val="20"/>
          <w:color w:val="auto"/>
        </w:rPr>
      </w:pPr>
      <w:r>
        <w:rPr>
          <w:rFonts w:ascii="Arial" w:cs="Arial" w:eastAsia="Arial" w:hAnsi="Arial"/>
          <w:sz w:val="18"/>
          <w:szCs w:val="18"/>
          <w:color w:val="auto"/>
        </w:rPr>
        <w:t>February</w:t>
        <w:tab/>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-13970</wp:posOffset>
            </wp:positionV>
            <wp:extent cx="13906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906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165" w:lineRule="exact"/>
        <w:rPr>
          <w:sz w:val="20"/>
          <w:szCs w:val="20"/>
          <w:color w:val="auto"/>
        </w:rPr>
      </w:pPr>
    </w:p>
    <w:p>
      <w:pPr>
        <w:jc w:val="right"/>
        <w:ind w:right="9620"/>
        <w:spacing w:after="0"/>
        <w:rPr>
          <w:sz w:val="20"/>
          <w:szCs w:val="20"/>
          <w:color w:val="auto"/>
        </w:rPr>
      </w:pPr>
      <w:r>
        <w:rPr>
          <w:rFonts w:ascii="Arial" w:cs="Arial" w:eastAsia="Arial" w:hAnsi="Arial"/>
          <w:sz w:val="15"/>
          <w:szCs w:val="15"/>
          <w:color w:val="auto"/>
        </w:rPr>
        <w:t>As Representatives of the</w:t>
      </w:r>
    </w:p>
    <w:p>
      <w:pPr>
        <w:spacing w:after="0" w:line="50" w:lineRule="exact"/>
        <w:rPr>
          <w:sz w:val="20"/>
          <w:szCs w:val="20"/>
          <w:color w:val="auto"/>
        </w:rPr>
      </w:pPr>
    </w:p>
    <w:p>
      <w:pPr>
        <w:jc w:val="right"/>
        <w:ind w:right="9560"/>
        <w:spacing w:after="0"/>
        <w:rPr>
          <w:sz w:val="20"/>
          <w:szCs w:val="20"/>
          <w:color w:val="auto"/>
        </w:rPr>
      </w:pPr>
      <w:r>
        <w:rPr>
          <w:rFonts w:ascii="Arial" w:cs="Arial" w:eastAsia="Arial" w:hAnsi="Arial"/>
          <w:sz w:val="18"/>
          <w:szCs w:val="18"/>
          <w:color w:val="auto"/>
        </w:rPr>
        <w:t>Several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Wall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Piper Jaffray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Fluidigm Corporation, a Delaware corporation (the “Company”), proposes to sell to the several underwriters (the “Underwriters”) named in Schedule I hereto for whom you are acting as representatives (the “Representatives”) an aggregate of 5,172,414 shares (the “Firm Shares”) of the Company’s common stock, $0.001 par value (the “Common Stock”). The respective amounts of the Firm Shares to be so purchased by the several Underwriters are set forth opposite their names in Schedule I hereto. The Company also proposes to sell at the Underwriters’ option an aggregate of up to 775,862 additional shares of the Company’s Common Stock (the “Option Shares”) as set forth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the Representatives, you have advised the Company (a) that you are authorized to enter into this Agreement on behalf of the several Underwriters, and</w:t>
      </w:r>
    </w:p>
    <w:p>
      <w:pPr>
        <w:spacing w:after="0" w:line="38" w:lineRule="exact"/>
        <w:rPr>
          <w:sz w:val="20"/>
          <w:szCs w:val="20"/>
          <w:color w:val="auto"/>
        </w:rPr>
      </w:pPr>
    </w:p>
    <w:p>
      <w:pPr>
        <w:ind w:right="140" w:firstLine="8"/>
        <w:spacing w:after="0" w:line="255" w:lineRule="auto"/>
        <w:tabs>
          <w:tab w:leader="none" w:pos="24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that the several Underwriters are willing, acting severally and not jointly, to purchase the numbers of Firm Shares set forth opposite their respective names in Schedule I hereto, plus their pro rata portion of the Option Shares if you elect to exercise the over-allotment option in whole or in part for the accounts of the several</w:t>
      </w:r>
    </w:p>
    <w:p>
      <w:pPr>
        <w:sectPr>
          <w:pgSz w:w="11900" w:h="16838" w:orient="portrait"/>
          <w:cols w:equalWidth="0" w:num="1">
            <w:col w:w="11420"/>
          </w:cols>
          <w:pgMar w:left="240" w:top="125" w:right="239" w:bottom="1440" w:gutter="0" w:footer="0" w:header="0"/>
        </w:sectPr>
      </w:pPr>
    </w:p>
    <w:bookmarkStart w:id="219" w:name="page220"/>
    <w:bookmarkEnd w:id="2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The Firm Shares and the Option Shares (to the extent the aforementioned option is exercised) are herein collectively called the “Shares.”</w:t>
      </w:r>
    </w:p>
    <w:p>
      <w:pPr>
        <w:spacing w:after="0" w:line="19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consideration of the mutual agreements contained herein and of the interests of the parties in the transactions contemplated hereby, the parties hereto agree as follows:</w:t>
      </w:r>
    </w:p>
    <w:p>
      <w:pPr>
        <w:spacing w:after="0" w:line="254"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EPRESENTATIONS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4"/>
          <w:szCs w:val="14"/>
          <w:u w:val="single" w:color="auto"/>
          <w:color w:val="auto"/>
        </w:rPr>
        <w:t>ARRANTIES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each of the Underwriters as follows:</w:t>
      </w:r>
    </w:p>
    <w:p>
      <w:pPr>
        <w:spacing w:after="0" w:line="171" w:lineRule="exact"/>
        <w:rPr>
          <w:sz w:val="20"/>
          <w:szCs w:val="20"/>
          <w:color w:val="auto"/>
        </w:rPr>
      </w:pPr>
    </w:p>
    <w:p>
      <w:pPr>
        <w:ind w:firstLine="921"/>
        <w:spacing w:after="0" w:line="308" w:lineRule="auto"/>
        <w:tabs>
          <w:tab w:leader="none" w:pos="1152"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 registration statement on Form S-1 (File No. 333-170965) with respect to the Shares has been prepared by the Company in conformity with the requirements of the Securities Act of 1933, as amended (the “Act”), and the rules and regulations (the “Rules and Regulations”) of the Securities and Exchange Commission (the “Commission”) thereunder and has been filed with the Commission. Copies of such registration statement, including any amendments thereto, the preliminary prospectuses (meeting the requirements of the Rules and Regulations) contained therein and the exhibits, financial statements and schedules, as finally amended and revised, have heretofore been delivered by the Company to you. Such registration statement, together with any registration statement filed by the Company pursuant to Rule 462(b) under the Act, is herein referred to as the “Registration Statement,” which shall be deemed to include all information omitted therefrom in reliance upon Rules 430A, 430B or 430C under the Act and contained in the Prospectus referred to below, has become effective under the Act and no post-effective amendment to the Registration Statement has been filed as of the date of this Agreement. “Prospectus” means the form of prospectus first filed with the Commission pursuant to and within the time limits described in Rule 424(b) under the Act. The preliminary prospectus included in the Registration Statement immediately prior to the time the Registration Statement becomes effective is herein referred to as a “Preliminary Prospectus.”</w:t>
      </w:r>
    </w:p>
    <w:p>
      <w:pPr>
        <w:spacing w:after="0" w:line="109" w:lineRule="exact"/>
        <w:rPr>
          <w:rFonts w:ascii="Arial" w:cs="Arial" w:eastAsia="Arial" w:hAnsi="Arial"/>
          <w:sz w:val="15"/>
          <w:szCs w:val="15"/>
          <w:color w:val="auto"/>
        </w:rPr>
      </w:pPr>
    </w:p>
    <w:p>
      <w:pPr>
        <w:ind w:right="60" w:firstLine="921"/>
        <w:spacing w:after="0" w:line="288" w:lineRule="auto"/>
        <w:tabs>
          <w:tab w:leader="none" w:pos="11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of the Applicable Time (as defined below) and as of the Closing Date or the Option Closing Date, as the case may be, neither (i) the General Use Free Writing Prospectus(es) (as defined below) issued at or prior to the Applicable Time, the Statutory Prospectus (as defined below) and the information included on Schedule II hereto, all considered together (collectively, the “General Disclosure Package”),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provided, however, that the Company makes no representations or warranties as to information contained in or omitted from any Issuer Free Writing Prospectus, in reliance upon, and in conformity with, written information furnished to the Company by or on behalf of any Underwriter through the Representatives, specifically for use therein, it being understood and agreed that the only such information is that described in Section 13 herein. As used in this subsection and elsewhere in this Agreement: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460"/>
              <w:spacing w:after="0"/>
              <w:rPr>
                <w:sz w:val="20"/>
                <w:szCs w:val="20"/>
                <w:color w:val="auto"/>
              </w:rPr>
            </w:pPr>
            <w:r>
              <w:rPr>
                <w:rFonts w:ascii="Arial" w:cs="Arial" w:eastAsia="Arial" w:hAnsi="Arial"/>
                <w:sz w:val="18"/>
                <w:szCs w:val="18"/>
                <w:color w:val="auto"/>
                <w:w w:val="93"/>
              </w:rPr>
              <w:t>“Applicable Time” means</w:t>
            </w:r>
          </w:p>
        </w:tc>
        <w:tc>
          <w:tcPr>
            <w:tcW w:w="520" w:type="dxa"/>
            <w:vAlign w:val="bottom"/>
            <w:tcBorders>
              <w:bottom w:val="single" w:sz="8" w:color="auto"/>
            </w:tcBorders>
          </w:tcPr>
          <w:p>
            <w:pPr>
              <w:spacing w:after="0"/>
              <w:rPr>
                <w:sz w:val="18"/>
                <w:szCs w:val="18"/>
                <w:color w:val="auto"/>
              </w:rPr>
            </w:pPr>
          </w:p>
        </w:tc>
        <w:tc>
          <w:tcPr>
            <w:tcW w:w="7680" w:type="dxa"/>
            <w:vAlign w:val="bottom"/>
          </w:tcPr>
          <w:p>
            <w:pPr>
              <w:jc w:val="right"/>
              <w:spacing w:after="0"/>
              <w:rPr>
                <w:sz w:val="20"/>
                <w:szCs w:val="20"/>
                <w:color w:val="auto"/>
              </w:rPr>
            </w:pPr>
            <w:r>
              <w:rPr>
                <w:rFonts w:ascii="Arial" w:cs="Arial" w:eastAsia="Arial" w:hAnsi="Arial"/>
                <w:sz w:val="18"/>
                <w:szCs w:val="18"/>
                <w:color w:val="auto"/>
                <w:w w:val="88"/>
              </w:rPr>
              <w:t>p.m. (New York time) on the date of this Agreement or such other time as agreed to by the Company and the</w:t>
            </w:r>
          </w:p>
        </w:tc>
      </w:tr>
      <w:tr>
        <w:trPr>
          <w:trHeight w:val="235"/>
        </w:trPr>
        <w:tc>
          <w:tcPr>
            <w:tcW w:w="2340" w:type="dxa"/>
            <w:vAlign w:val="bottom"/>
          </w:tcPr>
          <w:p>
            <w:pPr>
              <w:spacing w:after="0"/>
              <w:rPr>
                <w:sz w:val="20"/>
                <w:szCs w:val="20"/>
                <w:color w:val="auto"/>
              </w:rPr>
            </w:pPr>
            <w:r>
              <w:rPr>
                <w:rFonts w:ascii="Arial" w:cs="Arial" w:eastAsia="Arial" w:hAnsi="Arial"/>
                <w:sz w:val="18"/>
                <w:szCs w:val="18"/>
                <w:color w:val="auto"/>
              </w:rPr>
              <w:t>Representatives.</w:t>
            </w:r>
          </w:p>
        </w:tc>
        <w:tc>
          <w:tcPr>
            <w:tcW w:w="520" w:type="dxa"/>
            <w:vAlign w:val="bottom"/>
          </w:tcPr>
          <w:p>
            <w:pPr>
              <w:spacing w:after="0"/>
              <w:rPr>
                <w:sz w:val="20"/>
                <w:szCs w:val="20"/>
                <w:color w:val="auto"/>
              </w:rPr>
            </w:pPr>
          </w:p>
        </w:tc>
        <w:tc>
          <w:tcPr>
            <w:tcW w:w="7680" w:type="dxa"/>
            <w:vAlign w:val="bottom"/>
          </w:tcPr>
          <w:p>
            <w:pPr>
              <w:spacing w:after="0"/>
              <w:rPr>
                <w:sz w:val="20"/>
                <w:szCs w:val="20"/>
                <w:color w:val="auto"/>
              </w:rPr>
            </w:pPr>
          </w:p>
        </w:tc>
      </w:tr>
      <w:tr>
        <w:trPr>
          <w:trHeight w:val="365"/>
        </w:trPr>
        <w:tc>
          <w:tcPr>
            <w:tcW w:w="2340" w:type="dxa"/>
            <w:vAlign w:val="bottom"/>
          </w:tcPr>
          <w:p>
            <w:pPr>
              <w:spacing w:after="0"/>
              <w:rPr>
                <w:sz w:val="24"/>
                <w:szCs w:val="24"/>
                <w:color w:val="auto"/>
              </w:rPr>
            </w:pPr>
          </w:p>
        </w:tc>
        <w:tc>
          <w:tcPr>
            <w:tcW w:w="8200" w:type="dxa"/>
            <w:vAlign w:val="bottom"/>
            <w:gridSpan w:val="2"/>
          </w:tcPr>
          <w:p>
            <w:pPr>
              <w:jc w:val="right"/>
              <w:ind w:right="469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280" w:right="259" w:bottom="1440" w:gutter="0" w:footer="0" w:header="0"/>
        </w:sectPr>
      </w:pPr>
    </w:p>
    <w:bookmarkStart w:id="220" w:name="page221"/>
    <w:bookmarkEnd w:id="220"/>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“Statutory Prospectus” as of any time means the Preliminary Prospectus relating to the Shares that is included in the Registration Statement immediately prior to that time.</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“Issuer Free Writing Prospectus” means any “issuer free writing prospectus,” as defined in Rule 433 under the Act, relating to the Shares in the form filed or required to be filed with the Commission or, if not required to be filed, in the form retained in the Company’s records pursuant to Rule 433(g) under the Act.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Use Free Writing Prospectus” means any Issuer Free Writing Prospectus that is identified on Schedule III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“Limited Use Free Writing Prospectus” means any Issuer Free Writing Prospectus that is not a General Use Free Writing Prospectus.</w:t>
      </w:r>
    </w:p>
    <w:p>
      <w:pPr>
        <w:spacing w:after="0" w:line="171" w:lineRule="exact"/>
        <w:rPr>
          <w:sz w:val="20"/>
          <w:szCs w:val="20"/>
          <w:color w:val="auto"/>
        </w:rPr>
      </w:pPr>
    </w:p>
    <w:p>
      <w:pPr>
        <w:ind w:right="80" w:firstLine="921"/>
        <w:spacing w:after="0" w:line="285" w:lineRule="auto"/>
        <w:tabs>
          <w:tab w:leader="none" w:pos="115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 corporation in good standing under the laws of the State of Delaware, with corporate power and authority to own or lease its properties and conduct its business as described in the Registration Statement, the General Disclosure Package and the Prospectus. Each of the subsidiaries of the Company as listed in Exhibit 21 to Item 16(a) of the Registration Statement (collectively, the “Subsidiaries”) has been duly organized and is validly existing as a corporation, limited liability company or similar entity in good standing (to the extent that the concept of “good standing” exists in a specified jurisdiction) under the laws of its jurisdiction of organization, with requisite power and authority to own or lease its properties and conduct its business as described in the Registration Statement, the General Disclosure Package and the Prospectus. The Subsidiaries are the only subsidiaries, direct or indirect, of the Company. The Company and each of the Subsidiaries are duly qualified to transact business in all jurisdictions in which the conduct of their business requires such qualification, except where the failure to be so qualified would not either (i) have, individually or in the aggregate, a material adverse effect on the earnings, business, management, properties, assets, rights, operations, condition (financial or otherwise) or prospects of the Company and the Subsidiaries, taken as a whole, or (ii) prevent the consummation of the transactions contemplated hereby (the occurrence of any such effect or any such prevention described in the foregoing clauses (i) and (ii) being referred to as a “Material Adverse Effect”). The outstanding shares of capital stock of each of the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spacing w:after="0" w:line="128" w:lineRule="exact"/>
        <w:rPr>
          <w:rFonts w:ascii="Arial" w:cs="Arial" w:eastAsia="Arial" w:hAnsi="Arial"/>
          <w:sz w:val="16"/>
          <w:szCs w:val="16"/>
          <w:color w:val="auto"/>
        </w:rPr>
      </w:pPr>
    </w:p>
    <w:p>
      <w:pPr>
        <w:ind w:firstLine="921"/>
        <w:spacing w:after="0" w:line="298" w:lineRule="auto"/>
        <w:tabs>
          <w:tab w:leader="none" w:pos="116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outstanding shares of Common Stock of the Company have been duly authorized and validly issued and are fully paid and non-assessable; the Shares to be issued and sold by the Company have been duly authorized and when issued and paid for as contemplated herein will be validly issued, fully paid and non-assessable; and except as waived or terminated prior to the date hereof, no preemptive rights of stockholders exist with respect to any of the Shares or the issue and sale thereof. Neither the filing of the Registration Statement nor the offering or sale of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34" w:right="259" w:bottom="1440" w:gutter="0" w:footer="0" w:header="0"/>
        </w:sectPr>
      </w:pPr>
    </w:p>
    <w:bookmarkStart w:id="221" w:name="page222"/>
    <w:bookmarkEnd w:id="22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as contemplated by this Agreement gives rise to any rights, other than those which have been waived or satisfied, for or relating to the registration of any shares of Common Stock.</w:t>
      </w:r>
    </w:p>
    <w:p>
      <w:pPr>
        <w:spacing w:after="0" w:line="132" w:lineRule="exact"/>
        <w:rPr>
          <w:sz w:val="20"/>
          <w:szCs w:val="20"/>
          <w:color w:val="auto"/>
        </w:rPr>
      </w:pPr>
    </w:p>
    <w:p>
      <w:pPr>
        <w:ind w:right="160" w:firstLine="921"/>
        <w:spacing w:after="0" w:line="290" w:lineRule="auto"/>
        <w:tabs>
          <w:tab w:leader="none" w:pos="115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information set forth under the caption “Capitalization” in the Registration Statement and the Prospectus (and any similar section or information contained in the General Disclosure Package) is true and correct. All of the Shares conform to the description thereof contained in the Registration Statement, the General Disclosure Package and the Prospectus. The form of certificates for the Shares conforms to the corporate law of the jurisdiction of the Company’s incorporation and to any requirements of the Company’s organizational documents. Subsequent to the respective dates as of which information is given in the Registration Statement, the General Disclosure Package and the Prospectus, except as otherwise specifically stated therein or in this Agreement, the Company has not: (i) issued any securities; (ii) incurred any liability or obligation, direct or contingent, for borrowed money; or (iii) declared or paid any dividend or made any other distribution on or in respect to its capital stock.</w:t>
      </w:r>
    </w:p>
    <w:p>
      <w:pPr>
        <w:spacing w:after="0" w:line="118" w:lineRule="exact"/>
        <w:rPr>
          <w:rFonts w:ascii="Arial" w:cs="Arial" w:eastAsia="Arial" w:hAnsi="Arial"/>
          <w:sz w:val="16"/>
          <w:szCs w:val="16"/>
          <w:color w:val="auto"/>
        </w:rPr>
      </w:pPr>
    </w:p>
    <w:p>
      <w:pPr>
        <w:ind w:right="100" w:firstLine="921"/>
        <w:spacing w:after="0" w:line="307" w:lineRule="auto"/>
        <w:tabs>
          <w:tab w:leader="none" w:pos="113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Commission has not issued an order preventing or suspending the use of any Preliminary Prospectus, any Issuer Free Writing Prospectus or the Prospectus relating to the proposed offering of the Shares, and no proceeding for that purpose or pursuant to Section 8A of the Act has been instituted or, to the Company’s knowledge, threatened by the Commission. The Registration Statement contains, and the Prospectus and any amendments or supplements thereto will contain, all statements which are required to be stated therein by, and will conform to, the requirements of the Act and the Rules and Regulations. The Registration Statement and any amendments thereto do not contain, and will not contain, any untrue statement of a material fact and do not omit, and will not omit, to state a material fact required to be stated therein or necessary to make the statements therein not misleading. The Prospectus and any amendments and supplements thereto do not contain, and will not contain, any untrue statement of a material fact; and do not omit, and will not omit, to state a material fact necessary in order to make the statements therein, in the light of the circumstances under which they were made, not misleading; provided, however,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any Underwriter through the Representatives, specifically for use therein, it being understood and agreed that the only such information is that described in Section 13 hereof.</w:t>
      </w:r>
    </w:p>
    <w:p>
      <w:pPr>
        <w:spacing w:after="0" w:line="111" w:lineRule="exact"/>
        <w:rPr>
          <w:rFonts w:ascii="Arial" w:cs="Arial" w:eastAsia="Arial" w:hAnsi="Arial"/>
          <w:sz w:val="15"/>
          <w:szCs w:val="15"/>
          <w:color w:val="auto"/>
        </w:rPr>
      </w:pPr>
    </w:p>
    <w:p>
      <w:pPr>
        <w:ind w:firstLine="921"/>
        <w:spacing w:after="0" w:line="256" w:lineRule="auto"/>
        <w:tabs>
          <w:tab w:leader="none" w:pos="116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Issuer Free Writing Prospectus, when taken together with the Preliminary Prospectus accompanying or delivered prior to delivery of such Issuer Free Writing Prospectus, as of its issue date and at all subsequent times through the completion of the public offer and sale of the Shares or until any earlier date that the Company notified or notifies the Representatives, did not, does not and will not include any information that conflicted, conflicts or will conflict with the information contained in the Registration Statement or the Prospectus.</w:t>
      </w:r>
    </w:p>
    <w:p>
      <w:pPr>
        <w:spacing w:after="0" w:line="143" w:lineRule="exact"/>
        <w:rPr>
          <w:rFonts w:ascii="Arial" w:cs="Arial" w:eastAsia="Arial" w:hAnsi="Arial"/>
          <w:sz w:val="18"/>
          <w:szCs w:val="18"/>
          <w:color w:val="auto"/>
        </w:rPr>
      </w:pPr>
    </w:p>
    <w:p>
      <w:pPr>
        <w:ind w:right="100" w:firstLine="921"/>
        <w:spacing w:after="0" w:line="259" w:lineRule="auto"/>
        <w:tabs>
          <w:tab w:leader="none" w:pos="116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has not, directly or indirectly, distributed and will not distribute any offering material in connection with the offering and sale of the Shares other than any Preliminary Prospectus, the Prospectus and other materials, if any, permitted under the Act and consistent with Section 4(b) below. The Company will file with the Commission all Issuer Free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22" w:name="page223"/>
    <w:bookmarkEnd w:id="222"/>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Prospectuses in the time required under Rule 433(d) under the Act. The Company has satisfied or will satisfy the conditions in Rule 433 under the Act to avoid a requirement to file with the Commission any electronic road show.</w:t>
      </w:r>
    </w:p>
    <w:p>
      <w:pPr>
        <w:spacing w:after="0" w:line="132" w:lineRule="exact"/>
        <w:rPr>
          <w:sz w:val="20"/>
          <w:szCs w:val="20"/>
          <w:color w:val="auto"/>
        </w:rPr>
      </w:pPr>
    </w:p>
    <w:p>
      <w:pPr>
        <w:jc w:val="both"/>
        <w:ind w:firstLine="921"/>
        <w:spacing w:after="0" w:line="298" w:lineRule="auto"/>
        <w:tabs>
          <w:tab w:leader="none" w:pos="116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and (ii) as of the date hereof (with such date being used as the determination date for purposes of this clause (ii)), the Company was not and is not an “ineligible issuer” (as defined in Rule 405 under the Act, without taking into account any determination by the Commission pursuant to Rule 405 under the Act that it is not necessary that the Company be considered an ineligible issuer), including, without limitation, for purposes of Rules 164 and 433 under the Act with respect to the offering of the Shares as contemplated by the Registration Statement.</w:t>
      </w:r>
    </w:p>
    <w:p>
      <w:pPr>
        <w:spacing w:after="0" w:line="112" w:lineRule="exact"/>
        <w:rPr>
          <w:rFonts w:ascii="Arial" w:cs="Arial" w:eastAsia="Arial" w:hAnsi="Arial"/>
          <w:sz w:val="16"/>
          <w:szCs w:val="16"/>
          <w:color w:val="auto"/>
        </w:rPr>
      </w:pPr>
    </w:p>
    <w:p>
      <w:pPr>
        <w:ind w:firstLine="921"/>
        <w:spacing w:after="0" w:line="286" w:lineRule="auto"/>
        <w:tabs>
          <w:tab w:leader="none" w:pos="112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Subsidiaries, together with related notes and schedules as set forth in the Registration Statement, the General Disclosure Package and the Prospectus, present fairly the financial position and the results of operations and cash flows of the Company and the consolidated Subsidiaries, at the indicated dates and for the indicated periods. Such financial statements and related schedules have been prepared in accordance with generally accepted principles of accounting (“GAAP”), consistently applied throughout the periods involved, except as disclosed therein, and all adjustments necessary for a fair presentation of results for such periods have been made. The summary and selected consolidated financial and statistical data included in the Registration Statement, the General Disclosure Package and the Prospectus present fairly the information shown therein and such data has been compiled on a basis consistent with the financial statements presented therein and the books and records of the Company. The Company and the Subsidiaries do not have any material liabilities or obligations, direct or contingent (including any off-balance sheet obligations or any “variable interest entities” within the meaning of Financial Accounting Standards Board Interpretation No. 46), not disclosed in the Registration Statement, the General Disclosure Package and the Prospectus. There are no financial statements (historical or pro forma) that are required to be included in the Registration Statement, the General Disclosure Package or the Prospectus that are not included as required.</w:t>
      </w:r>
    </w:p>
    <w:p>
      <w:pPr>
        <w:spacing w:after="0" w:line="127"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Ernst &amp; Young LLP, who have certified certain of the financial statements filed with the Commission as part of the Registration Statement, the General Disclosure Package and the Prospectus, is an independent registered public accounting firm with respect to the Company and the Subsidiaries within the meaning of the Act and the applicable Rules and Regulations and the Public Company Accounting Oversight Board (United States) (the “PCAOB”).</w:t>
      </w:r>
    </w:p>
    <w:p>
      <w:pPr>
        <w:spacing w:after="0" w:line="106" w:lineRule="exact"/>
        <w:rPr>
          <w:rFonts w:ascii="Arial" w:cs="Arial" w:eastAsia="Arial" w:hAnsi="Arial"/>
          <w:sz w:val="16"/>
          <w:szCs w:val="16"/>
          <w:color w:val="auto"/>
        </w:rPr>
      </w:pPr>
    </w:p>
    <w:p>
      <w:pPr>
        <w:ind w:right="80" w:firstLine="921"/>
        <w:spacing w:after="0" w:line="306" w:lineRule="auto"/>
        <w:tabs>
          <w:tab w:leader="none" w:pos="112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neither the Company nor any of the Subsidiaries is aware of (i) any material weakness in its internal control over financial reporting or (ii) change in internal control over financial reporting that has materially affected, or is reasonably likely to materially affect, the Company’s internal control over financial reporting.</w:t>
      </w:r>
    </w:p>
    <w:p>
      <w:pPr>
        <w:spacing w:after="0" w:line="106" w:lineRule="exact"/>
        <w:rPr>
          <w:rFonts w:ascii="Arial" w:cs="Arial" w:eastAsia="Arial" w:hAnsi="Arial"/>
          <w:sz w:val="16"/>
          <w:szCs w:val="16"/>
          <w:color w:val="auto"/>
        </w:rPr>
      </w:pPr>
    </w:p>
    <w:p>
      <w:pPr>
        <w:ind w:right="300" w:firstLine="921"/>
        <w:spacing w:after="0" w:line="332" w:lineRule="auto"/>
        <w:tabs>
          <w:tab w:leader="none" w:pos="121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Solely to the extent that the Sarbanes-Oxley Act of 2002, as amended, and the rules and regulations promulgated by the Commission and the Nasdaq Global Market thereunder (the “Sarbanes-Oxley Act”) have been applicable to the Company, there is and has been no failure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23" w:name="page224"/>
    <w:bookmarkEnd w:id="223"/>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 and it is actively taking steps to ensure that it will be in compliance with other provisions of the Sarbanes-Oxley Act not currently in effect or which the Company is not required to comply with, that are reasonably expected to be applicable to the Company after the effectiveness of the Registration Statement.</w:t>
      </w:r>
    </w:p>
    <w:p>
      <w:pPr>
        <w:spacing w:after="0" w:line="113" w:lineRule="exact"/>
        <w:rPr>
          <w:sz w:val="20"/>
          <w:szCs w:val="20"/>
          <w:color w:val="auto"/>
        </w:rPr>
      </w:pPr>
    </w:p>
    <w:p>
      <w:pPr>
        <w:ind w:right="500" w:firstLine="921"/>
        <w:spacing w:after="0" w:line="306" w:lineRule="auto"/>
        <w:tabs>
          <w:tab w:leader="none" w:pos="116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There is no action, suit, claim or proceeding pending or, to the knowledge of the Company, threatened against the Company or any of the Subsidiaries before any court or administrative agency or otherwise which if determined adversely to the Company or any of the Subsidiaries would have a Material Adverse Effect, except as set forth in the Registration Statement, the General Disclosure Package and the Prospectus.</w:t>
      </w:r>
    </w:p>
    <w:p>
      <w:pPr>
        <w:spacing w:after="0" w:line="106" w:lineRule="exact"/>
        <w:rPr>
          <w:rFonts w:ascii="Arial" w:cs="Arial" w:eastAsia="Arial" w:hAnsi="Arial"/>
          <w:sz w:val="16"/>
          <w:szCs w:val="16"/>
          <w:color w:val="auto"/>
        </w:rPr>
      </w:pPr>
    </w:p>
    <w:p>
      <w:pPr>
        <w:ind w:firstLine="921"/>
        <w:spacing w:after="0" w:line="291" w:lineRule="auto"/>
        <w:tabs>
          <w:tab w:leader="none" w:pos="116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Neither the Company nor any of the Subsidiaries own any real property. The Company and the Subsidiaries have good title to all of the properties and assets reflected in the consolidated financial statements hereinabove described or described in the Registration Statement, the General Disclosure Package and the Prospectus, subject to no lien, mortgage, pledge, charge or encumbrance of any kind except those reflected in such financial statements or described in the Registration Statement, the General Disclosure Package and the Prospectus or which are not material in amount. The Company and the Subsidiaries occupy their leased properties under valid and binding leases conforming in all material respects to the description thereof set forth in the Registration Statement, the General Disclosure Package and the Prospectus.</w:t>
      </w:r>
    </w:p>
    <w:p>
      <w:pPr>
        <w:spacing w:after="0" w:line="120" w:lineRule="exact"/>
        <w:rPr>
          <w:rFonts w:ascii="Arial" w:cs="Arial" w:eastAsia="Arial" w:hAnsi="Arial"/>
          <w:sz w:val="16"/>
          <w:szCs w:val="16"/>
          <w:color w:val="auto"/>
        </w:rPr>
      </w:pPr>
    </w:p>
    <w:p>
      <w:pPr>
        <w:ind w:right="20" w:firstLine="921"/>
        <w:spacing w:after="0" w:line="323" w:lineRule="auto"/>
        <w:tabs>
          <w:tab w:leader="none" w:pos="1162"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Company and the Subsidiaries have filed all Federal, State, local and foreign tax returns which have been required to be filed and have paid all taxes indicated by such returns and all assessments received by them or any of them to the extent that such taxes have become due, except for such taxes as are being contested in good faith and for which an adequate reserve or accrual has been established in accordance with GAAP. All tax liabilities have been adequately provided for in the financial statements of the Company, and the Company does not know of any actual or proposed additional material tax assessments.</w:t>
      </w:r>
    </w:p>
    <w:p>
      <w:pPr>
        <w:spacing w:after="0" w:line="97" w:lineRule="exact"/>
        <w:rPr>
          <w:rFonts w:ascii="Arial" w:cs="Arial" w:eastAsia="Arial" w:hAnsi="Arial"/>
          <w:sz w:val="15"/>
          <w:szCs w:val="15"/>
          <w:color w:val="auto"/>
        </w:rPr>
      </w:pPr>
    </w:p>
    <w:p>
      <w:pPr>
        <w:ind w:firstLine="921"/>
        <w:spacing w:after="0" w:line="289" w:lineRule="auto"/>
        <w:tabs>
          <w:tab w:leader="none" w:pos="116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Since the respective dates as of which information is given in the Registration Statement, the General Disclosure Package and the Prospectus, as each may be amended or supplemented, there has not been any material adverse change or any development involving a prospective material adverse change in or affecting the earnings, business, management, properties, assets, rights, operations, condition (financial or otherwise), or prospects of the Company and the Subsidiaries taken as a whole, whether or not occurring in the ordinary course of business, and there has not been any material transaction entered into or any material transaction that is probable of being entered into by the Company or the Subsidiaries, other than transactions in the ordinary course of business and changes and transactions described in the Registration Statement, the General Disclosure Package and the Prospectus, as each may be amended or supplemented. The Company and the Subsidiaries have no material contingent obligations which are not disclosed in the Company’s financial statements which are included in the Registration Statement, the General Disclosure Package and the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24" w:name="page225"/>
    <w:bookmarkEnd w:id="224"/>
    <w:p>
      <w:pPr>
        <w:ind w:left="-20" w:firstLine="921"/>
        <w:spacing w:after="0" w:line="288" w:lineRule="auto"/>
        <w:tabs>
          <w:tab w:leader="none" w:pos="1112" w:val="left"/>
        </w:tabs>
        <w:numPr>
          <w:ilvl w:val="0"/>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the Subsidiaries is or with the giving of notice or lapse of time or both, would currently be, (i) in violation of its certificate or articles of incorporation, by-laws, certificate of formation, limited liability agreement, partnership agreement or other organizational documents, as applicable, or (ii) in violation of or in default under any agreement, lease, contract, indenture or other instrument or obligation to which it is a party or by which it, or any of its properties, is bound and, solely with respect to this clause (ii), which violation or default would have a Material Adverse Effect. The execution and delivery of this Agreement and the consummation of the transactions herein contemplated and the fulfillment of the terms hereof do not and will not conflict with or result in a breach of any of the terms or provisions of, or constitute a default under, any indenture, mortgage, deed of trust or other agreement or instrument to which the Company or any Subsidiary is a party or by which the Company or any Subsidiary or any of their respective properties is bound, or of the certificate or articles of incorporation or by-laws of the Company or any law, order, rule or regulation judgment, order, writ or decree applicable to the Company or any Subsidiary of any court or of any government, regulatory body or administrative agency or other governmental body having jurisdiction.</w:t>
      </w:r>
    </w:p>
    <w:p>
      <w:pPr>
        <w:spacing w:after="0" w:line="119" w:lineRule="exact"/>
        <w:rPr>
          <w:rFonts w:ascii="Arial" w:cs="Arial" w:eastAsia="Arial" w:hAnsi="Arial"/>
          <w:sz w:val="16"/>
          <w:szCs w:val="16"/>
          <w:color w:val="auto"/>
        </w:rPr>
      </w:pPr>
    </w:p>
    <w:p>
      <w:pPr>
        <w:ind w:left="-20" w:right="740" w:firstLine="921"/>
        <w:spacing w:after="0" w:line="332" w:lineRule="auto"/>
        <w:tabs>
          <w:tab w:leader="none" w:pos="112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execution and delivery of, and the performance by the Company of its obligations under, this Agreement has been duly and validly authorized by all necessary corporate action on the part of the Company, and this Agreement has been duly executed and delivered by the Company.</w:t>
      </w:r>
    </w:p>
    <w:p>
      <w:pPr>
        <w:spacing w:after="0" w:line="85" w:lineRule="exact"/>
        <w:rPr>
          <w:rFonts w:ascii="Arial" w:cs="Arial" w:eastAsia="Arial" w:hAnsi="Arial"/>
          <w:sz w:val="16"/>
          <w:szCs w:val="16"/>
          <w:color w:val="auto"/>
        </w:rPr>
      </w:pPr>
    </w:p>
    <w:p>
      <w:pPr>
        <w:ind w:left="-20" w:right="100" w:firstLine="921"/>
        <w:spacing w:after="0" w:line="255" w:lineRule="auto"/>
        <w:tabs>
          <w:tab w:leader="none" w:pos="110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approval, consent, order, authorization, designation, declaration or filing by or with any regulatory, administrative or other governmental body necessary in connection with the execution and delivery by the Company of this Agreement and the consummation of the transactions herein contemplated (except such additional steps as may be required by the Commission or Financial Industry Regulatory Authority, Inc. (“FINRA”) or such additional steps as may be necessary to qualify the Shares for public offering by the Underwriters under state securities or Blue Sky laws) has been obtained or made and is in full force and effect.</w:t>
      </w:r>
    </w:p>
    <w:p>
      <w:pPr>
        <w:spacing w:after="0" w:line="142" w:lineRule="exact"/>
        <w:rPr>
          <w:rFonts w:ascii="Arial" w:cs="Arial" w:eastAsia="Arial" w:hAnsi="Arial"/>
          <w:sz w:val="18"/>
          <w:szCs w:val="18"/>
          <w:color w:val="auto"/>
        </w:rPr>
      </w:pPr>
    </w:p>
    <w:p>
      <w:pPr>
        <w:ind w:left="-20" w:right="20" w:firstLine="921"/>
        <w:spacing w:after="0" w:line="254" w:lineRule="auto"/>
        <w:tabs>
          <w:tab w:leader="none" w:pos="114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and each of the Subsidiaries hold all licenses, certificates and permits (collectively, “Governmental Licenses”) from governmental authorities which are necessary to the conduct of their respective businesses, except where the failure to hold such licenses, certificates, and permits would not have a Material Adverse Effect. The Company and the Subsidiaries are in compliance with the terms and conditions of all Governmental Licenses, and all of the Governmental Licenses are valid and in full force and effect, except where the failure to be in such compliance would not have a Material Adverse Effect. Neither the Company nor any of the Subsidiaries has received any written or other notice of proceedings relating to the revocation or modification of any Governmental License.</w:t>
      </w:r>
    </w:p>
    <w:p>
      <w:pPr>
        <w:spacing w:after="0" w:line="144" w:lineRule="exact"/>
        <w:rPr>
          <w:rFonts w:ascii="Arial" w:cs="Arial" w:eastAsia="Arial" w:hAnsi="Arial"/>
          <w:sz w:val="18"/>
          <w:szCs w:val="18"/>
          <w:color w:val="auto"/>
        </w:rPr>
      </w:pPr>
    </w:p>
    <w:p>
      <w:pPr>
        <w:ind w:left="-20" w:right="160" w:firstLine="921"/>
        <w:spacing w:after="0" w:line="256" w:lineRule="auto"/>
        <w:tabs>
          <w:tab w:leader="none" w:pos="114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General Disclosure Package, and the Prospectus, the Company and the Subsidiaries each own, possess, have rights to, or can acquire on reasonable terms all material patents, patent rights, trademarks, trade names, service marks, service names, copyrights, license rights, know-how (including trade secrets and other unpatented and unpatentable proprietary or confidential information, systems or procedures)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334" w:right="259" w:bottom="1440" w:gutter="0" w:footer="0" w:header="0"/>
        </w:sectPr>
      </w:pPr>
    </w:p>
    <w:bookmarkStart w:id="225" w:name="page226"/>
    <w:bookmarkEnd w:id="22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other intellectual property rights (“Intellectual Property”) necessary to carry on their respective business, except where the failure to own or possess or inability to acquire on reasonable terms any such Intellectual Property would not have a Material Adverse Effect. There are no outstanding options, licenses or agreements of any kind relating to the Intellectual Property of the Company that are required to be described in the Registration Statement, the General Disclosure Package, and the Prospectus and that are not described in all material respects. None of the technology employed by the Company or any of the Subsidiaries has been obtained or is being used by the Company in violation of any contractual obligation binding on the Company, any of the Subsidiaries or, to the knowledge of the Company, any of the officers, directors or employees of the Company or any of the Subsidiaries, other than such violations as would not individually or in the aggregate if the subject of an unfavorable decision, ruling, or finding, have a Material Adverse Effect. Except as described in the Registration Statement, the General Disclosure Package, and the Prospectus, neither the Company nor any of the Subsidiaries has received any written or oral notice or communications alleging that the Company or any of the Subsidiaries has violated, infringed or conflicted with, or by conducting its business as set forth in the Registration Statement, the General Disclosure Package and the Prospectus, would violate, infringe or conflict with, any of the Intellectual Property of any other person or entity, other than such violations, infringements or conflicts which, individually or in the aggregate if the subject of an unfavorable decision, ruling, or finding, would not have a Material Adverse Effect. The Company knows of no infringement by others of Intellectual Property owned by or licensed to the Company or any of the Subsidiaries, which would have a Material Adverse Effect.</w:t>
      </w:r>
    </w:p>
    <w:p>
      <w:pPr>
        <w:spacing w:after="0" w:line="121" w:lineRule="exact"/>
        <w:rPr>
          <w:sz w:val="20"/>
          <w:szCs w:val="20"/>
          <w:color w:val="auto"/>
        </w:rPr>
      </w:pPr>
    </w:p>
    <w:p>
      <w:pPr>
        <w:ind w:right="20" w:firstLine="921"/>
        <w:spacing w:after="0" w:line="323" w:lineRule="auto"/>
        <w:tabs>
          <w:tab w:leader="none" w:pos="120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the shares of Common Stock to facilitate the sale or resale of the Shares. The Company acknowledges that the Underwriters may engage in passive market making transactions in the Shares on the Nasdaq Global Market in accordance with Regulation M under the Securities Exchange Act of 1934, as amended (the “Exchange Act”).</w:t>
      </w:r>
    </w:p>
    <w:p>
      <w:pPr>
        <w:spacing w:after="0" w:line="97" w:lineRule="exact"/>
        <w:rPr>
          <w:rFonts w:ascii="Arial" w:cs="Arial" w:eastAsia="Arial" w:hAnsi="Arial"/>
          <w:sz w:val="15"/>
          <w:szCs w:val="15"/>
          <w:color w:val="auto"/>
        </w:rPr>
      </w:pPr>
    </w:p>
    <w:p>
      <w:pPr>
        <w:ind w:right="260" w:firstLine="921"/>
        <w:spacing w:after="0" w:line="256" w:lineRule="auto"/>
        <w:tabs>
          <w:tab w:leader="none" w:pos="116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Neither the Company nor any Subsidiary is or, after giving effect to the offering and sale of the Shares contemplated hereunder and the application of the net proceeds from such sale as described in the Registration Statement, General Disclosure Package and the Prospectus, will be required to register as an “investment company” within the meaning of such term under the Investment Company Act of 1940, as amended (the “1940 Act”), and the rules and regulations of the Commission thereunder.</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Company and the Subsidiaries maintain a system of internal accounting controls sufficient to provide reasonable assurances that:</w:t>
      </w:r>
    </w:p>
    <w:p>
      <w:pPr>
        <w:spacing w:after="0" w:line="38" w:lineRule="exact"/>
        <w:rPr>
          <w:rFonts w:ascii="Arial" w:cs="Arial" w:eastAsia="Arial" w:hAnsi="Arial"/>
          <w:sz w:val="16"/>
          <w:szCs w:val="16"/>
          <w:color w:val="auto"/>
        </w:rPr>
      </w:pPr>
    </w:p>
    <w:p>
      <w:pPr>
        <w:ind w:right="160" w:firstLine="8"/>
        <w:spacing w:after="0" w:line="254" w:lineRule="auto"/>
        <w:tabs>
          <w:tab w:leader="none" w:pos="21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26" w:name="page227"/>
    <w:bookmarkEnd w:id="226"/>
    <w:p>
      <w:pPr>
        <w:ind w:left="-40" w:firstLine="921"/>
        <w:spacing w:after="0" w:line="291" w:lineRule="auto"/>
        <w:tabs>
          <w:tab w:leader="none" w:pos="1112"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established and maintains “disclosure controls and procedures” (as defined in Rules 13a-14(c) and 15d-14(c) under the Exchange Act;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regulations of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120" w:lineRule="exact"/>
        <w:rPr>
          <w:sz w:val="20"/>
          <w:szCs w:val="20"/>
          <w:color w:val="auto"/>
        </w:rPr>
      </w:pPr>
    </w:p>
    <w:p>
      <w:pPr>
        <w:ind w:left="-40" w:right="20" w:firstLine="921"/>
        <w:spacing w:after="0" w:line="306" w:lineRule="auto"/>
        <w:tabs>
          <w:tab w:leader="none" w:pos="119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with the sources from which they are derived.</w:t>
      </w:r>
    </w:p>
    <w:p>
      <w:pPr>
        <w:spacing w:after="0" w:line="106" w:lineRule="exact"/>
        <w:rPr>
          <w:rFonts w:ascii="Arial" w:cs="Arial" w:eastAsia="Arial" w:hAnsi="Arial"/>
          <w:sz w:val="16"/>
          <w:szCs w:val="16"/>
          <w:color w:val="auto"/>
        </w:rPr>
      </w:pPr>
    </w:p>
    <w:p>
      <w:pPr>
        <w:ind w:left="-40" w:right="200" w:firstLine="921"/>
        <w:spacing w:after="0" w:line="255" w:lineRule="auto"/>
        <w:tabs>
          <w:tab w:leader="none" w:pos="120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operations of the Company and the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“Money Laundering Laws”), and no action, suit or proceeding by or before any court or governmental agency, authority or body or any arbitrator involving the Company or any of the Subsidiaries with respect to the Money Laundering Laws is pending or, to the Company’s knowledge, threatened.</w:t>
      </w:r>
    </w:p>
    <w:p>
      <w:pPr>
        <w:spacing w:after="0" w:line="142" w:lineRule="exact"/>
        <w:rPr>
          <w:rFonts w:ascii="Arial" w:cs="Arial" w:eastAsia="Arial" w:hAnsi="Arial"/>
          <w:sz w:val="18"/>
          <w:szCs w:val="18"/>
          <w:color w:val="auto"/>
        </w:rPr>
      </w:pPr>
    </w:p>
    <w:p>
      <w:pPr>
        <w:ind w:left="-40" w:firstLine="921"/>
        <w:spacing w:after="0" w:line="298" w:lineRule="auto"/>
        <w:tabs>
          <w:tab w:leader="none" w:pos="119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Neither the Company nor, to the Company’s knowledge, any director, officer, agent, employee or affiliate of the Company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12" w:lineRule="exact"/>
        <w:rPr>
          <w:rFonts w:ascii="Arial" w:cs="Arial" w:eastAsia="Arial" w:hAnsi="Arial"/>
          <w:sz w:val="16"/>
          <w:szCs w:val="16"/>
          <w:color w:val="auto"/>
        </w:rPr>
      </w:pPr>
    </w:p>
    <w:p>
      <w:pPr>
        <w:ind w:left="-40" w:right="240" w:firstLine="921"/>
        <w:spacing w:after="0" w:line="332" w:lineRule="auto"/>
        <w:tabs>
          <w:tab w:leader="none" w:pos="120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Company and each of the Subsidiaries carry, or are covered by, insurance in such amounts and covering such risks as is adequate for the conduct of their respective businesses and the value of their respective properties and as is customary for companies engaged in similar businesses.</w:t>
      </w:r>
    </w:p>
    <w:p>
      <w:pPr>
        <w:spacing w:after="0" w:line="85" w:lineRule="exact"/>
        <w:rPr>
          <w:rFonts w:ascii="Arial" w:cs="Arial" w:eastAsia="Arial" w:hAnsi="Arial"/>
          <w:sz w:val="16"/>
          <w:szCs w:val="16"/>
          <w:color w:val="auto"/>
        </w:rPr>
      </w:pPr>
    </w:p>
    <w:p>
      <w:pPr>
        <w:ind w:left="-40" w:right="20" w:firstLine="921"/>
        <w:spacing w:after="0" w:line="294" w:lineRule="auto"/>
        <w:tabs>
          <w:tab w:leader="none" w:pos="119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Company and each Subsidiary is in compliance in all material respects with all presently applicable provisions of the Employee Retirement Income Security Act of 1974, as amended, including the regulations and published interpretations thereunder (“ERISA”); no “reportable event” (as defined in ERISA) has occurred with respect to any “pension plan” (as defined in ERISA) for which the Company and each Subsidiary would have any liability; the Company and each Subsidiary has not incurred and does not expect to incur liability under (i) Title IV of ERISA with respect to termination of, or withdrawal from, any “pension plan” or (ii) Sections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334" w:right="279" w:bottom="1440" w:gutter="0" w:footer="0" w:header="0"/>
        </w:sectPr>
      </w:pPr>
    </w:p>
    <w:bookmarkStart w:id="227" w:name="page228"/>
    <w:bookmarkEnd w:id="22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412 or 4971 of the Internal Revenue Code of 1986, as amended, including the regulations and published interpretations thereunder (the “Code”); and each “pension plan” for which the Company or any Subsidiary would have any liability that is intended to be qualified under Section 401(a) of the Code is so qualified in all material respects and nothing has occurred, whether by action or by failure to act, which would cause the loss of such qualification.</w:t>
      </w:r>
    </w:p>
    <w:p>
      <w:pPr>
        <w:spacing w:after="0" w:line="107" w:lineRule="exact"/>
        <w:rPr>
          <w:sz w:val="20"/>
          <w:szCs w:val="20"/>
          <w:color w:val="auto"/>
        </w:rPr>
      </w:pPr>
    </w:p>
    <w:p>
      <w:pPr>
        <w:ind w:right="480" w:firstLine="921"/>
        <w:spacing w:after="0" w:line="268" w:lineRule="auto"/>
        <w:tabs>
          <w:tab w:leader="none" w:pos="118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5% or greater securityholders, except as set forth in the Registration Statement.</w:t>
      </w:r>
    </w:p>
    <w:p>
      <w:pPr>
        <w:spacing w:after="0" w:line="131" w:lineRule="exact"/>
        <w:rPr>
          <w:rFonts w:ascii="Arial" w:cs="Arial" w:eastAsia="Arial" w:hAnsi="Arial"/>
          <w:sz w:val="18"/>
          <w:szCs w:val="18"/>
          <w:color w:val="auto"/>
        </w:rPr>
      </w:pPr>
    </w:p>
    <w:p>
      <w:pPr>
        <w:ind w:firstLine="921"/>
        <w:spacing w:after="0" w:line="291" w:lineRule="auto"/>
        <w:tabs>
          <w:tab w:leader="none" w:pos="124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“environmental laws”), owns or operates any real property that is, to the knowledge of the Company, contaminated with any substance that is subject to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20" w:lineRule="exact"/>
        <w:rPr>
          <w:rFonts w:ascii="Arial" w:cs="Arial" w:eastAsia="Arial" w:hAnsi="Arial"/>
          <w:sz w:val="16"/>
          <w:szCs w:val="16"/>
          <w:color w:val="auto"/>
        </w:rPr>
      </w:pPr>
    </w:p>
    <w:p>
      <w:pPr>
        <w:ind w:left="1260" w:hanging="339"/>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notice of issuance on the Nasdaq Global Market.</w:t>
      </w:r>
    </w:p>
    <w:p>
      <w:pPr>
        <w:spacing w:after="0" w:line="171" w:lineRule="exact"/>
        <w:rPr>
          <w:rFonts w:ascii="Arial" w:cs="Arial" w:eastAsia="Arial" w:hAnsi="Arial"/>
          <w:sz w:val="18"/>
          <w:szCs w:val="18"/>
          <w:color w:val="auto"/>
        </w:rPr>
      </w:pPr>
    </w:p>
    <w:p>
      <w:pPr>
        <w:ind w:right="400" w:firstLine="921"/>
        <w:spacing w:after="0" w:line="268" w:lineRule="auto"/>
        <w:tabs>
          <w:tab w:leader="none" w:pos="117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There are no relationships or related-party transactions involving the Company or any of the Subsidiaries or any other person required to be described in the Prospectus which have not been described as required.</w:t>
      </w:r>
    </w:p>
    <w:p>
      <w:pPr>
        <w:spacing w:after="0" w:line="131" w:lineRule="exact"/>
        <w:rPr>
          <w:rFonts w:ascii="Arial" w:cs="Arial" w:eastAsia="Arial" w:hAnsi="Arial"/>
          <w:sz w:val="18"/>
          <w:szCs w:val="18"/>
          <w:color w:val="auto"/>
        </w:rPr>
      </w:pPr>
    </w:p>
    <w:p>
      <w:pPr>
        <w:ind w:right="300" w:firstLine="921"/>
        <w:spacing w:after="0" w:line="268" w:lineRule="auto"/>
        <w:tabs>
          <w:tab w:leader="none" w:pos="117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Neither the Company nor any of the Subsidiaries has made any contribution or other payment to any official of, or candidate for, any federal, state or foreign office in violation of any law which violation is required to be disclosed in the Prospectus.</w:t>
      </w:r>
    </w:p>
    <w:p>
      <w:pPr>
        <w:spacing w:after="0" w:line="131" w:lineRule="exact"/>
        <w:rPr>
          <w:rFonts w:ascii="Arial" w:cs="Arial" w:eastAsia="Arial" w:hAnsi="Arial"/>
          <w:sz w:val="18"/>
          <w:szCs w:val="18"/>
          <w:color w:val="auto"/>
        </w:rPr>
      </w:pPr>
    </w:p>
    <w:p>
      <w:pPr>
        <w:ind w:right="360" w:firstLine="921"/>
        <w:spacing w:after="0" w:line="268" w:lineRule="auto"/>
        <w:tabs>
          <w:tab w:leader="none" w:pos="12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 of the date of the initial filing of the registration statement referred to in Section 1(a)(i), there were no outstanding personal loans made, directly or indirectly, by the Company to any director or executive officer of the Company.</w:t>
      </w:r>
    </w:p>
    <w:p>
      <w:pPr>
        <w:spacing w:after="0" w:line="131" w:lineRule="exact"/>
        <w:rPr>
          <w:rFonts w:ascii="Arial" w:cs="Arial" w:eastAsia="Arial" w:hAnsi="Arial"/>
          <w:sz w:val="18"/>
          <w:szCs w:val="18"/>
          <w:color w:val="auto"/>
        </w:rPr>
      </w:pPr>
    </w:p>
    <w:p>
      <w:pPr>
        <w:ind w:right="760" w:firstLine="921"/>
        <w:spacing w:after="0" w:line="332" w:lineRule="auto"/>
        <w:tabs>
          <w:tab w:leader="none" w:pos="117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None of the information on (or hyperlinked from) the Company’s website at www.fluidigm.com includes or constitutes a “free writing prospectus” as defined in Rule 405 under the Act and the Company does not maintain or support any website other than www.fluidigm.com.</w:t>
      </w:r>
    </w:p>
    <w:p>
      <w:pPr>
        <w:spacing w:after="0" w:line="85" w:lineRule="exact"/>
        <w:rPr>
          <w:rFonts w:ascii="Arial" w:cs="Arial" w:eastAsia="Arial" w:hAnsi="Arial"/>
          <w:sz w:val="16"/>
          <w:szCs w:val="16"/>
          <w:color w:val="auto"/>
        </w:rPr>
      </w:pPr>
    </w:p>
    <w:p>
      <w:pPr>
        <w:ind w:right="300" w:firstLine="921"/>
        <w:spacing w:after="0" w:line="306" w:lineRule="auto"/>
        <w:tabs>
          <w:tab w:leader="none" w:pos="134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228" w:name="page229"/>
    <w:bookmarkEnd w:id="228"/>
    <w:p>
      <w:pPr>
        <w:ind w:left="-60" w:firstLine="921"/>
        <w:spacing w:after="0" w:line="289" w:lineRule="auto"/>
        <w:tabs>
          <w:tab w:leader="none" w:pos="1189"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any of the Subsidiaries nor any director or officer of the Company nor, to the knowledge of the Company, any agent, employee or affiliate of the Company or any of the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Subsidiaries and their affiliates have conducted their businesses in compliance with the FCPA and have instituted and maintain policies and procedures designed to ensure, and which are reasonably expected to continue to ensure, continued compliance therewith.</w:t>
      </w:r>
    </w:p>
    <w:p>
      <w:pPr>
        <w:spacing w:after="0" w:line="118" w:lineRule="exact"/>
        <w:rPr>
          <w:rFonts w:ascii="Arial" w:cs="Arial" w:eastAsia="Arial" w:hAnsi="Arial"/>
          <w:sz w:val="16"/>
          <w:szCs w:val="16"/>
          <w:color w:val="auto"/>
        </w:rPr>
      </w:pPr>
    </w:p>
    <w:p>
      <w:pPr>
        <w:ind w:left="-60" w:right="20" w:firstLine="921"/>
        <w:spacing w:after="0" w:line="284" w:lineRule="auto"/>
        <w:tabs>
          <w:tab w:leader="none" w:pos="118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General Disclosure Package and the Prospectus, and except as would not, singly or in the aggregate, result in a Material Adverse Effect: (i) neither the Company nor any of the Subsidiaries has received any unresolved FDA Form 483, notice of adverse filing, warning letter, untitled letter or other correspondence or notice from the U.S. Food and Drug Administration (“FDA”), or any other court or arbitrator or federal, state, local or foreign governmental or regulatory authority, alleging or asserting noncompliance with the Federal Food, Drug and Cosmetic Act (21 U.S.C. § 301 et seq.) (the “FFDCA”); (ii) the Company and each of the Subsidiaries is and has been in compliance with applicable health care laws, including without limitation, the FFDCA, the federal Anti-Kickback Statute (42 U.S.C. § 1320a-7b(b)), the civil False Claims Act (31 U.S.C. §§ 3729 et seq.), the administrative False Claims Law (42 U.S.C. § 1320a-7b(a)), the Anti-Inducement Law (42 U.S.C. § 1320a-7a(a)(5)), the Health Insurance Portability and Accountability Act of 1996 (42 U.S.C. § 1320d et seq.), the exclusion laws, Social Security Act § 1128 (42 U.S.C. § 1320a-7), Medicare (Title XVIII of the Social Security Act), Medicaid (Title XIX of the Social Security Act), and the Patient Protection and Affordable Care Act of 2010 (Public Law 111-148), as amended by the Health Care and Education Affordability Reconciliation Act of 2010 (Public Law 111-152), and the regulations promulgated pursuant to such laws, and comparable state laws, and all other local, state, federal, national, supranational and foreign laws, manual provisions, policies and administrative guidance relating to the regulation of the Company (collectively, “Health Care Laws”); (iii) the Company and each of the Subsidiaries possesses all licenses, certificates, approvals, clearances, authorizations, permits and supplements or amendments thereto required by any such Health Care Laws and/or to carry on its businesses as now or proposed to be conducted (“Authorizations”) and such Authorizations are valid and in full force and effect and the Company is not in violation of any term of any such Authorizations; (iv) neither the Company nor any of the Subsidiaries has received notice of any ongoing claim, action, suit, proceeding, hearing, enforcement, investigation, arbitration or other action from any U.S. or non-U.S. federal, state, local or other governmental or regulatory authority, governmental or regulatory agency or body, court, arbitrator or self-regulatory organization (each, a “Governmental Authority”) or third party alleging that any product operation or activity is in violation of any Health Care Laws or Authorizations or has any knowledge that any such Governmental Authority or third party is considering any such claim, litigation, arbitration,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300" w:top="280" w:right="279" w:bottom="1440" w:gutter="0" w:footer="0" w:header="0"/>
        </w:sectPr>
      </w:pPr>
    </w:p>
    <w:bookmarkStart w:id="229" w:name="page230"/>
    <w:bookmarkEnd w:id="229"/>
    <w:p>
      <w:pPr>
        <w:ind w:right="2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 suit, investigation or proceeding; (v) neither the Company nor any of the Subsidiaries has received notice that any Governmental Authority has taken, is taking or intends to take action to limit, suspend, modify or revoke any Authorizations or has any knowledge that any such Governmental Authority is considering such action; (vi) the Company and each of the Subsidiaries has filed, obtained, maintained or submitted all reports, documents, forms, notices, applications, records, claims, submissions and supplements or amendments as required by any Health Care Laws or Authorizations and that all such reports, documents, forms, notices, applications, records, claims, submissions and supplements or amendments were complete, correct and not misleading on the date filed (or were corrected or supplemented by a subsequent submission); and (vii) neither the Company nor any of the Subsidiaries has, either voluntarily or involuntarily, initiated, conducted, or issued or caused to be initiated, conducted or issued, any recall, market withdrawal or replacement, safety alert, post sale warning, “dear doctor” letter, or other notice or action relating to the alleged lack of safety or efficacy of any product or any alleged product defect or violation and, to the Company’s knowledge, no third party has initiated or conducted any such notice or action.</w:t>
      </w:r>
    </w:p>
    <w:p>
      <w:pPr>
        <w:spacing w:after="0" w:line="120" w:lineRule="exact"/>
        <w:rPr>
          <w:sz w:val="20"/>
          <w:szCs w:val="20"/>
          <w:color w:val="auto"/>
        </w:rPr>
      </w:pPr>
    </w:p>
    <w:p>
      <w:pPr>
        <w:ind w:firstLine="921"/>
        <w:spacing w:after="0" w:line="287" w:lineRule="auto"/>
        <w:tabs>
          <w:tab w:leader="none" w:pos="124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the knowledge of the Company, the research, studies and tests conducted by or on behalf of the Company and the Subsidiaries have been and, if still pending, are being conducted with reasonable care and in accordance with experimental protocols, procedures and controls pursuant to all Health Care Laws and Authorizations; the descriptions of the results of such research, studies and tests contained in the Registration Statement, the General Disclosure Package and the Prospectus are accurate and complete and fairly present the data derived from such research, studies, and tests; except to the extent disclosed in the Registration Statement, the General Disclosure Package and the Prospectus, the Company is not aware of any research, studies or tests, the results of which the Company believes reasonably call into question the research, study or test results described or referred to in the Registration Statement, the General Disclosure Package and the Prospectus when viewed in the context in which such results are described; and neither the Company nor any of the Subsidiaries has received any notices or correspondence from any Governmental Authority requiring the termination, suspension or material modification of any research, study or test conducted by or on behalf of the Company or the Subsidiaries, as applicable. To the knowledge of the Company, there have been no adverse episodes or complications resulting from any research, study or test conducted by or on behalf of the Company or the Subsidiaries.</w:t>
      </w:r>
    </w:p>
    <w:p>
      <w:pPr>
        <w:spacing w:after="0" w:line="122" w:lineRule="exact"/>
        <w:rPr>
          <w:rFonts w:ascii="Arial" w:cs="Arial" w:eastAsia="Arial" w:hAnsi="Arial"/>
          <w:sz w:val="16"/>
          <w:szCs w:val="16"/>
          <w:color w:val="auto"/>
        </w:rPr>
      </w:pPr>
    </w:p>
    <w:p>
      <w:pPr>
        <w:ind w:right="60" w:firstLine="921"/>
        <w:spacing w:after="0" w:line="256" w:lineRule="auto"/>
        <w:tabs>
          <w:tab w:leader="none" w:pos="124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the Subsidiaries exists, except as described in the Registration Statement, the General Disclosure Package and the Prospectus, or, to the knowledge of the Company, is imminent; and the Company is not aware of any existing, threatened or imminent labor disturbance by the employees of any of its principal suppliers, manufacturers or contractors that would be reasonably likely to have a Material Adverse Effect.</w:t>
      </w:r>
    </w:p>
    <w:p>
      <w:pPr>
        <w:spacing w:after="0" w:line="143" w:lineRule="exact"/>
        <w:rPr>
          <w:rFonts w:ascii="Arial" w:cs="Arial" w:eastAsia="Arial" w:hAnsi="Arial"/>
          <w:sz w:val="18"/>
          <w:szCs w:val="18"/>
          <w:color w:val="auto"/>
        </w:rPr>
      </w:pPr>
    </w:p>
    <w:p>
      <w:pPr>
        <w:ind w:right="60" w:firstLine="921"/>
        <w:spacing w:after="0" w:line="259" w:lineRule="auto"/>
        <w:tabs>
          <w:tab w:leader="none" w:pos="119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Shares to repay any outstanding debt owed to any affiliate of any Underwriter.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30" w:name="page231"/>
    <w:bookmarkEnd w:id="230"/>
    <w:p>
      <w:pPr>
        <w:jc w:val="both"/>
        <w:ind w:right="220" w:firstLine="921"/>
        <w:spacing w:after="0" w:line="298" w:lineRule="auto"/>
        <w:tabs>
          <w:tab w:leader="none" w:pos="1210" w:val="left"/>
        </w:tabs>
        <w:numPr>
          <w:ilvl w:val="1"/>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disclosed in the Registration Statement, the General Disclosure Package and the Prospectus, the Company has not sold, issued or distributed any shares of Common Stock during the six-month period preceding the date hereof, including any sales pursuant to Rule 144A, Regulation D or Regulation S under the Act, other than shares issued pursuant to employee benefit plans, qualified stock option plans or other employee compensation plans or pursuant to outstanding options, rights or warrants.</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URCHASE</w:t>
      </w:r>
      <w:r>
        <w:rPr>
          <w:rFonts w:ascii="Arial" w:cs="Arial" w:eastAsia="Arial" w:hAnsi="Arial"/>
          <w:sz w:val="18"/>
          <w:szCs w:val="18"/>
          <w:u w:val="single" w:color="auto"/>
          <w:color w:val="auto"/>
        </w:rPr>
        <w:t>, S</w:t>
      </w:r>
      <w:r>
        <w:rPr>
          <w:rFonts w:ascii="Arial" w:cs="Arial" w:eastAsia="Arial" w:hAnsi="Arial"/>
          <w:sz w:val="14"/>
          <w:szCs w:val="14"/>
          <w:u w:val="single" w:color="auto"/>
          <w:color w:val="auto"/>
        </w:rPr>
        <w:t>ALE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ELIVERY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IRM</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On the basis of the representations, warranties and covenants herein contained, and subject to the conditions herein set forth, the Company agrees</w:t>
      </w:r>
    </w:p>
    <w:p>
      <w:pPr>
        <w:spacing w:after="0" w:line="50" w:lineRule="exact"/>
        <w:rPr>
          <w:sz w:val="20"/>
          <w:szCs w:val="20"/>
          <w:color w:val="auto"/>
        </w:rPr>
      </w:pPr>
    </w:p>
    <w:p>
      <w:pPr>
        <w:spacing w:after="0"/>
        <w:tabs>
          <w:tab w:leader="none" w:pos="8000" w:val="left"/>
        </w:tabs>
        <w:rPr>
          <w:sz w:val="20"/>
          <w:szCs w:val="20"/>
          <w:color w:val="auto"/>
        </w:rPr>
      </w:pPr>
      <w:r>
        <w:rPr>
          <w:rFonts w:ascii="Arial" w:cs="Arial" w:eastAsia="Arial" w:hAnsi="Arial"/>
          <w:sz w:val="18"/>
          <w:szCs w:val="18"/>
          <w:color w:val="auto"/>
        </w:rPr>
        <w:t>to sell to the Underwriters and each Underwriter agrees, severally and not jointly, to purchase, at a price of $</w:t>
      </w:r>
      <w:r>
        <w:rPr>
          <w:sz w:val="20"/>
          <w:szCs w:val="20"/>
          <w:color w:val="auto"/>
        </w:rPr>
        <w:tab/>
      </w:r>
      <w:r>
        <w:rPr>
          <w:rFonts w:ascii="Arial" w:cs="Arial" w:eastAsia="Arial" w:hAnsi="Arial"/>
          <w:sz w:val="15"/>
          <w:szCs w:val="15"/>
          <w:color w:val="auto"/>
        </w:rPr>
        <w:t>per share, the number of Firm Shares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4839335</wp:posOffset>
            </wp:positionH>
            <wp:positionV relativeFrom="paragraph">
              <wp:posOffset>-17780</wp:posOffset>
            </wp:positionV>
            <wp:extent cx="2228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opposite the name of each Underwriter in Schedule I hereof, subject to adjustments in accordance with Section 9 hereof.</w:t>
      </w:r>
    </w:p>
    <w:p>
      <w:pPr>
        <w:spacing w:after="0" w:line="165" w:lineRule="exact"/>
        <w:rPr>
          <w:sz w:val="20"/>
          <w:szCs w:val="20"/>
          <w:color w:val="auto"/>
        </w:rPr>
      </w:pPr>
    </w:p>
    <w:p>
      <w:pPr>
        <w:ind w:right="60" w:firstLine="921"/>
        <w:spacing w:after="0" w:line="254"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Payment for the Firm Shares to be sold hereunder is to be made in Federal (same day) funds against delivery of certificates therefor to the Representatives for the several accounts of the Underwriters. Such payment and delivery are to be made through the facilities of The Depository Trust Company, New York, New York at 10:00 a.m., New York time, on the third business day after the date of this Agreement or at such other time and date not later than five business days thereafter as you and the Company shall agree upon, such time and date being herein referred to as the “Closing Date.” (As used herein, “business day” means a day on which the New York Stock Exchange is open for trading and on which banks in New York are open for business and are not permitted by law or executive order to be closed.)</w:t>
      </w:r>
    </w:p>
    <w:p>
      <w:pPr>
        <w:spacing w:after="0" w:line="144" w:lineRule="exact"/>
        <w:rPr>
          <w:rFonts w:ascii="Arial" w:cs="Arial" w:eastAsia="Arial" w:hAnsi="Arial"/>
          <w:sz w:val="18"/>
          <w:szCs w:val="18"/>
          <w:color w:val="auto"/>
        </w:rPr>
      </w:pPr>
    </w:p>
    <w:p>
      <w:pPr>
        <w:ind w:right="40" w:firstLine="921"/>
        <w:spacing w:after="0" w:line="286" w:lineRule="auto"/>
        <w:tabs>
          <w:tab w:leader="none" w:pos="115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addition, on the basis of the representations and warranties herein contained and subject to the terms and conditions herein set forth, the Company hereby grants an option to the several Underwriters to purchase the Option Shares at the price per share as set forth in the first paragraph of this Section 2. The option granted hereby may be exercised in whole or in part by giving written notice (i) at any time before the Closing Date and (ii) only once thereafter within 30 days after the date of this Agreement, by you, as Representatives of the several Underwriters, to the Company setting forth the number of Option Shares as to which the several Underwriters are exercising the option and the time and date at which such certificates are to be delivered. The time and date at which certificates for Option Shares are to be delivered shall be determined by the Representatives but shall not be earlier than three nor later than 10 full business days after the exercise of such option, nor in any event prior to the Closing Date (such time and date being herein referred to as the “Option Closing Date”). If the date of exercise of the option is three or more days before the Closing Date, the notice of exercise shall set the Closing Date as the Option Closing Date. The number of Option Shares to be purchased by each Underwriter shall be in the same proportion to the total number of Option Shares being purchased as the number of Firm Shares being purchased by such Underwriter bears to the total number of Firm Shares, adjusted by you in such manner as to avoid fractional shares. The option with respect to the Option Shares granted hereunder may be exercised only to cover over-allotments in the sale of the Firm Shares by the Underwriters. You, as Representatives of the several Underwriters, may cancel such option at 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31" w:name="page232"/>
    <w:bookmarkEnd w:id="23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prior to its expiration by giving written notice of such cancellation to the Company. To the extent, if any, that the option is exercised, payment for the Option Shares shall be made on the Option Closing Date in Federal (same day funds) through the facilities of The Depository Trust Company in New York, New York drawn to the order of the Company.</w:t>
      </w:r>
    </w:p>
    <w:p>
      <w:pPr>
        <w:spacing w:after="0" w:line="262"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FFERING BY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It is understood that the several Underwriters are to make a public offering of the Firm Shares as soon as the Representatives deem it advisable to do so. The Firm Shares are to be initially offered to the public at the initial public offering price set forth in the Prospectus. The Representatives may from time to time thereafter change the public offering price and other selling terms.</w:t>
      </w:r>
    </w:p>
    <w:p>
      <w:pPr>
        <w:spacing w:after="0" w:line="140"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It is further understood that you will act as the Representatives for the Underwriters in the offering and sale of the Shares in accordance with a Master Agreement Among Underwriters entered into among you and the several other Underwriters.</w:t>
      </w:r>
    </w:p>
    <w:p>
      <w:pPr>
        <w:spacing w:after="0" w:line="254"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OVENANTS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covenants and agrees with the several Underwriters that:</w:t>
      </w:r>
    </w:p>
    <w:p>
      <w:pPr>
        <w:spacing w:after="0" w:line="171" w:lineRule="exact"/>
        <w:rPr>
          <w:sz w:val="20"/>
          <w:szCs w:val="20"/>
          <w:color w:val="auto"/>
        </w:rPr>
      </w:pPr>
    </w:p>
    <w:p>
      <w:pPr>
        <w:ind w:right="140" w:firstLine="921"/>
        <w:spacing w:after="0" w:line="294" w:lineRule="auto"/>
        <w:tabs>
          <w:tab w:leader="none" w:pos="115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Company will (A) prepare and timely file with the Commission under Rule 424(b) under the Act a Prospectus in a form approved by the Representatives containing information previously omitted at the time of effectiveness of the Registration Statement in reliance on Rules 430A, 430B or 430C under the Act and (B) not file any amendment to the Registration Statement or distribute an amendment or supplement to the General Disclosure Package or the Prospectus of which the Representatives shall not previously have been advised and furnished with a copy or to which the Representatives shall have reasonably objected in writing or which is not in compliance with the Rules and Regulations.</w:t>
      </w:r>
    </w:p>
    <w:p>
      <w:pPr>
        <w:spacing w:after="0" w:line="115" w:lineRule="exact"/>
        <w:rPr>
          <w:rFonts w:ascii="Arial" w:cs="Arial" w:eastAsia="Arial" w:hAnsi="Arial"/>
          <w:sz w:val="16"/>
          <w:szCs w:val="16"/>
          <w:color w:val="auto"/>
        </w:rPr>
      </w:pPr>
    </w:p>
    <w:p>
      <w:pPr>
        <w:ind w:firstLine="921"/>
        <w:spacing w:after="0" w:line="288" w:lineRule="auto"/>
        <w:tabs>
          <w:tab w:leader="none" w:pos="116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Company will (i) not make any offer relating to the Shares that would constitute an Issuer Free Writing Prospectus or that would otherwise constitute a “free writing prospectus” (as defined in Rule 405 under the Act) required to be filed by the Company with the Commission under Rule 433 under the Act unless the Representatives approve its use in writing prior to first use (each, a “Permitted Free Writing Prospectus”); provided that the prior written consent of the Representatives hereto shall be deemed to have been given in respect of the Issuer Free Writing Prospectus(es) included in Schedule III hereto, (ii) treat each Permitted Free Writing Prospectus as an Issuer Free Writing Prospectus, (iii) comply with the requirements of Rules 164 and 433 under the Act applicable to any Issuer Free Writing Prospectus, including the requirements relating to timely filing with the Commission, legending and record keeping and (iv) not take any action that would result in an Underwriter or the Company being required to file with the Commission pursuant to Rule 433(d) under the Act a free writing prospectus prepared by or on behalf of such Underwriter that such Underwriter otherwise would not have been required to file thereunder. The Company will satisfy the conditions in Rule 433 under the Act to avoid a requirement to file with the Commission any electronic road show.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2" w:name="page233"/>
    <w:bookmarkEnd w:id="232"/>
    <w:p>
      <w:pPr>
        <w:ind w:left="-40" w:firstLine="921"/>
        <w:spacing w:after="0" w:line="291" w:lineRule="auto"/>
        <w:tabs>
          <w:tab w:leader="none" w:pos="1112" w:val="left"/>
        </w:tabs>
        <w:numPr>
          <w:ilvl w:val="0"/>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advise the Representatives promptly (A) when the Registration Statement or any post-effective amendment thereto shall have become effective, (B) of receipt of any comments from the Commission, (C) of any request of the Commission for amendment of the Registration Statement or for supplement to the General Disclosure Package or the Prospectus or for any additional information, and (D) of the issuance by the Commission of any stop order suspending the effectiveness of the Registration Statement or any order preventing or suspending the use of any Preliminary Prospectus, any Issuer Free Writing Prospectus or the Prospectus, or of the institution of any proceedings for that purpose or pursuant to Section 8A of the Act. The Company will use its best efforts to prevent the issuance of any such order and to obtain as soon as possible the lifting thereof, if issued.</w:t>
      </w:r>
    </w:p>
    <w:p>
      <w:pPr>
        <w:spacing w:after="0" w:line="120" w:lineRule="exact"/>
        <w:rPr>
          <w:rFonts w:ascii="Arial" w:cs="Arial" w:eastAsia="Arial" w:hAnsi="Arial"/>
          <w:sz w:val="16"/>
          <w:szCs w:val="16"/>
          <w:color w:val="auto"/>
        </w:rPr>
      </w:pPr>
    </w:p>
    <w:p>
      <w:pPr>
        <w:ind w:left="-40" w:right="20" w:firstLine="921"/>
        <w:spacing w:after="0" w:line="254" w:lineRule="auto"/>
        <w:tabs>
          <w:tab w:leader="none" w:pos="112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will cooperate with the Representatives in endeavoring to qualify the Shares for sale under the securities laws of such jurisdictions as the Representatives may reasonably have designated in writing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Representatives may reasonably request for distribution of the Shares.</w:t>
      </w:r>
    </w:p>
    <w:p>
      <w:pPr>
        <w:spacing w:after="0" w:line="144" w:lineRule="exact"/>
        <w:rPr>
          <w:rFonts w:ascii="Arial" w:cs="Arial" w:eastAsia="Arial" w:hAnsi="Arial"/>
          <w:sz w:val="18"/>
          <w:szCs w:val="18"/>
          <w:color w:val="auto"/>
        </w:rPr>
      </w:pPr>
    </w:p>
    <w:p>
      <w:pPr>
        <w:ind w:left="-40" w:right="60" w:firstLine="921"/>
        <w:spacing w:after="0" w:line="289" w:lineRule="auto"/>
        <w:tabs>
          <w:tab w:leader="none" w:pos="111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will deliver to, or upon the order of, the Representatives, from time to time, as many copies of any Preliminary Prospectus as the Representatives may reasonably request. The Company will deliver to, or upon the order of, the Representatives, from time to time, as many copies of any Issuer Free Writing Prospectus as the Representatives may reasonably request. The Company will deliver to, or upon the order of, the Representatives during the period when delivery of a Prospectus (or, in lieu thereof, the notice referred to under Rule 173(a) under the Act) is required under the Act, as many copies of the Prospectus in final form, or as thereafter amended or supplemented, as the Representatives may reasonably request. The Company will deliver to the Representatives at or before the Closing Date, four signed copies of the Registration Statement and all amendments thereto including all exhibits filed therewith, and will deliver to the Representatives such number of copies of the Registration Statement (including such number of copies of the exhibits filed therewith that may reasonably be requested), and of all amendments thereto, as the Representatives may reasonably request.</w:t>
      </w:r>
    </w:p>
    <w:p>
      <w:pPr>
        <w:spacing w:after="0" w:line="118" w:lineRule="exact"/>
        <w:rPr>
          <w:rFonts w:ascii="Arial" w:cs="Arial" w:eastAsia="Arial" w:hAnsi="Arial"/>
          <w:sz w:val="16"/>
          <w:szCs w:val="16"/>
          <w:color w:val="auto"/>
        </w:rPr>
      </w:pPr>
    </w:p>
    <w:p>
      <w:pPr>
        <w:ind w:left="-40" w:right="100" w:firstLine="921"/>
        <w:spacing w:after="0" w:line="291" w:lineRule="auto"/>
        <w:tabs>
          <w:tab w:leader="none" w:pos="109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and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Act) is required by law to be delivered by an Underwriter or dealer, any event shall occur as a result of which, in the judgment of the Company or in the reasonable opinion of the Underwriters, it becomes necessary to amend or supplement the Prospectus in order to make the statements therein, in the light of the circumstances existing at the time the Prospectus is delivered to a purchaser, not misleading, or, if it is necessary at any time to amend or supplement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233" w:name="page234"/>
    <w:bookmarkEnd w:id="23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to comply with any law, the Company promptly will prepare and file with the Commission an appropriate amendment to the Registration Statement or supplement to the Prospectus so that the Prospectus as so amended or supplemented will not, in the light of the circumstances when it is so delivered, be misleading, or so that the Prospectus will comply with the law.</w:t>
      </w:r>
    </w:p>
    <w:p>
      <w:pPr>
        <w:spacing w:after="0" w:line="140" w:lineRule="exact"/>
        <w:rPr>
          <w:sz w:val="20"/>
          <w:szCs w:val="20"/>
          <w:color w:val="auto"/>
        </w:rPr>
      </w:pPr>
    </w:p>
    <w:p>
      <w:pPr>
        <w:ind w:firstLine="921"/>
        <w:spacing w:after="0" w:line="289" w:lineRule="auto"/>
        <w:tabs>
          <w:tab w:leader="none" w:pos="116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General Disclosure Package is being used to solicit offers to buy the Shares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prepare, file with the Commission (if required) and furnish to the Underwriters and any dealers an appropriate amendment or supplement to the General Disclosure Package so that the General Disclosure Package as so amended or supplemented will not, in the light of the circumstances, be misleading or conflict with the Registration Statement then on file, or so that the General Disclosure Package will comply with law.</w:t>
      </w:r>
    </w:p>
    <w:p>
      <w:pPr>
        <w:spacing w:after="0" w:line="118" w:lineRule="exact"/>
        <w:rPr>
          <w:rFonts w:ascii="Arial" w:cs="Arial" w:eastAsia="Arial" w:hAnsi="Arial"/>
          <w:sz w:val="16"/>
          <w:szCs w:val="16"/>
          <w:color w:val="auto"/>
        </w:rPr>
      </w:pPr>
    </w:p>
    <w:p>
      <w:pPr>
        <w:ind w:right="80" w:firstLine="921"/>
        <w:spacing w:after="0" w:line="298" w:lineRule="auto"/>
        <w:tabs>
          <w:tab w:leader="none" w:pos="116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will make generally available to its security holders, as soon as it is practicable to do so, but in any event not later than 15 months after the effective date of the Registration Statement, an earnings statement (which need not be audited) in reasonable detail, covering a period of at least 12 consecutive months beginning after the effective date of the Registration Statement, which earnings statement shall satisfy the requirements of Section 11(a) of the Act and Rule 158 under the Act and will advise you in writing when such statement has been so made available.</w:t>
      </w:r>
    </w:p>
    <w:p>
      <w:pPr>
        <w:spacing w:after="0" w:line="112" w:lineRule="exact"/>
        <w:rPr>
          <w:rFonts w:ascii="Arial" w:cs="Arial" w:eastAsia="Arial" w:hAnsi="Arial"/>
          <w:sz w:val="16"/>
          <w:szCs w:val="16"/>
          <w:color w:val="auto"/>
        </w:rPr>
      </w:pPr>
    </w:p>
    <w:p>
      <w:pPr>
        <w:jc w:val="both"/>
        <w:ind w:right="180" w:firstLine="921"/>
        <w:spacing w:after="0" w:line="256" w:lineRule="auto"/>
        <w:tabs>
          <w:tab w:leader="none" w:pos="112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prior to the Closing Date, any unaudited interim financial statements of the Company for any period subsequent to the period covered by the most recent financial statements appearing in the Registration Statement, the General Disclosure Package and the Prospectus are prepared by or available to the Company, the Company will furnish a copy of such unaudited interim financial statements of the Company to the Underwriters as soon as they have been so prepared or made available.</w:t>
      </w:r>
    </w:p>
    <w:p>
      <w:pPr>
        <w:spacing w:after="0" w:line="143" w:lineRule="exact"/>
        <w:rPr>
          <w:rFonts w:ascii="Arial" w:cs="Arial" w:eastAsia="Arial" w:hAnsi="Arial"/>
          <w:sz w:val="18"/>
          <w:szCs w:val="18"/>
          <w:color w:val="auto"/>
        </w:rPr>
      </w:pPr>
    </w:p>
    <w:p>
      <w:pPr>
        <w:ind w:right="80" w:firstLine="921"/>
        <w:spacing w:after="0" w:line="306" w:lineRule="auto"/>
        <w:tabs>
          <w:tab w:leader="none" w:pos="112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 offering, sale, short sale or other disposition of any shares of Common Stock of the Company or other securities convertible into or exchangeable or exercisable for shares of Common Stock or derivative of Common Stock (or agreement for such) will be made for a period of 180 days after the date of the Prospectus, directly or indirectly, by the Company otherwise than hereunder or with the prior written consent of the Representatives.</w:t>
      </w:r>
    </w:p>
    <w:p>
      <w:pPr>
        <w:spacing w:after="0" w:line="10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restrictions contained in the preceding paragraph shall not apply to (a) the sale and issuance of the Shares to be sold hereunder; (b) the issuance of Common Stock upon conversion of outstanding Preferred Stock as disclosed in the Prospectus; (c) the issuance of Shares of Common Stock upon exercise of outstanding warrants, or other derivative securities disclosed in the Prospectus; (d) the issuance of shares of, or options to purchase shares of, Common Stock to</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34" w:name="page235"/>
    <w:bookmarkEnd w:id="234"/>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employees, officers, directors, advisors or consultants of the Company pursuant to employee benefit plans disclosed in the Prospectus; or (e) the filing of a registration statement on Form S-8 for the registration of shares of Common Stock issued pursuant to employee benefit plans disclosed in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issuance pursuant to clause (b), (c) or (d) of this paragraph, the Company shall cause each recipient of such shares or options to execute and deliver to you a letter or letters, substantially in the form attached hereto as Exhibit A (the “Lockup Agreement”).</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Notwithstanding the foregoing, if (1) during the last 17 days of the 180-day restricted period, the Company issues an earnings release or material news or a material event relating to the Company occurs; or (2) prior to the expiration of the 180-day restricted period, the Company announces that it will release earnings results during the 16-day period following the last day of the 180-day restricted period, then in each case the restrictions imposed by this Agreement shall continue to apply until the expiration of the 18-day period beginning on the date of the release of the earnings results or the occurrence of material news or a material event relating to the Company, as the case may be, unless the Representatives waive, in writing, such extension. The Company shall promptly notify the Representatives of any earnings release, news or event that may give rise to an extension of the initial 180-day restricted period.</w:t>
      </w:r>
    </w:p>
    <w:p>
      <w:pPr>
        <w:spacing w:after="0" w:line="120" w:lineRule="exact"/>
        <w:rPr>
          <w:sz w:val="20"/>
          <w:szCs w:val="20"/>
          <w:color w:val="auto"/>
        </w:rPr>
      </w:pPr>
    </w:p>
    <w:p>
      <w:pPr>
        <w:ind w:left="1160" w:hanging="239"/>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will use its best efforts to list the Shares for quotation on the Nasdaq Global Market.</w:t>
      </w:r>
    </w:p>
    <w:p>
      <w:pPr>
        <w:spacing w:after="0" w:line="171" w:lineRule="exact"/>
        <w:rPr>
          <w:rFonts w:ascii="Arial" w:cs="Arial" w:eastAsia="Arial" w:hAnsi="Arial"/>
          <w:sz w:val="18"/>
          <w:szCs w:val="18"/>
          <w:color w:val="auto"/>
        </w:rPr>
      </w:pPr>
    </w:p>
    <w:p>
      <w:pPr>
        <w:ind w:right="480" w:firstLine="921"/>
        <w:spacing w:after="0" w:line="268" w:lineRule="auto"/>
        <w:tabs>
          <w:tab w:leader="none" w:pos="112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has caused each officer, director and stockholder of the Company to execute and deliver to you, on or prior to the date of this agreement, a letter or letters, substantially in the form of the Lockup Agreement.</w:t>
      </w:r>
    </w:p>
    <w:p>
      <w:pPr>
        <w:spacing w:after="0" w:line="131" w:lineRule="exact"/>
        <w:rPr>
          <w:rFonts w:ascii="Arial" w:cs="Arial" w:eastAsia="Arial" w:hAnsi="Arial"/>
          <w:sz w:val="18"/>
          <w:szCs w:val="18"/>
          <w:color w:val="auto"/>
        </w:rPr>
      </w:pPr>
    </w:p>
    <w:p>
      <w:pPr>
        <w:ind w:firstLine="921"/>
        <w:spacing w:after="0" w:line="259" w:lineRule="auto"/>
        <w:tabs>
          <w:tab w:leader="none" w:pos="121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shall apply the net proceeds of its sale of the Shares as set forth in the Registration Statement, the General Disclosure Package and the Prospectus and shall file such reports with the Commission with respect to the sale of the Shares and the application of the proceeds therefrom as may be required in accordance with Rule 463 under the Act.</w:t>
      </w:r>
    </w:p>
    <w:p>
      <w:pPr>
        <w:spacing w:after="0" w:line="140" w:lineRule="exact"/>
        <w:rPr>
          <w:rFonts w:ascii="Arial" w:cs="Arial" w:eastAsia="Arial" w:hAnsi="Arial"/>
          <w:sz w:val="18"/>
          <w:szCs w:val="18"/>
          <w:color w:val="auto"/>
        </w:rPr>
      </w:pPr>
    </w:p>
    <w:p>
      <w:pPr>
        <w:ind w:right="360" w:firstLine="921"/>
        <w:spacing w:after="0" w:line="268" w:lineRule="auto"/>
        <w:tabs>
          <w:tab w:leader="none" w:pos="116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 will maintain a transfer agent and, if necessary under the jurisdiction of incorporation of the Company, a registrar for the Common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64" w:lineRule="exact"/>
        <w:rPr>
          <w:rFonts w:ascii="Arial" w:cs="Arial" w:eastAsia="Arial" w:hAnsi="Arial"/>
          <w:sz w:val="16"/>
          <w:szCs w:val="16"/>
          <w:color w:val="auto"/>
        </w:rPr>
      </w:pPr>
    </w:p>
    <w:p>
      <w:pPr>
        <w:ind w:right="620" w:firstLine="921"/>
        <w:spacing w:after="0" w:line="268" w:lineRule="auto"/>
        <w:tabs>
          <w:tab w:leader="none" w:pos="116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254" w:lineRule="exact"/>
        <w:rPr>
          <w:sz w:val="20"/>
          <w:szCs w:val="20"/>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OSTS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XPENSES</w:t>
      </w:r>
      <w:r>
        <w:rPr>
          <w:rFonts w:ascii="Arial" w:cs="Arial" w:eastAsia="Arial" w:hAnsi="Arial"/>
          <w:sz w:val="18"/>
          <w:szCs w:val="18"/>
          <w:color w:val="auto"/>
        </w:rPr>
        <w:t>.</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The Company will pay all costs, expenses and fees incident to the performance of the obligations of the Company under this Agreement, including, without limiting the generality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35" w:name="page236"/>
    <w:bookmarkEnd w:id="235"/>
    <w:p>
      <w:pPr>
        <w:ind w:right="2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the following: accounting fees of the Company; the fees and disbursements of counsel for the Company; any roadshow expenses (other than the cost of any aircraft chartered for flights within the United States in connection with the roadshow, which cost shall be borne fifty percent (50%) by the Company, on the one hand, and fifty percent (50%) by the Underwriters, on the other hand); the cost of printing and delivering to, or as requested by, the Underwriters copies of the Registration Statement, the Preliminary Prospectuses, the Issuer Free Writing Prospectuses, the Prospectus, this Agreement, the Listing Application, the Blue Sky Survey and any supplements or amendments thereto; the filing fees of the Commission; the filing fees and expenses (including the reasonable fees and disbursements of counsel for the Underwriters) incident to securing any required review by FINRA of the terms of the sale of the Shares; the Listing Fee of the Nasdaq Global Market; the costs and expenses (including without limitation any damages or other amounts payable in connection with legal or contractual liability) associated with the reforming of any contracts for sale of the Shares made by the Underwriters caused by a breach of the representation in Section 1(b) hereof); and the expenses, including the reasonable fees and disbursements of counsel for the Underwriters, incurred in connection with the qualification of the Shares under State securities or Blue Sky laws. The Company shall not, however, be required to pay for any of the Underwriter’s expenses (other than those related to qualification under FINRA regulation and State securities or Blue Sky laws) except that, if this Agreement shall not be consummated because the conditions in Section 6 hereof are not satisfied, or because this Agreement is terminated by the Representatives pursuant to Section 11(a)(i), (vi) or (vii)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the default or omission of any Underwriter, the Company shall reimburse the several Underwriters for reasonable out-of-pocket expenses, including fees and disbursements of counsel, reasonably incurred in connection with investigating, marketing and proposing to market the Shares or in contemplation of performing their obligations hereunder; but the Company shall not in any event be liable to any of the several Underwriters for damages on account of loss of anticipated profits from the sale by them of the Shares.</w:t>
      </w:r>
    </w:p>
    <w:p>
      <w:pPr>
        <w:spacing w:after="0" w:line="200" w:lineRule="exact"/>
        <w:rPr>
          <w:sz w:val="20"/>
          <w:szCs w:val="20"/>
          <w:color w:val="auto"/>
        </w:rPr>
      </w:pPr>
    </w:p>
    <w:p>
      <w:pPr>
        <w:spacing w:after="0" w:line="250"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The several obligations of the Underwriters to purchase the Firm Shares on the Closing Date and the Option Shares, if any, on the Option Closing Date are subject to the accuracy, as of the Applicable Time, the Closing Date or the Option Closing Date, as the case may be, of the representations and warranties of the Company contained herein, and to the performance by the Company of its covenants and obligations hereunder and to the following additional conditions:</w:t>
      </w:r>
    </w:p>
    <w:p>
      <w:pPr>
        <w:spacing w:after="0" w:line="88" w:lineRule="exact"/>
        <w:rPr>
          <w:sz w:val="20"/>
          <w:szCs w:val="20"/>
          <w:color w:val="auto"/>
        </w:rPr>
      </w:pPr>
    </w:p>
    <w:p>
      <w:pPr>
        <w:ind w:right="60" w:firstLine="921"/>
        <w:spacing w:after="0" w:line="254" w:lineRule="auto"/>
        <w:tabs>
          <w:tab w:leader="none" w:pos="11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Registration Statement and all post-effective amendments thereto shall have become effective and the Prospectus and each Issuer Free Writing Prospectus required shall have been filed as required by Rules 424, 430A, 430B, 430C or 433 under the Act, as applicable, within the time period prescribed by, and in compliance with, the Rules and Regulations, and any request of the Commission for additional information (to be included in the Registration Statement or otherwise) shall have been disclosed to the Representatives and complied with to their reasonable satisfaction. No stop order suspending the effectiveness of the Registration Statement, as amended from time to time, shall have been issued and no proceedings for that purpose or pursuant to Section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36" w:name="page237"/>
    <w:bookmarkEnd w:id="236"/>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8A under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140" w:lineRule="exact"/>
        <w:rPr>
          <w:sz w:val="20"/>
          <w:szCs w:val="20"/>
          <w:color w:val="auto"/>
        </w:rPr>
      </w:pPr>
    </w:p>
    <w:p>
      <w:pPr>
        <w:ind w:right="100" w:firstLine="921"/>
        <w:spacing w:after="0" w:line="259" w:lineRule="auto"/>
        <w:tabs>
          <w:tab w:leader="none" w:pos="116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or the Option Closing Date, as the case may be, the opinion of Wilson Sonsini Goodrich &amp; Rosati, P.C., counsel for the Company, dated the Closing Date or the Option Closing Date, as the case may be, in the form attached hereto as Exhibit B.</w:t>
      </w:r>
    </w:p>
    <w:p>
      <w:pPr>
        <w:spacing w:after="0" w:line="140" w:lineRule="exact"/>
        <w:rPr>
          <w:rFonts w:ascii="Arial" w:cs="Arial" w:eastAsia="Arial" w:hAnsi="Arial"/>
          <w:sz w:val="18"/>
          <w:szCs w:val="18"/>
          <w:color w:val="auto"/>
        </w:rPr>
      </w:pPr>
    </w:p>
    <w:p>
      <w:pPr>
        <w:ind w:right="140" w:firstLine="921"/>
        <w:spacing w:after="0" w:line="259" w:lineRule="auto"/>
        <w:tabs>
          <w:tab w:leader="none" w:pos="115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or the Option Closing Date, as the case may be, the opinion of Kilpatrick Townsend &amp; Stockton LLP, outside intellectual property counsel for the Company, dated the Closing Date or the Option Closing Date, as the case may be, in the form attached hereto as Exhibit C.</w:t>
      </w:r>
    </w:p>
    <w:p>
      <w:pPr>
        <w:spacing w:after="0" w:line="140" w:lineRule="exact"/>
        <w:rPr>
          <w:rFonts w:ascii="Arial" w:cs="Arial" w:eastAsia="Arial" w:hAnsi="Arial"/>
          <w:sz w:val="18"/>
          <w:szCs w:val="18"/>
          <w:color w:val="auto"/>
        </w:rPr>
      </w:pPr>
    </w:p>
    <w:p>
      <w:pPr>
        <w:ind w:right="300" w:firstLine="921"/>
        <w:spacing w:after="0" w:line="332" w:lineRule="auto"/>
        <w:tabs>
          <w:tab w:leader="none" w:pos="116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Representatives shall have received from Latham &amp; Watkins LLP, counsel for the Underwriters, an opinion and negative assurance letter, each dated the Closing Date or the Option Closing Date, as the case may be, in a form satisfactory to the Representatives.</w:t>
      </w:r>
    </w:p>
    <w:p>
      <w:pPr>
        <w:spacing w:after="0" w:line="85" w:lineRule="exact"/>
        <w:rPr>
          <w:rFonts w:ascii="Arial" w:cs="Arial" w:eastAsia="Arial" w:hAnsi="Arial"/>
          <w:sz w:val="16"/>
          <w:szCs w:val="16"/>
          <w:color w:val="auto"/>
        </w:rPr>
      </w:pPr>
    </w:p>
    <w:p>
      <w:pPr>
        <w:ind w:right="100" w:firstLine="921"/>
        <w:spacing w:after="0" w:line="306" w:lineRule="auto"/>
        <w:tabs>
          <w:tab w:leader="none" w:pos="115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Representatives shall have received at or prior to the Closing Date from Latham &amp; Watkins LLP a memorandum or summary, in form and substance satisfactory to the Representatives, with respect to the qualification for offering and sale by the Underwriters of the Shares under the State securities or Blue Sky laws of such jurisdictions as the Representatives may reasonably have designated to the Company.</w:t>
      </w:r>
    </w:p>
    <w:p>
      <w:pPr>
        <w:spacing w:after="0" w:line="106" w:lineRule="exact"/>
        <w:rPr>
          <w:rFonts w:ascii="Arial" w:cs="Arial" w:eastAsia="Arial" w:hAnsi="Arial"/>
          <w:sz w:val="16"/>
          <w:szCs w:val="16"/>
          <w:color w:val="auto"/>
        </w:rPr>
      </w:pPr>
    </w:p>
    <w:p>
      <w:pPr>
        <w:ind w:firstLine="921"/>
        <w:spacing w:after="0" w:line="289" w:lineRule="auto"/>
        <w:tabs>
          <w:tab w:leader="none" w:pos="113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Representatives shall have received, on each of the date hereof, the Closing Date and, if applicable, the Option Closing Date, a letter dated the date hereof, the Closing Date or the Option Closing Date, as the case may be, in form and substance satisfactory to you, of Ernst &amp; Young LLP confirming that they are an independent registered public accounting firm with respect to the Company and the Subsidiaries within the meaning of the Act and the applicable Rules and Regulations and the PCAOB and stating that in their opinion the financial statements and schedules examined by them and included in the Registration Statement, the General Disclosure Package and the Prospectus comply in form in all material respects with the applicable accounting requirements of the Act and the related Rules and Regulations; and containing such other statements and information as is ordinarily included in accountants’ “comfort letters” to underwriters with respect to the financial statements and certain financial and statistical information contained in the Registration Statement, the General Disclosure Package and the Prospectus.</w:t>
      </w:r>
    </w:p>
    <w:p>
      <w:pPr>
        <w:spacing w:after="0" w:line="118" w:lineRule="exact"/>
        <w:rPr>
          <w:rFonts w:ascii="Arial" w:cs="Arial" w:eastAsia="Arial" w:hAnsi="Arial"/>
          <w:sz w:val="16"/>
          <w:szCs w:val="16"/>
          <w:color w:val="auto"/>
        </w:rPr>
      </w:pPr>
    </w:p>
    <w:p>
      <w:pPr>
        <w:ind w:right="40" w:firstLine="921"/>
        <w:spacing w:after="0" w:line="259" w:lineRule="auto"/>
        <w:tabs>
          <w:tab w:leader="none" w:pos="116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and, if applicable, the Option Closing Date, as the case may be, a certificate or certificates of the Chief Executive Officer and the Chief Financial Officer of the Company to the effect that, as of the Closing Date or the Option Closing Date, as the case may be, each of them severally represents as follows:</w:t>
      </w:r>
    </w:p>
    <w:p>
      <w:pPr>
        <w:spacing w:after="0" w:line="140" w:lineRule="exact"/>
        <w:rPr>
          <w:sz w:val="20"/>
          <w:szCs w:val="20"/>
          <w:color w:val="auto"/>
        </w:rPr>
      </w:pPr>
    </w:p>
    <w:p>
      <w:pPr>
        <w:ind w:right="600" w:firstLine="1492"/>
        <w:spacing w:after="0" w:line="268" w:lineRule="auto"/>
        <w:tabs>
          <w:tab w:leader="none" w:pos="169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and no stop order suspending the effectiveness of the Registration Statement or no order preventing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37" w:name="page238"/>
    <w:bookmarkEnd w:id="237"/>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suspending the use of any Preliminary Prospectus, any Issuer Free Writing Prospectus or the Prospectus has been issued, and no proceedings for such purpose or pursuant to Section 8A of the Act have been taken or are, to his or her knowledge, contemplated or threatened by the Commission;</w:t>
      </w:r>
    </w:p>
    <w:p>
      <w:pPr>
        <w:spacing w:after="0" w:line="85" w:lineRule="exact"/>
        <w:rPr>
          <w:sz w:val="20"/>
          <w:szCs w:val="20"/>
          <w:color w:val="auto"/>
        </w:rPr>
      </w:pPr>
    </w:p>
    <w:p>
      <w:pPr>
        <w:ind w:right="440" w:firstLine="1492"/>
        <w:spacing w:after="0" w:line="268" w:lineRule="auto"/>
        <w:tabs>
          <w:tab w:leader="none" w:pos="174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Section 1 hereof are true and correct as of the Closing Date or the Option Closing Date, as the case may be;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All filings required to have been made pursuant to Rules 424, 430A, 430B or 430C under the Act have been made as and when required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by such rules.</w:t>
      </w:r>
    </w:p>
    <w:p>
      <w:pPr>
        <w:spacing w:after="0" w:line="164" w:lineRule="exact"/>
        <w:rPr>
          <w:rFonts w:ascii="Arial" w:cs="Arial" w:eastAsia="Arial" w:hAnsi="Arial"/>
          <w:sz w:val="15"/>
          <w:szCs w:val="15"/>
          <w:color w:val="auto"/>
        </w:rPr>
      </w:pPr>
    </w:p>
    <w:p>
      <w:pPr>
        <w:ind w:firstLine="1492"/>
        <w:spacing w:after="0" w:line="294" w:lineRule="auto"/>
        <w:tabs>
          <w:tab w:leader="none" w:pos="178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He or she has carefully examined the General Disclosure Package and any individual Limited Use Free Writing Prospectus and, in his or her opinion, as of the Applicable Time, the statements contained in the General Disclosure Package and any individual Limited Use Free Writing Prospectus did not contain any untrue statement of a material fact, and such General Disclosure Package and any individual Limited Use Free Writing Prospectus, when considered together with the General Disclosure Package, did not omit to state a material fact necessary in order to make the statements therein, in the light of the circumstances under which they were made, not misleading;</w:t>
      </w:r>
    </w:p>
    <w:p>
      <w:pPr>
        <w:spacing w:after="0" w:line="115" w:lineRule="exact"/>
        <w:rPr>
          <w:rFonts w:ascii="Arial" w:cs="Arial" w:eastAsia="Arial" w:hAnsi="Arial"/>
          <w:sz w:val="16"/>
          <w:szCs w:val="16"/>
          <w:color w:val="auto"/>
        </w:rPr>
      </w:pPr>
    </w:p>
    <w:p>
      <w:pPr>
        <w:ind w:right="20" w:firstLine="1492"/>
        <w:spacing w:after="0" w:line="298" w:lineRule="auto"/>
        <w:tabs>
          <w:tab w:leader="none" w:pos="173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He or she has carefully examined the Registration Statement and, in his or her opinion, as of the effective date of the Registration Statement, the Registration Statement and any amendments thereto did not contain any untrue statement of a material fact and did not omit to state a material fact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w:t>
      </w:r>
    </w:p>
    <w:p>
      <w:pPr>
        <w:spacing w:after="0" w:line="112" w:lineRule="exact"/>
        <w:rPr>
          <w:rFonts w:ascii="Arial" w:cs="Arial" w:eastAsia="Arial" w:hAnsi="Arial"/>
          <w:sz w:val="16"/>
          <w:szCs w:val="16"/>
          <w:color w:val="auto"/>
        </w:rPr>
      </w:pPr>
    </w:p>
    <w:p>
      <w:pPr>
        <w:ind w:right="40" w:firstLine="1492"/>
        <w:spacing w:after="0" w:line="335" w:lineRule="auto"/>
        <w:tabs>
          <w:tab w:leader="none" w:pos="1781" w:val="left"/>
        </w:tabs>
        <w:numPr>
          <w:ilvl w:val="0"/>
          <w:numId w:val="154"/>
        </w:numPr>
        <w:rPr>
          <w:rFonts w:ascii="Arial" w:cs="Arial" w:eastAsia="Arial" w:hAnsi="Arial"/>
          <w:sz w:val="15"/>
          <w:szCs w:val="15"/>
          <w:color w:val="auto"/>
        </w:rPr>
      </w:pPr>
      <w:r>
        <w:rPr>
          <w:rFonts w:ascii="Arial" w:cs="Arial" w:eastAsia="Arial" w:hAnsi="Arial"/>
          <w:sz w:val="15"/>
          <w:szCs w:val="15"/>
          <w:color w:val="auto"/>
        </w:rPr>
        <w:t>He or she has carefully examined the Prospectus and, in his or her opinion, as of its date and the Closing Date or the Option Closing Date, as the case may be, the Prospectus and any amendments and supplements thereto did not contain any untrue statement of a material fact and did not omit to state a material fact necessary in order to make the statements therein, in the light of the circumstances under which they were made, not misleading; and</w:t>
      </w:r>
    </w:p>
    <w:p>
      <w:pPr>
        <w:spacing w:after="0" w:line="88" w:lineRule="exact"/>
        <w:rPr>
          <w:rFonts w:ascii="Arial" w:cs="Arial" w:eastAsia="Arial" w:hAnsi="Arial"/>
          <w:sz w:val="15"/>
          <w:szCs w:val="15"/>
          <w:color w:val="auto"/>
        </w:rPr>
      </w:pPr>
    </w:p>
    <w:p>
      <w:pPr>
        <w:ind w:right="40" w:firstLine="1492"/>
        <w:spacing w:after="0" w:line="256" w:lineRule="auto"/>
        <w:tabs>
          <w:tab w:leader="none" w:pos="183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the General Disclosure Package and Prospectus, there has not been any material adverse change or any development involving a prospective material adverse change in or affecting the business, management, properties, assets, rights, operations, condition (financial or otherwise) or prospects of the Company and the Subsidiaries taken as a whole, whether or not arising in the ordinary course of business.</w:t>
      </w:r>
    </w:p>
    <w:p>
      <w:pPr>
        <w:spacing w:after="0" w:line="143" w:lineRule="exact"/>
        <w:rPr>
          <w:sz w:val="20"/>
          <w:szCs w:val="20"/>
          <w:color w:val="auto"/>
        </w:rPr>
      </w:pPr>
    </w:p>
    <w:p>
      <w:pPr>
        <w:ind w:right="40" w:firstLine="921"/>
        <w:spacing w:after="0" w:line="332" w:lineRule="auto"/>
        <w:tabs>
          <w:tab w:leader="none" w:pos="116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such further certificates and documents confirming the representations and warranties, covenants and conditions contained herein and related matters as the Representatives may reasonably have requested.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38" w:name="page239"/>
    <w:bookmarkEnd w:id="238"/>
    <w:p>
      <w:pPr>
        <w:ind w:left="1140" w:hanging="219"/>
        <w:spacing w:after="0"/>
        <w:tabs>
          <w:tab w:leader="none" w:pos="11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Firm Shares and Option Shares, if any, have been approved for quotation upon notice of issuance on the Nasdaq Global Market.</w:t>
      </w:r>
    </w:p>
    <w:p>
      <w:pPr>
        <w:spacing w:after="0" w:line="194" w:lineRule="exact"/>
        <w:rPr>
          <w:rFonts w:ascii="Arial" w:cs="Arial" w:eastAsia="Arial" w:hAnsi="Arial"/>
          <w:sz w:val="16"/>
          <w:szCs w:val="16"/>
          <w:color w:val="auto"/>
        </w:rPr>
      </w:pPr>
    </w:p>
    <w:p>
      <w:pPr>
        <w:ind w:left="1140" w:hanging="219"/>
        <w:spacing w:after="0"/>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Lockup Agreements described in Section 4(j) and (l) are in full force and effect.</w:t>
      </w:r>
    </w:p>
    <w:p>
      <w:pPr>
        <w:spacing w:after="0" w:line="171"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The opinions and certificates mentioned in this Agreement shall be deemed to be in compliance with the provisions hereof only if they are in all material respects reasonably satisfactory to the Representatives and to Latham &amp; Watkins LLP, counsel for the Underwriters.</w:t>
      </w:r>
    </w:p>
    <w:p>
      <w:pPr>
        <w:spacing w:after="0" w:line="8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If any of the conditions hereinabove provided for in this Section 6 shall not have been fulfilled when and as required by this Agreement to be fulfilled, the obligations of the Underwriters hereunder may be terminated by the Representatives by notifying the Company of such termination in writing or by telegram at or prior to the Closing Date or the Option Closing Date, as the case may be.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such event, the Company and the Underwriters shall not be under any obligation to each other (except to the extent provided in Sections 5 and 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86" w:lineRule="exact"/>
        <w:rPr>
          <w:sz w:val="20"/>
          <w:szCs w:val="20"/>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90" w:lineRule="exact"/>
        <w:rPr>
          <w:sz w:val="20"/>
          <w:szCs w:val="20"/>
          <w:color w:val="auto"/>
        </w:rPr>
      </w:pPr>
    </w:p>
    <w:p>
      <w:pPr>
        <w:jc w:val="both"/>
        <w:ind w:right="220" w:firstLine="913"/>
        <w:spacing w:after="0" w:line="306" w:lineRule="auto"/>
        <w:rPr>
          <w:sz w:val="20"/>
          <w:szCs w:val="20"/>
          <w:color w:val="auto"/>
        </w:rPr>
      </w:pPr>
      <w:r>
        <w:rPr>
          <w:rFonts w:ascii="Arial" w:cs="Arial" w:eastAsia="Arial" w:hAnsi="Arial"/>
          <w:sz w:val="16"/>
          <w:szCs w:val="16"/>
          <w:color w:val="auto"/>
        </w:rPr>
        <w:t>The obligations of the Company to sell and deliver the portion of the Shares required to be delivered as and when specified in this Agreement are subject to the conditions that at the Closing Date or the Option Closing Date, as the case may be, no stop order suspending the effectiveness of the Registration Statement shall have been issued and in effect or proceedings therefor initiated or threatened.</w:t>
      </w:r>
    </w:p>
    <w:p>
      <w:pPr>
        <w:spacing w:after="0" w:line="228"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NDEMNIFICATION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agrees: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(1)to indemnify and hold harmless each Underwriter, the directors and officers of each Underwriter and each person, if any, who controls any Underwriter within the meaning of either Section 15 of the Act or Section 20 of the Exchange Act, against any losses, claims, damages or liabilities to which such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 (iii) with respect to any Preliminary Prospectus, any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39" w:name="page240"/>
    <w:bookmarkEnd w:id="23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the Company will not be liable in any such case to the extent that any such loss, claim, damage or liability arises out of or is based upon an untrue statement or alleged untrue statement, or omission or alleged omission made in the Registration Statement, any Preliminary Prospectus, any Issuer Free Writing Prospectus, the Prospectus, or such amendment or supplement, in reliance upon and in conformity with written information furnished to the Company by or through the Representatives specifically for use therein, it being understood and agreed that the only such information furnished by any Underwriter consists of the information described as such in Section 13 herein; and</w:t>
      </w:r>
    </w:p>
    <w:p>
      <w:pPr>
        <w:spacing w:after="0" w:line="143" w:lineRule="exact"/>
        <w:rPr>
          <w:sz w:val="20"/>
          <w:szCs w:val="20"/>
          <w:color w:val="auto"/>
        </w:rPr>
      </w:pPr>
    </w:p>
    <w:p>
      <w:pPr>
        <w:ind w:right="100" w:firstLine="464"/>
        <w:spacing w:after="0" w:line="318" w:lineRule="auto"/>
        <w:tabs>
          <w:tab w:leader="none" w:pos="705"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to reimburse each Underwriter, each Underwriters’ directors and officers, and each such controlling person upon demand for any legal or other out-of-pocket expenses reasonably incurred by such Underwriter or such controlling person in connection with investigating or defending any such loss, claim, damage or 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99" w:lineRule="exact"/>
        <w:rPr>
          <w:rFonts w:ascii="Arial" w:cs="Arial" w:eastAsia="Arial" w:hAnsi="Arial"/>
          <w:sz w:val="15"/>
          <w:szCs w:val="15"/>
          <w:color w:val="auto"/>
        </w:rPr>
      </w:pPr>
    </w:p>
    <w:p>
      <w:pPr>
        <w:ind w:firstLine="921"/>
        <w:spacing w:after="0" w:line="285" w:lineRule="auto"/>
        <w:tabs>
          <w:tab w:leader="none" w:pos="116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 (iii) with respect to any Preliminary Prospectus, any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provided, however, that each Underwriter will be liable in each case to the extent, but only to the extent, that such untrue statement or alleged untrue statement or omission or alleged omission has been made in the Registration Statement, any Preliminary Prospectus, any Issuer Free Writing Prospectus, the Prospectus or such amendment or supplement, in reliance upon and in conformity with written information furnished to the Company by or through the Representatives specifically for use therein, it being understood and agreed that the only such information furnished by any Underwriter consists of the information described as such in Section 13 herein. This indemnity agreement will be in addition to any liability which such Underwriter may otherwise have.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0" w:name="page241"/>
    <w:bookmarkEnd w:id="240"/>
    <w:p>
      <w:pPr>
        <w:ind w:left="-20" w:firstLine="921"/>
        <w:spacing w:after="0" w:line="284" w:lineRule="auto"/>
        <w:tabs>
          <w:tab w:leader="none" w:pos="1132" w:val="left"/>
        </w:tabs>
        <w:numPr>
          <w:ilvl w:val="0"/>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proceeding (including any governmental investigation) shall be instituted involving any person in respect of which indemnity may be sought pursuant to this Section 8, such person (the “indemnified party”) shall promptly notify the person against whom such indemnity may be sought (the “indemnifying party”) in writing. No indemnification provided for in Section 8(a) or (b) hereof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 (b) hereof.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and shall pay as incurred the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acceptable to the indemnified party within a reasonable period of time after notice of commencement of the action. Such firm shall be designated in writing by you in the case of parties indemnified pursuant to Section 8(a) hereof and by the Company in the case of parties indemnified pursuant to Section 8(b) hereof.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126" w:lineRule="exact"/>
        <w:rPr>
          <w:rFonts w:ascii="Arial" w:cs="Arial" w:eastAsia="Arial" w:hAnsi="Arial"/>
          <w:sz w:val="16"/>
          <w:szCs w:val="16"/>
          <w:color w:val="auto"/>
        </w:rPr>
      </w:pPr>
    </w:p>
    <w:p>
      <w:pPr>
        <w:ind w:left="-20" w:right="20" w:firstLine="921"/>
        <w:spacing w:after="0" w:line="255" w:lineRule="auto"/>
        <w:tabs>
          <w:tab w:leader="none" w:pos="114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the extent the indemnification provided for in this Section 8 is unavailable to or insufficient to hold harmless an indemnified party under Section 8(a)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80" w:right="259" w:bottom="1440" w:gutter="0" w:footer="0" w:header="0"/>
        </w:sectPr>
      </w:pPr>
    </w:p>
    <w:bookmarkStart w:id="241" w:name="page242"/>
    <w:bookmarkEnd w:id="241"/>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120"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The Company and the Underwriters agree that it would not be just and equitable if contributions pursuant to this Section 8(d) were determined by pro rata allocation (even if the Underwriters were treated as one entity for such purpose) or by any other method of allocation which does not take account of the equitable considerations referred to above in this 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subsection (d),</w:t>
      </w:r>
    </w:p>
    <w:p>
      <w:pPr>
        <w:spacing w:after="0" w:line="2" w:lineRule="exact"/>
        <w:rPr>
          <w:sz w:val="20"/>
          <w:szCs w:val="20"/>
          <w:color w:val="auto"/>
        </w:rPr>
      </w:pPr>
    </w:p>
    <w:p>
      <w:pPr>
        <w:ind w:firstLine="8"/>
        <w:spacing w:after="0" w:line="254" w:lineRule="auto"/>
        <w:tabs>
          <w:tab w:leader="none" w:pos="21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Underwriter shall be required to contribute any amount in excess of the underwriting discounts and commissions applicable to the Shares purchased by such Underwriter, and (ii) no person guilty of fraudulent misrepresentation (within the meaning of Section 11(f) of the Act) shall be entitled to contribution from any person who was not guilty of such fraudulent misrepresentation. The Underwriters’ obligations in this Section 8(d) to contribute are several in proportion to their respective underwriting obligations and not joint.</w:t>
      </w:r>
    </w:p>
    <w:p>
      <w:pPr>
        <w:spacing w:after="0" w:line="143" w:lineRule="exact"/>
        <w:rPr>
          <w:rFonts w:ascii="Arial" w:cs="Arial" w:eastAsia="Arial" w:hAnsi="Arial"/>
          <w:sz w:val="18"/>
          <w:szCs w:val="18"/>
          <w:color w:val="auto"/>
        </w:rPr>
      </w:pPr>
    </w:p>
    <w:p>
      <w:pPr>
        <w:ind w:right="160" w:firstLine="921"/>
        <w:spacing w:after="0" w:line="255" w:lineRule="auto"/>
        <w:tabs>
          <w:tab w:leader="none" w:pos="115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any proceeding relating to the Registration Statement, any Preliminary Prospectus, any Issuer Free Writing Prospectus, the Prospectus or any supplement or amendment thereto, each party against whom contribution may be sought under this Section 8 hereby consents to the jurisdiction of any court having jurisdiction over any other contributing party,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142" w:lineRule="exact"/>
        <w:rPr>
          <w:rFonts w:ascii="Arial" w:cs="Arial" w:eastAsia="Arial" w:hAnsi="Arial"/>
          <w:sz w:val="18"/>
          <w:szCs w:val="18"/>
          <w:color w:val="auto"/>
        </w:rPr>
      </w:pPr>
    </w:p>
    <w:p>
      <w:pPr>
        <w:ind w:right="40" w:firstLine="921"/>
        <w:spacing w:after="0" w:line="256" w:lineRule="auto"/>
        <w:tabs>
          <w:tab w:leader="none" w:pos="113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 (i) any investigation made by or on behalf of 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2" w:name="page243"/>
    <w:bookmarkEnd w:id="2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 its directors or officers or any person controlling any Underwriter, the Company, its directors or officers or any persons controlling the Company,</w:t>
      </w:r>
    </w:p>
    <w:p>
      <w:pPr>
        <w:spacing w:after="0" w:line="38" w:lineRule="exact"/>
        <w:rPr>
          <w:sz w:val="20"/>
          <w:szCs w:val="20"/>
          <w:color w:val="auto"/>
        </w:rPr>
      </w:pPr>
    </w:p>
    <w:p>
      <w:pPr>
        <w:ind w:firstLine="8"/>
        <w:spacing w:after="0" w:line="255" w:lineRule="auto"/>
        <w:tabs>
          <w:tab w:leader="none" w:pos="25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acceptance of any Shares and payment therefor hereunder, and (iii) any termination of this Agreement. A successor to any Underwriter, its directors or officers or any person controlling any Underwriter, or to the Company, its directors or officers, or any person controlling the Company, shall be entitled to the benefits of the indemnity, contribution and reimbursement agreements contained in this Section 8.</w:t>
      </w:r>
    </w:p>
    <w:p>
      <w:pPr>
        <w:spacing w:after="0" w:line="266" w:lineRule="exact"/>
        <w:rPr>
          <w:sz w:val="20"/>
          <w:szCs w:val="20"/>
          <w:color w:val="auto"/>
        </w:rPr>
      </w:pPr>
    </w:p>
    <w:p>
      <w:pPr>
        <w:ind w:left="900" w:hanging="446"/>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EFAULT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If on the Closing Date or the Option Closing Date, as the case may be, any Underwriter shall fail to purchase and pay for the portion of the Shares which such Underwriter has agreed to purchase and pay for on such date (otherwise than by reason of any default on the part of the Company), you, as Representatives of the Underwriters, shall use your reasonable efforts to procure within 36 hours thereafter one or more of the other Underwriters, or any others, to purchase from the Company such amounts as may be agreed upon and upon the terms set forth herein, the Shares which the defaulting Underwriter or Underwriters failed to purchase. If during such 36 hours you, as such Representatives, shall not have procured such other Underwriters, or any others, to purchase the Shares agreed to be purchased by the defaulting Underwriter or Underwriters, then (a) if the aggregate number of shares with respect to which such default shall occur does not exceed 10% of the Shares to be purchased on the Closing Date or the Option Closing Date, as the case may be, the other Underwriters shall be obligated, severally, in proportion to the respective numbers of Shares which they are obligated to purchase hereunder, to purchase the Shares which such defaulting Underwriter or Underwriters failed to purchase, or (b) if the aggregate number of shares of the Shares with respect to which such default shall occur exceeds 10% of the Shares to be purchased on the Closing Date or the Option Closing Date, as the case may be, the Company or you as the Representatives of the Underwriters will have the right, by written notice given within the next 36-hour period to the parties to this Agreement, to terminate this Agreement without liability on the part of the non-defaulting Underwriters or of the Company except to the extent provided in Sections 5 and 8 hereof. In the event of a default by any Underwriter or Underwriters, as set forth in this Section 9, the Closing Date or Option Closing Date, as the case may be, may be postponed for such period, not exceeding seven days, as you, as Representatives, may determine in order that the required changes in the Registration Statement, the General Disclosure Package or in the Prospectus or in any other documents or arrangements may be effected. The term “Underwriter” includes any person substituted for a defaulting Underwriter. Any action taken under this Section 9 shall not relieve any defaulting Underwriter from liability in respect of any default of such Underwriter under this Agreement.</w:t>
      </w:r>
    </w:p>
    <w:p>
      <w:pPr>
        <w:spacing w:after="0" w:line="243"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w:t>
      </w:r>
      <w:r>
        <w:rPr>
          <w:rFonts w:ascii="Arial" w:cs="Arial" w:eastAsia="Arial" w:hAnsi="Arial"/>
          <w:sz w:val="14"/>
          <w:szCs w:val="14"/>
          <w:u w:val="single" w:color="auto"/>
          <w:color w:val="auto"/>
        </w:rPr>
        <w:t>OTICES</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All communications hereunder shall be in writing and, except as otherwise provided herein, will be mailed, delivered, telecopied or telegraphed and confirmed as follows: if to the Underwriters, to Deutsche Bank Securities Inc., 60 Wall Street, 4th Floor, New York, New York 10005, Attention: Syndicate Manager, and Piper Jaffray &amp; Co., 800 Nicollet Mall, Minneapolis, Minnesota 55402, Attention: General Counsel, with a copy to Deutsche Bank Securities Inc., 60 Wall Street, New York, New York 10005, Attention: General Counsel, and Latham &amp; Watkins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43" w:name="page244"/>
    <w:bookmarkEnd w:id="2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LLP, 650 Town Center Drive, 20th Floor, Costa Mesa, California 92626, Attention: B. Shayne Kennedy; if to the Company, to Fluidigm Corporation, 7000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Shoreline Court, Suite 100, South San Francisco, California 94080, Attention: Chief Executive Officer, with a copy to Wilson, Sonsini, Goodrich &amp; Rosati, P.C.,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950 Page Mill Road, Palo Alto, California 94304, Attention: David J. Segre and Robert F. Kornegay.</w:t>
      </w:r>
    </w:p>
    <w:p>
      <w:pPr>
        <w:spacing w:after="0" w:line="286" w:lineRule="exact"/>
        <w:rPr>
          <w:sz w:val="20"/>
          <w:szCs w:val="20"/>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ERMINATION</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This Agreement may be terminated by you by notice to the Company (a) at any time prior to the Closing Date or any Option Closing Date (if different from the Closing Date and then only as to Option Shares) if any of the following has occurred: (i) since the respective dates as of which information is given in the Registration Statement, the General Disclosure Package and the Prospectus, any material adverse change or any development involving a prospective material adverse change in or affecting the earnings, business, management, properties, assets, rights, operations, condition (financial or otherwise) or prospects of the Company and the Subsidiaries taken as a whole, whether or not arising in the ordinary course of business, (ii) any outbreak or escalation of hostilities or declaration of war or national emergency or other national or international calamity or crisis (including, without limitation, an act of terrorism) or change in economic or political conditions if the effect of such outbreak, escalation, declaration, emergency, calamity, crisis or change on the financial markets of the United States would, in your judgment, materially impair the investment quality of the Shares, (iii) suspension of trading in securities generally on the New York Stock Exchange, the American Stock Exchange or the Nasdaq Global Market or limitation on prices (other than limitations on hours or numbers of days of trading) for securities on any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w:t>
      </w:r>
    </w:p>
    <w:p>
      <w:pPr>
        <w:spacing w:after="0" w:line="5" w:lineRule="exact"/>
        <w:rPr>
          <w:sz w:val="20"/>
          <w:szCs w:val="20"/>
          <w:color w:val="auto"/>
        </w:rPr>
      </w:pPr>
    </w:p>
    <w:p>
      <w:pPr>
        <w:ind w:right="100" w:firstLine="8"/>
        <w:spacing w:after="0" w:line="292" w:lineRule="auto"/>
        <w:tabs>
          <w:tab w:leader="none" w:pos="24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declaration of a banking moratorium by 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Exchange Act), (vii) the suspension of trading of the Company’s common stock by the Nasdaq Global Market, the Commission, or any other governmental authority, or (viii) the taking of any action by any governmental body or agency in respect of its monetary or fiscal affairs which in your opinion has a material adverse effect on the securities markets in the United States; or</w:t>
      </w:r>
    </w:p>
    <w:p>
      <w:pPr>
        <w:spacing w:after="0" w:line="116" w:lineRule="exact"/>
        <w:rPr>
          <w:rFonts w:ascii="Arial" w:cs="Arial" w:eastAsia="Arial" w:hAnsi="Arial"/>
          <w:sz w:val="16"/>
          <w:szCs w:val="16"/>
          <w:color w:val="auto"/>
        </w:rPr>
      </w:pPr>
    </w:p>
    <w:p>
      <w:pPr>
        <w:ind w:left="1160" w:hanging="239"/>
        <w:spacing w:after="0"/>
        <w:tabs>
          <w:tab w:leader="none" w:pos="11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as provided in Sections 6 and 9 of this Agreement.</w:t>
      </w:r>
    </w:p>
    <w:p>
      <w:pPr>
        <w:spacing w:after="0" w:line="293" w:lineRule="exact"/>
        <w:rPr>
          <w:sz w:val="20"/>
          <w:szCs w:val="20"/>
          <w:color w:val="auto"/>
        </w:rPr>
      </w:pPr>
    </w:p>
    <w:p>
      <w:pPr>
        <w:ind w:left="900" w:hanging="446"/>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UCCESSORS</w:t>
      </w:r>
      <w:r>
        <w:rPr>
          <w:rFonts w:ascii="Arial" w:cs="Arial" w:eastAsia="Arial" w:hAnsi="Arial"/>
          <w:sz w:val="18"/>
          <w:szCs w:val="18"/>
          <w:color w:val="auto"/>
        </w:rPr>
        <w:t>.</w:t>
      </w:r>
    </w:p>
    <w:p>
      <w:pPr>
        <w:spacing w:after="0" w:line="90" w:lineRule="exact"/>
        <w:rPr>
          <w:sz w:val="20"/>
          <w:szCs w:val="20"/>
          <w:color w:val="auto"/>
        </w:rPr>
      </w:pPr>
    </w:p>
    <w:p>
      <w:pPr>
        <w:ind w:right="500" w:firstLine="913"/>
        <w:spacing w:after="0" w:line="335" w:lineRule="auto"/>
        <w:rPr>
          <w:sz w:val="20"/>
          <w:szCs w:val="20"/>
          <w:color w:val="auto"/>
        </w:rPr>
      </w:pPr>
      <w:r>
        <w:rPr>
          <w:rFonts w:ascii="Arial" w:cs="Arial" w:eastAsia="Arial" w:hAnsi="Arial"/>
          <w:sz w:val="15"/>
          <w:szCs w:val="15"/>
          <w:color w:val="auto"/>
        </w:rPr>
        <w:t>This Agreement has been and is made solely for the benefit of the Underwriters and the Company and their respective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44" w:name="page245"/>
    <w:bookmarkEnd w:id="244"/>
    <w:p>
      <w:pPr>
        <w:ind w:left="900" w:hanging="446"/>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u w:val="single" w:color="auto"/>
          <w:color w:val="auto"/>
        </w:rPr>
        <w:t>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ROVIDED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NDERWRITERS</w:t>
      </w:r>
      <w:r>
        <w:rPr>
          <w:rFonts w:ascii="Arial" w:cs="Arial" w:eastAsia="Arial" w:hAnsi="Arial"/>
          <w:sz w:val="18"/>
          <w:szCs w:val="18"/>
          <w:color w:val="auto"/>
        </w:rPr>
        <w:t>.</w:t>
      </w:r>
    </w:p>
    <w:p>
      <w:pPr>
        <w:spacing w:after="0" w:line="90" w:lineRule="exact"/>
        <w:rPr>
          <w:sz w:val="20"/>
          <w:szCs w:val="20"/>
          <w:color w:val="auto"/>
        </w:rPr>
      </w:pPr>
    </w:p>
    <w:p>
      <w:pPr>
        <w:ind w:right="600" w:firstLine="913"/>
        <w:spacing w:after="0" w:line="306" w:lineRule="auto"/>
        <w:rPr>
          <w:sz w:val="20"/>
          <w:szCs w:val="20"/>
          <w:color w:val="auto"/>
        </w:rPr>
      </w:pPr>
      <w:r>
        <w:rPr>
          <w:rFonts w:ascii="Arial" w:cs="Arial" w:eastAsia="Arial" w:hAnsi="Arial"/>
          <w:sz w:val="16"/>
          <w:szCs w:val="16"/>
          <w:color w:val="auto"/>
        </w:rPr>
        <w:t>The Company and the Underwriters acknowledge and agree that the only information furnished or to be furnished by any Underwriter to the Company for inclusion in the Registration Statement, any Preliminary Prospectus, any Issuer Free Writing Prospectus or the Prospectus consists of the information set forth in the third and twelfth through eighteenth paragraphs under the caption “Underwriting” in the Prospectus.</w:t>
      </w:r>
    </w:p>
    <w:p>
      <w:pPr>
        <w:spacing w:after="0" w:line="228" w:lineRule="exact"/>
        <w:rPr>
          <w:sz w:val="20"/>
          <w:szCs w:val="20"/>
          <w:color w:val="auto"/>
        </w:rPr>
      </w:pPr>
    </w:p>
    <w:p>
      <w:pPr>
        <w:ind w:left="900" w:hanging="446"/>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ISCELLANEOUS</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143"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The Company acknowledges and agrees that each Underwriter in providing investment banking services to the Company in connection with the offering, including in acting pursuant to the terms of this Agreement, has acted and is acting as an independent contractor and not as a fiduciary and the Company does not intend such Underwriter to act in any capacity other than as an independent contractor, including as a fiduciary or in any other position of higher trust.</w:t>
      </w:r>
    </w:p>
    <w:p>
      <w:pPr>
        <w:spacing w:after="0" w:line="8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 of the State of New York, including, without limitation, Section 5-1401 of the New York General Obligations Law.</w:t>
      </w:r>
    </w:p>
    <w:p>
      <w:pPr>
        <w:spacing w:after="0" w:line="13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Underwriters, on the one hand, and the Company (on its own behalf and, to the extent permitted by law, on behalf of its stockholders), on the other hand, waive any right to trial by jury in any action, claim, suit or proceeding with respect to your engagement as underwriter or your role in connection herewith.</w:t>
      </w:r>
    </w:p>
    <w:p>
      <w:pPr>
        <w:spacing w:after="0" w:line="140" w:lineRule="exact"/>
        <w:rPr>
          <w:sz w:val="20"/>
          <w:szCs w:val="20"/>
          <w:color w:val="auto"/>
        </w:rPr>
      </w:pPr>
    </w:p>
    <w:p>
      <w:pPr>
        <w:ind w:right="560" w:firstLine="913"/>
        <w:spacing w:after="0" w:line="332" w:lineRule="auto"/>
        <w:rPr>
          <w:sz w:val="20"/>
          <w:szCs w:val="20"/>
          <w:color w:val="auto"/>
        </w:rPr>
      </w:pPr>
      <w:r>
        <w:rPr>
          <w:rFonts w:ascii="Arial" w:cs="Arial" w:eastAsia="Arial" w:hAnsi="Arial"/>
          <w:sz w:val="16"/>
          <w:szCs w:val="16"/>
          <w:color w:val="auto"/>
        </w:rPr>
        <w:t>If the foregoing letter is in accordance with your understanding of our agreement, please sign and return to us the enclosed duplicates hereof, whereupon it will become a binding agreement among the Company and the several Underwriters in accordance with its terms.</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45" w:name="page246"/>
    <w:bookmarkEnd w:id="245"/>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FLUIDIGM CORPORATION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 is hereby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asof the date first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 PIPER JAFFRAY &amp;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listed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0219"/>
          </w:cols>
          <w:pgMar w:left="240" w:top="280"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 OF</w:t>
      </w:r>
      <w:r>
        <w:rPr>
          <w:rFonts w:ascii="Arial" w:cs="Arial" w:eastAsia="Arial" w:hAnsi="Arial"/>
          <w:sz w:val="18"/>
          <w:szCs w:val="18"/>
          <w:color w:val="auto"/>
        </w:rPr>
        <w:t xml:space="preserve"> U</w:t>
      </w:r>
      <w:r>
        <w:rPr>
          <w:rFonts w:ascii="Arial" w:cs="Arial" w:eastAsia="Arial" w:hAnsi="Arial"/>
          <w:sz w:val="14"/>
          <w:szCs w:val="14"/>
          <w:color w:val="auto"/>
        </w:rPr>
        <w:t>NDERWRITERS</w:t>
      </w:r>
    </w:p>
    <w:p>
      <w:pPr>
        <w:spacing w:after="0" w:line="197"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880" w:type="dxa"/>
            <w:vAlign w:val="bottom"/>
            <w:gridSpan w:val="2"/>
          </w:tcPr>
          <w:p>
            <w:pPr>
              <w:jc w:val="center"/>
              <w:ind w:left="3492"/>
              <w:spacing w:after="0"/>
              <w:rPr>
                <w:sz w:val="20"/>
                <w:szCs w:val="20"/>
                <w:color w:val="auto"/>
              </w:rPr>
            </w:pPr>
            <w:r>
              <w:rPr>
                <w:rFonts w:ascii="Arial" w:cs="Arial" w:eastAsia="Arial" w:hAnsi="Arial"/>
                <w:sz w:val="14"/>
                <w:szCs w:val="14"/>
                <w:color w:val="auto"/>
                <w:w w:val="87"/>
              </w:rPr>
              <w:t>Number of Firm Shares</w:t>
            </w:r>
          </w:p>
        </w:tc>
      </w:tr>
      <w:tr>
        <w:trPr>
          <w:trHeight w:val="159"/>
        </w:trPr>
        <w:tc>
          <w:tcPr>
            <w:tcW w:w="70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1"/>
              </w:rPr>
              <w:t>Underwriter</w:t>
            </w:r>
          </w:p>
        </w:tc>
        <w:tc>
          <w:tcPr>
            <w:tcW w:w="3600" w:type="dxa"/>
            <w:vAlign w:val="bottom"/>
          </w:tcPr>
          <w:p>
            <w:pPr>
              <w:spacing w:after="0"/>
              <w:rPr>
                <w:sz w:val="13"/>
                <w:szCs w:val="13"/>
                <w:color w:val="auto"/>
              </w:rPr>
            </w:pPr>
          </w:p>
        </w:tc>
        <w:tc>
          <w:tcPr>
            <w:tcW w:w="12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4"/>
              </w:rPr>
              <w:t>to be Purchased</w:t>
            </w:r>
          </w:p>
        </w:tc>
      </w:tr>
    </w:tbl>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-125730</wp:posOffset>
            </wp:positionV>
            <wp:extent cx="49225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Piper Jaffray &amp; Co.</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Cowen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-125730</wp:posOffset>
            </wp:positionV>
            <wp:extent cx="492252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Leerink Swann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81470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-125730</wp:posOffset>
            </wp:positionV>
            <wp:extent cx="4922520" cy="146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247" w:name="page248"/>
    <w:bookmarkEnd w:id="247"/>
    <w:p>
      <w:pPr>
        <w:jc w:val="right"/>
        <w:ind w:right="39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and other terms of the offering conveyed orally]</w:t>
      </w:r>
    </w:p>
    <w:p>
      <w:pPr>
        <w:sectPr>
          <w:pgSz w:w="11900" w:h="16838" w:orient="portrait"/>
          <w:cols w:equalWidth="0" w:num="1">
            <w:col w:w="10219"/>
          </w:cols>
          <w:pgMar w:left="240" w:top="280" w:right="1440" w:bottom="1440" w:gutter="0" w:footer="0" w:header="0"/>
        </w:sectPr>
      </w:pPr>
    </w:p>
    <w:bookmarkStart w:id="248" w:name="page249"/>
    <w:bookmarkEnd w:id="248"/>
    <w:p>
      <w:pPr>
        <w:ind w:left="5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 each Issuer Free Writing Prospectus to be included in the General Disclosure Package including Final Term Sheet, if applicable]</w:t>
      </w:r>
    </w:p>
    <w:p>
      <w:pPr>
        <w:sectPr>
          <w:pgSz w:w="11900" w:h="16838" w:orient="portrait"/>
          <w:cols w:equalWidth="0" w:num="1">
            <w:col w:w="10219"/>
          </w:cols>
          <w:pgMar w:left="240" w:top="280" w:right="1440" w:bottom="1440" w:gutter="0" w:footer="0" w:header="0"/>
        </w:sectPr>
      </w:pPr>
    </w:p>
    <w:bookmarkStart w:id="249" w:name="page250"/>
    <w:bookmarkEnd w:id="24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FLUIDIGM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LOCK-UP AGREEMENT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Wall Street, 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165" w:lineRule="exact"/>
        <w:rPr>
          <w:sz w:val="20"/>
          <w:szCs w:val="20"/>
          <w:color w:val="auto"/>
        </w:rPr>
      </w:pPr>
    </w:p>
    <w:p>
      <w:pPr>
        <w:jc w:val="right"/>
        <w:ind w:right="9580"/>
        <w:spacing w:after="0"/>
        <w:rPr>
          <w:sz w:val="20"/>
          <w:szCs w:val="20"/>
          <w:color w:val="auto"/>
        </w:rPr>
      </w:pPr>
      <w:r>
        <w:rPr>
          <w:rFonts w:ascii="Arial" w:cs="Arial" w:eastAsia="Arial" w:hAnsi="Arial"/>
          <w:sz w:val="15"/>
          <w:szCs w:val="15"/>
          <w:color w:val="auto"/>
        </w:rPr>
        <w:t>As Representatives of the</w:t>
      </w:r>
    </w:p>
    <w:p>
      <w:pPr>
        <w:spacing w:after="0" w:line="50" w:lineRule="exact"/>
        <w:rPr>
          <w:sz w:val="20"/>
          <w:szCs w:val="20"/>
          <w:color w:val="auto"/>
        </w:rPr>
      </w:pPr>
    </w:p>
    <w:p>
      <w:pPr>
        <w:jc w:val="right"/>
        <w:ind w:right="9520"/>
        <w:spacing w:after="0"/>
        <w:rPr>
          <w:sz w:val="20"/>
          <w:szCs w:val="20"/>
          <w:color w:val="auto"/>
        </w:rPr>
      </w:pPr>
      <w:r>
        <w:rPr>
          <w:rFonts w:ascii="Arial" w:cs="Arial" w:eastAsia="Arial" w:hAnsi="Arial"/>
          <w:sz w:val="18"/>
          <w:szCs w:val="18"/>
          <w:color w:val="auto"/>
        </w:rPr>
        <w:t>Several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undersigned understands that Deutsche Bank Securities Inc. and Piper Jaffray &amp; Co., as representatives (the “Representatives”) of the several underwriters (the “Underwriters”), propose to enter into an Underwriting Agreement (the “Underwriting Agreement”) with Fluidigm Corporation (the “Company”), providing for the public offering by the Underwriters, including the Representatives, of common stock, par value $0.001 (the “Common Stock”), of the Company (the “Public Offering”).</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agrees that, without the prior written consent of the Representatives, the undersigned will not, directly or indirectly, offer, sell, pledge, contract to sell (including any short sale), grant any option to purchase or otherwise dispose of any shares of Common Stock (including, without limitation, shares of Common Stock of the Company which may be deemed to be beneficially owned by the undersigned on the date hereof in accordance with the rules and regulations of the Securities and Exchange Commission, shares of Common Stock which may be issued upon exercise of a stock option or warrant and any other security convertible into or exchangeable for Common Stock) or enter into any Hedging Transaction (as defined below) relating to the Common Stock (each of the foregoing referred to as a “Disposition”) during the period specified in the following paragraph (the “Lock-Up Period”). The foregoing restriction is expressly intended to preclude the undersigned from engaging in any Hedging Transaction or other transaction which is designed to or reasonably expected to lead to or result in a Disposition during the Lock-Up Period even if the securities would be disposed of by someone other than the undersigned. “Hedging Transaction” means any short sale (whether or not against the box) or any purchase, sale or grant of any right (including, without limitation, any put or call option)</w:t>
      </w:r>
    </w:p>
    <w:p>
      <w:pPr>
        <w:sectPr>
          <w:pgSz w:w="11900" w:h="16838" w:orient="portrait"/>
          <w:cols w:equalWidth="0" w:num="1">
            <w:col w:w="11380"/>
          </w:cols>
          <w:pgMar w:left="240" w:top="280" w:right="279" w:bottom="1440" w:gutter="0" w:footer="0" w:header="0"/>
        </w:sectPr>
      </w:pPr>
    </w:p>
    <w:bookmarkStart w:id="250" w:name="page251"/>
    <w:bookmarkEnd w:id="250"/>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any security (other than a broad-based market basket or index) that includes, relates to or derives any significant part of its value from the Common Stock.</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initial Lock-Up Period will commence on the date hereof and continue until, and include, the date that is 180 days after the date of the final prospectus relating to the Public Offering (the “Initial Lock-Up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(1) during the last 17 days of the Initial Lock-Up Period, (A) the Company releases earnings results or (B) material news or a material event relating to the Company occurs, or (2) prior to the expiration of the Initial Lock-Up Period, the Company announces that it will release earnings results during the 16-day period following the last day of the Initial Lock-Up Period, then in each case the Lock-Up Period will be extended until the expiration of the 18-day period beginning on the date of the release of the earnings results or the occurrence of material news or a material event relating to the Company, as the case may be, unless the Representatives waive, in writing, such extension.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Notwithstanding the foregoing, the undersigned may (a) transfer shares of Common Stock acquired by the undersigned in the Public Offering or in open market transactions after the completion of the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filing under Section 16(a) of the Securities Exchange Act of 1934, as amended (the “Exchange Act”), shall be required or shall be voluntarily made in connection with subsequent sales of shares of Common Stock or other securities acquired in such open market transactions, (b) transfer shares of Common Stock or other Company securities as a bona fide gift, (c) transfer shares of Common Stock or other Company securities by will or intestacy to the undersigned’s immediate family or to a trust, the beneficiaries of which are the undersigned and a member or members of the undersigned’s immediate family (for purposes of this Lock-Up Agreement, “immediate family” shall mean any relationship by blood, marriage or adoption, not more remote than first cousin), (d) distribute shares of Common Stock or other Company securities to limited partners, members or shareholders of the undersigned, or (e) establish a trading plan pursuant to Rule 10b5-1 under the Exchange Act for the transfer of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plan does not provide for the transfer of shares of Common Stock during the Lock-Up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a transfer pursuant to clause (b), (c) or (d) above, it shall be a condition to such transfer that (i) the transferee execute an agreement stating that the transferee is receiving and holding the securities subject to the provisions of this Lock-Up Agreement and (ii) no filing under Section 16(a) of the Exchange Act, reporting a reduction in beneficial ownership of shares of Common Stock, shall be required or shall be voluntarily made during the Lock-Up Period.</w:t>
      </w:r>
    </w:p>
    <w:p>
      <w:pPr>
        <w:spacing w:after="0" w:line="12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undersigned hereby acknowledges and agrees that written notice of any extension of the Lock-Up Period pursuant to the previous paragraph will be delivered by the Representatives to the Company (in accordance with the notice provision in the Underwriting Agreement) and that any such notice properly delivered will be deemed to have been given to, and received by, the undersigned.</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undersigned hereby further agrees that, prior to engaging in any transaction or taking any other action that is subject to the terms of this Lock-Up Agreement during the period from the date of this Lock-Up Agreement to and including the 34th day following the expiration of the initial Lock-Up Period, it will give notice thereof to the Company and will not consummate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51" w:name="page252"/>
    <w:bookmarkEnd w:id="251"/>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or take any such action unless it has received written confirmation from the Company that the Lock-Up Period (as such may have been extended pursuant to the previous paragraph) has expired.</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agrees that the Company may, and that the undersigned will, (i) with respect to any shares of Common Stock or other Company securities for which the undersigned is the record holder, cause the transfer agent for the Company to note stop transfer instructions with respect to such securities on the transfer books and records of the Company and (ii) with respect to any shares of Common Stock or other Company securities for which the undersigned is the beneficial holder but not the record holder, cause the record holder of such securities to cause the transfer agent for the Company to note stop transfer instructions with respect to such securities on the transfer books and records of the Company.</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In addition, the undersigned hereby waives any and all notice requirements and rights with respect to registration of securities pursuant to any agreement, understanding or otherwise setting forth the terms of any security of the Company held by the undersigned, including any registration rights agreement to which the undersigned and the Company may be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waiver shall apply only to the proposed Public Offering, and any other action taken by the Company in connection with the proposed Public Offering. The undersigned hereby agrees that, to the extent that the terms of this Lock-Up Agreement conflict with or are in any way inconsistent with any registration rights agreement to which the undersigned and the Company may be a party, this Lock-Up Agreement supersedes such registration rights agreement.</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shall survive the death or incapacity of the undersigned and any obligations of the undersigned shall be binding upon the heirs, personal representatives, successors and assigns of the undersigned.</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Notwithstanding anything herein to the contrary, (a) if the closing of the Public Offering has not occurred prior to July 31, 2011, or (b) if the Company withdraws the registration statement registering shares of the Common Stock, this agreement shall be of no further force or effect.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Print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-5715</wp:posOffset>
            </wp:positionV>
            <wp:extent cx="22294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owned subject to Certificate numbers: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warrants, options or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47167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47167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47167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L</w:t>
      </w:r>
      <w:r>
        <w:rPr>
          <w:rFonts w:ascii="Arial" w:cs="Arial" w:eastAsia="Arial" w:hAnsi="Arial"/>
          <w:sz w:val="14"/>
          <w:szCs w:val="14"/>
          <w:color w:val="auto"/>
        </w:rPr>
        <w:t>EGAL</w:t>
      </w:r>
      <w:r>
        <w:rPr>
          <w:rFonts w:ascii="Arial" w:cs="Arial" w:eastAsia="Arial" w:hAnsi="Arial"/>
          <w:sz w:val="18"/>
          <w:szCs w:val="18"/>
          <w:color w:val="auto"/>
        </w:rPr>
        <w:t xml:space="preserve"> O</w:t>
      </w:r>
      <w:r>
        <w:rPr>
          <w:rFonts w:ascii="Arial" w:cs="Arial" w:eastAsia="Arial" w:hAnsi="Arial"/>
          <w:sz w:val="14"/>
          <w:szCs w:val="14"/>
          <w:color w:val="auto"/>
        </w:rPr>
        <w:t>PINION OF</w:t>
      </w:r>
      <w:r>
        <w:rPr>
          <w:rFonts w:ascii="Arial" w:cs="Arial" w:eastAsia="Arial" w:hAnsi="Arial"/>
          <w:sz w:val="18"/>
          <w:szCs w:val="18"/>
          <w:color w:val="auto"/>
        </w:rPr>
        <w:t xml:space="preserve"> W</w:t>
      </w:r>
      <w:r>
        <w:rPr>
          <w:rFonts w:ascii="Arial" w:cs="Arial" w:eastAsia="Arial" w:hAnsi="Arial"/>
          <w:sz w:val="14"/>
          <w:szCs w:val="14"/>
          <w:color w:val="auto"/>
        </w:rPr>
        <w:t>ILSON</w:t>
      </w:r>
      <w:r>
        <w:rPr>
          <w:rFonts w:ascii="Arial" w:cs="Arial" w:eastAsia="Arial" w:hAnsi="Arial"/>
          <w:sz w:val="18"/>
          <w:szCs w:val="18"/>
          <w:color w:val="auto"/>
        </w:rPr>
        <w:t xml:space="preserve"> S</w:t>
      </w:r>
      <w:r>
        <w:rPr>
          <w:rFonts w:ascii="Arial" w:cs="Arial" w:eastAsia="Arial" w:hAnsi="Arial"/>
          <w:sz w:val="14"/>
          <w:szCs w:val="14"/>
          <w:color w:val="auto"/>
        </w:rPr>
        <w:t>ONSINI</w:t>
      </w:r>
      <w:r>
        <w:rPr>
          <w:rFonts w:ascii="Arial" w:cs="Arial" w:eastAsia="Arial" w:hAnsi="Arial"/>
          <w:sz w:val="18"/>
          <w:szCs w:val="18"/>
          <w:color w:val="auto"/>
        </w:rPr>
        <w:t xml:space="preserve"> G</w:t>
      </w:r>
      <w:r>
        <w:rPr>
          <w:rFonts w:ascii="Arial" w:cs="Arial" w:eastAsia="Arial" w:hAnsi="Arial"/>
          <w:sz w:val="14"/>
          <w:szCs w:val="14"/>
          <w:color w:val="auto"/>
        </w:rPr>
        <w:t>OODRICH</w:t>
      </w:r>
      <w:r>
        <w:rPr>
          <w:rFonts w:ascii="Arial" w:cs="Arial" w:eastAsia="Arial" w:hAnsi="Arial"/>
          <w:sz w:val="18"/>
          <w:szCs w:val="18"/>
          <w:color w:val="auto"/>
        </w:rPr>
        <w:t xml:space="preserve"> &amp; R</w:t>
      </w:r>
      <w:r>
        <w:rPr>
          <w:rFonts w:ascii="Arial" w:cs="Arial" w:eastAsia="Arial" w:hAnsi="Arial"/>
          <w:sz w:val="14"/>
          <w:szCs w:val="14"/>
          <w:color w:val="auto"/>
        </w:rPr>
        <w:t>OSATI</w:t>
      </w:r>
      <w:r>
        <w:rPr>
          <w:rFonts w:ascii="Arial" w:cs="Arial" w:eastAsia="Arial" w:hAnsi="Arial"/>
          <w:sz w:val="18"/>
          <w:szCs w:val="18"/>
          <w:color w:val="auto"/>
        </w:rPr>
        <w:t>, P.C.</w:t>
      </w:r>
    </w:p>
    <w:p>
      <w:pPr>
        <w:spacing w:after="0" w:line="171" w:lineRule="exact"/>
        <w:rPr>
          <w:sz w:val="20"/>
          <w:szCs w:val="20"/>
          <w:color w:val="auto"/>
        </w:rPr>
      </w:pPr>
    </w:p>
    <w:p>
      <w:pPr>
        <w:ind w:left="-20" w:right="140" w:firstLine="464"/>
        <w:spacing w:after="0" w:line="306" w:lineRule="auto"/>
        <w:tabs>
          <w:tab w:leader="none" w:pos="61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validly existing under, and by virtue of, the laws of the State of Delaware, and is in good standing under such laws. The Company has the corporate power and authority to own or lease its properties and assets and to carry on its business as described in the Prospectus. The Company is qualified to do business and is in good standing as a foreign corporation in the State of California.</w:t>
      </w:r>
    </w:p>
    <w:p>
      <w:pPr>
        <w:spacing w:after="0" w:line="106" w:lineRule="exact"/>
        <w:rPr>
          <w:rFonts w:ascii="Arial" w:cs="Arial" w:eastAsia="Arial" w:hAnsi="Arial"/>
          <w:sz w:val="16"/>
          <w:szCs w:val="16"/>
          <w:color w:val="auto"/>
        </w:rPr>
      </w:pPr>
    </w:p>
    <w:p>
      <w:pPr>
        <w:ind w:left="620" w:hanging="176"/>
        <w:spacing w:after="0"/>
        <w:tabs>
          <w:tab w:leader="none" w:pos="6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authorized capital stock of the Company conforms in all material respects as to legal matters to the description thereof contained in the Prospectus.</w:t>
      </w:r>
    </w:p>
    <w:p>
      <w:pPr>
        <w:spacing w:after="0" w:line="194" w:lineRule="exact"/>
        <w:rPr>
          <w:rFonts w:ascii="Arial" w:cs="Arial" w:eastAsia="Arial" w:hAnsi="Arial"/>
          <w:sz w:val="16"/>
          <w:szCs w:val="16"/>
          <w:color w:val="auto"/>
        </w:rPr>
      </w:pPr>
    </w:p>
    <w:p>
      <w:pPr>
        <w:ind w:left="-20" w:right="860" w:firstLine="464"/>
        <w:spacing w:after="0" w:line="268" w:lineRule="auto"/>
        <w:tabs>
          <w:tab w:leader="none" w:pos="61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131" w:lineRule="exact"/>
        <w:rPr>
          <w:rFonts w:ascii="Arial" w:cs="Arial" w:eastAsia="Arial" w:hAnsi="Arial"/>
          <w:sz w:val="18"/>
          <w:szCs w:val="18"/>
          <w:color w:val="auto"/>
        </w:rPr>
      </w:pPr>
    </w:p>
    <w:p>
      <w:pPr>
        <w:jc w:val="both"/>
        <w:ind w:left="-20" w:firstLine="464"/>
        <w:spacing w:after="0" w:line="256" w:lineRule="auto"/>
        <w:tabs>
          <w:tab w:leader="none" w:pos="61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and paid for in accordance with the terms of the Underwriting Agreement, will be validly issued, fully paid and nonassessable, and the issuance of such Shares will not be subject to any preemptive or similar rights arising from or pursuant to the Certificate of Incorporation or Bylaws of the Company, or to our knowledge, any other written agreement or instrument to which the Company or the Subsidiaries is a party, other than such rights as have been duly and properly waived.</w:t>
      </w:r>
    </w:p>
    <w:p>
      <w:pPr>
        <w:spacing w:after="0" w:line="143" w:lineRule="exact"/>
        <w:rPr>
          <w:rFonts w:ascii="Arial" w:cs="Arial" w:eastAsia="Arial" w:hAnsi="Arial"/>
          <w:sz w:val="18"/>
          <w:szCs w:val="18"/>
          <w:color w:val="auto"/>
        </w:rPr>
      </w:pPr>
    </w:p>
    <w:p>
      <w:pPr>
        <w:ind w:left="620" w:hanging="176"/>
        <w:spacing w:after="0"/>
        <w:tabs>
          <w:tab w:leader="none" w:pos="6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171" w:lineRule="exact"/>
        <w:rPr>
          <w:rFonts w:ascii="Arial" w:cs="Arial" w:eastAsia="Arial" w:hAnsi="Arial"/>
          <w:sz w:val="18"/>
          <w:szCs w:val="18"/>
          <w:color w:val="auto"/>
        </w:rPr>
      </w:pPr>
    </w:p>
    <w:p>
      <w:pPr>
        <w:ind w:left="-20" w:right="20" w:firstLine="464"/>
        <w:spacing w:after="0" w:line="290" w:lineRule="auto"/>
        <w:tabs>
          <w:tab w:leader="none" w:pos="61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the Underwriting Agreement do not violate any provision of (i) applicable U.S. federal or California state law, rule or regulation known to us to be customarily applicable to transactions of the nature contemplated by the Underwriting Agreement; (ii) the Delaware General Corporation Law; (iii) the Certificate of Incorporation or Bylaws; (iv) any Reviewed Agreements; or (v) to our knowledge, any judgment, order or decree of any governmental body, agency or court having jurisdiction over the Company. No consent, approval, authorization or order of, or qualification with, any governmental body or agency is required for the valid execution and delivery of the Underwriting Agreement or the performance by the Company of its obligations thereunder, or the offer, sale, or issuance of the Shares, except such as have been obtained or made under the Securities Act or the Securities Exchange Act of 1934, as amended.</w:t>
      </w:r>
    </w:p>
    <w:p>
      <w:pPr>
        <w:spacing w:after="0" w:line="118" w:lineRule="exact"/>
        <w:rPr>
          <w:rFonts w:ascii="Arial" w:cs="Arial" w:eastAsia="Arial" w:hAnsi="Arial"/>
          <w:sz w:val="16"/>
          <w:szCs w:val="16"/>
          <w:color w:val="auto"/>
        </w:rPr>
      </w:pPr>
    </w:p>
    <w:p>
      <w:pPr>
        <w:ind w:left="-20" w:right="60" w:firstLine="464"/>
        <w:spacing w:after="0" w:line="259" w:lineRule="auto"/>
        <w:tabs>
          <w:tab w:leader="none" w:pos="61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statements included in the Prospectus under the captions “Description Capital Stock,” “Shares Eligible for Future Sale,” “Material United States Federal Income and Estate Tax Consequences to Non-U.S. Holders” and “Underwriting” (to the extent of the description of the Underwriting Agreement), and in Part II of the Registration Statement under Item 14</w:t>
      </w:r>
    </w:p>
    <w:p>
      <w:pPr>
        <w:sectPr>
          <w:pgSz w:w="11900" w:h="16838" w:orient="portrait"/>
          <w:cols w:equalWidth="0" w:num="1">
            <w:col w:w="11380"/>
          </w:cols>
          <w:pgMar w:left="260" w:top="280" w:right="259" w:bottom="1440" w:gutter="0" w:footer="0" w:header="0"/>
        </w:sectPr>
      </w:pPr>
    </w:p>
    <w:bookmarkStart w:id="253" w:name="page254"/>
    <w:bookmarkEnd w:id="253"/>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each case insofar as such statements constitute summaries of legal matters, documents or proceedings referred to therein, fairly summarize in all material respects such legal matters, documents or proceedings.</w:t>
      </w:r>
    </w:p>
    <w:p>
      <w:pPr>
        <w:spacing w:after="0" w:line="132" w:lineRule="exact"/>
        <w:rPr>
          <w:sz w:val="20"/>
          <w:szCs w:val="20"/>
          <w:color w:val="auto"/>
        </w:rPr>
      </w:pPr>
    </w:p>
    <w:p>
      <w:pPr>
        <w:ind w:right="60" w:firstLine="464"/>
        <w:spacing w:after="0" w:line="306" w:lineRule="auto"/>
        <w:tabs>
          <w:tab w:leader="none" w:pos="63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We do not know of any (i) legal or governmental proceeding; (ii) U.S. federal or California state statute or regulation; or (iii) provision of the Delaware General Corporation Law required to be described in the Registration Statement or the Prospectus which is not described in all material respects therein as required nor of any contracts or documents of a character required to be filed with the Registration Statement that are not filed as required.</w:t>
      </w:r>
    </w:p>
    <w:p>
      <w:pPr>
        <w:spacing w:after="0" w:line="106" w:lineRule="exact"/>
        <w:rPr>
          <w:rFonts w:ascii="Arial" w:cs="Arial" w:eastAsia="Arial" w:hAnsi="Arial"/>
          <w:sz w:val="16"/>
          <w:szCs w:val="16"/>
          <w:color w:val="auto"/>
        </w:rPr>
      </w:pPr>
    </w:p>
    <w:p>
      <w:pPr>
        <w:ind w:right="620" w:firstLine="464"/>
        <w:spacing w:after="0" w:line="268" w:lineRule="auto"/>
        <w:tabs>
          <w:tab w:leader="none" w:pos="63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an “investment company” as such term is defined in the Investment Company Act.</w:t>
      </w:r>
    </w:p>
    <w:p>
      <w:pPr>
        <w:spacing w:after="0" w:line="131" w:lineRule="exact"/>
        <w:rPr>
          <w:rFonts w:ascii="Arial" w:cs="Arial" w:eastAsia="Arial" w:hAnsi="Arial"/>
          <w:sz w:val="18"/>
          <w:szCs w:val="18"/>
          <w:color w:val="auto"/>
        </w:rPr>
      </w:pPr>
    </w:p>
    <w:p>
      <w:pPr>
        <w:jc w:val="both"/>
        <w:ind w:right="160" w:firstLine="464"/>
        <w:spacing w:after="0" w:line="298" w:lineRule="auto"/>
        <w:tabs>
          <w:tab w:leader="none" w:pos="7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Registration Statement was declared effective under the Securities Act on February —, 2011, and the Prospectus was filed with the Commission pursuant to Rule 424(b) under the Securities Act on February —, 2011. To our knowledge, based on a telephonic confirmation by a member of the Staff of the Commission on February —, 2011, no stop order suspending the effectiveness of the Registration Statement or any part thereof has been issued, and, to our knowledge, no proceedings for that purpose have been instituted or are pending or threatened by the Commission.</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11. The Issuer Free Writing Prospectus filed with the Commission pursuant to Rule 433 under the Securities Act and set forth on Exhibit to this opinion letter has been made within the time period required by Rule 433(d) under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-175895</wp:posOffset>
            </wp:positionV>
            <wp:extent cx="1117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254" w:name="page255"/>
    <w:bookmarkEnd w:id="254"/>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L</w:t>
      </w:r>
      <w:r>
        <w:rPr>
          <w:rFonts w:ascii="Arial" w:cs="Arial" w:eastAsia="Arial" w:hAnsi="Arial"/>
          <w:sz w:val="14"/>
          <w:szCs w:val="14"/>
          <w:color w:val="auto"/>
        </w:rPr>
        <w:t>EGAL</w:t>
      </w:r>
      <w:r>
        <w:rPr>
          <w:rFonts w:ascii="Arial" w:cs="Arial" w:eastAsia="Arial" w:hAnsi="Arial"/>
          <w:sz w:val="18"/>
          <w:szCs w:val="18"/>
          <w:color w:val="auto"/>
        </w:rPr>
        <w:t xml:space="preserve"> O</w:t>
      </w:r>
      <w:r>
        <w:rPr>
          <w:rFonts w:ascii="Arial" w:cs="Arial" w:eastAsia="Arial" w:hAnsi="Arial"/>
          <w:sz w:val="14"/>
          <w:szCs w:val="14"/>
          <w:color w:val="auto"/>
        </w:rPr>
        <w:t>PINION OF</w:t>
      </w:r>
      <w:r>
        <w:rPr>
          <w:rFonts w:ascii="Arial" w:cs="Arial" w:eastAsia="Arial" w:hAnsi="Arial"/>
          <w:sz w:val="18"/>
          <w:szCs w:val="18"/>
          <w:color w:val="auto"/>
        </w:rPr>
        <w:t xml:space="preserve"> K</w:t>
      </w:r>
      <w:r>
        <w:rPr>
          <w:rFonts w:ascii="Arial" w:cs="Arial" w:eastAsia="Arial" w:hAnsi="Arial"/>
          <w:sz w:val="14"/>
          <w:szCs w:val="14"/>
          <w:color w:val="auto"/>
        </w:rPr>
        <w:t>ILPATRICK</w:t>
      </w:r>
      <w:r>
        <w:rPr>
          <w:rFonts w:ascii="Arial" w:cs="Arial" w:eastAsia="Arial" w:hAnsi="Arial"/>
          <w:sz w:val="18"/>
          <w:szCs w:val="18"/>
          <w:color w:val="auto"/>
        </w:rPr>
        <w:t xml:space="preserve"> T</w:t>
      </w:r>
      <w:r>
        <w:rPr>
          <w:rFonts w:ascii="Arial" w:cs="Arial" w:eastAsia="Arial" w:hAnsi="Arial"/>
          <w:sz w:val="14"/>
          <w:szCs w:val="14"/>
          <w:color w:val="auto"/>
        </w:rPr>
        <w:t>OWNSEND</w:t>
      </w:r>
      <w:r>
        <w:rPr>
          <w:rFonts w:ascii="Arial" w:cs="Arial" w:eastAsia="Arial" w:hAnsi="Arial"/>
          <w:sz w:val="18"/>
          <w:szCs w:val="18"/>
          <w:color w:val="auto"/>
        </w:rPr>
        <w:t xml:space="preserve"> &amp; S</w:t>
      </w:r>
      <w:r>
        <w:rPr>
          <w:rFonts w:ascii="Arial" w:cs="Arial" w:eastAsia="Arial" w:hAnsi="Arial"/>
          <w:sz w:val="14"/>
          <w:szCs w:val="14"/>
          <w:color w:val="auto"/>
        </w:rPr>
        <w:t>TOCKTON</w:t>
      </w:r>
      <w:r>
        <w:rPr>
          <w:rFonts w:ascii="Arial" w:cs="Arial" w:eastAsia="Arial" w:hAnsi="Arial"/>
          <w:sz w:val="18"/>
          <w:szCs w:val="18"/>
          <w:color w:val="auto"/>
        </w:rPr>
        <w:t xml:space="preserve"> LLP</w:t>
      </w:r>
    </w:p>
    <w:p>
      <w:pPr>
        <w:spacing w:after="0" w:line="171" w:lineRule="exact"/>
        <w:rPr>
          <w:sz w:val="20"/>
          <w:szCs w:val="20"/>
          <w:color w:val="auto"/>
        </w:rPr>
      </w:pPr>
    </w:p>
    <w:p>
      <w:pPr>
        <w:ind w:left="632" w:hanging="176"/>
        <w:spacing w:after="0"/>
        <w:tabs>
          <w:tab w:leader="none" w:pos="63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our knowledge, patent applications within the Company Patent Rights have been properly prepared as to form.</w:t>
      </w:r>
    </w:p>
    <w:p>
      <w:pPr>
        <w:spacing w:after="0" w:line="171" w:lineRule="exact"/>
        <w:rPr>
          <w:rFonts w:ascii="Arial" w:cs="Arial" w:eastAsia="Arial" w:hAnsi="Arial"/>
          <w:sz w:val="18"/>
          <w:szCs w:val="18"/>
          <w:color w:val="auto"/>
        </w:rPr>
      </w:pPr>
    </w:p>
    <w:p>
      <w:pPr>
        <w:ind w:left="632" w:hanging="176"/>
        <w:spacing w:after="0"/>
        <w:tabs>
          <w:tab w:leader="none" w:pos="63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To our knowledge, the patent applications within the Company Patent Rights are pending and being prosecuted so as to avoid abandonment thereof.</w:t>
      </w:r>
    </w:p>
    <w:p>
      <w:pPr>
        <w:spacing w:after="0" w:line="194" w:lineRule="exact"/>
        <w:rPr>
          <w:rFonts w:ascii="Arial" w:cs="Arial" w:eastAsia="Arial" w:hAnsi="Arial"/>
          <w:sz w:val="16"/>
          <w:szCs w:val="16"/>
          <w:color w:val="auto"/>
        </w:rPr>
      </w:pPr>
    </w:p>
    <w:p>
      <w:pPr>
        <w:ind w:left="-8" w:right="20" w:firstLine="464"/>
        <w:spacing w:after="0" w:line="259" w:lineRule="auto"/>
        <w:tabs>
          <w:tab w:leader="none" w:pos="62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our knowledge and with the exceptions noted below, (a) the Company is the exclusive owner of all right, title and interest in the Fluidigm Patent Rights and CIT is the exclusive owner of all right, title and interest in the Fluidigm/CIT Patent Rights, (b) the assignments that have been obtained with respect to the Company Patent Rights are valid and have been recorded in the U.S. Patent and Trademark Office:</w:t>
      </w:r>
    </w:p>
    <w:p>
      <w:pPr>
        <w:spacing w:after="0" w:line="140" w:lineRule="exact"/>
        <w:rPr>
          <w:rFonts w:ascii="Arial" w:cs="Arial" w:eastAsia="Arial" w:hAnsi="Arial"/>
          <w:sz w:val="18"/>
          <w:szCs w:val="18"/>
          <w:color w:val="auto"/>
        </w:rPr>
      </w:pPr>
    </w:p>
    <w:p>
      <w:pPr>
        <w:ind w:left="-8" w:firstLine="921"/>
        <w:spacing w:after="0" w:line="254" w:lineRule="auto"/>
        <w:tabs>
          <w:tab w:leader="none" w:pos="1115" w:val="left"/>
        </w:tabs>
        <w:numPr>
          <w:ilvl w:val="2"/>
          <w:numId w:val="172"/>
        </w:numPr>
        <w:rPr>
          <w:rFonts w:ascii="Arial" w:cs="Arial" w:eastAsia="Arial" w:hAnsi="Arial"/>
          <w:sz w:val="18"/>
          <w:szCs w:val="18"/>
          <w:color w:val="auto"/>
        </w:rPr>
      </w:pPr>
      <w:r>
        <w:rPr>
          <w:rFonts w:ascii="Arial" w:cs="Arial" w:eastAsia="Arial" w:hAnsi="Arial"/>
          <w:sz w:val="18"/>
          <w:szCs w:val="18"/>
          <w:color w:val="auto"/>
        </w:rPr>
        <w:t>We understand the following U.S. patents and pending applications which name James M. Berger as a coinventor, and foreign equivalents thereof, are coassigned to CIT and the Reagents of the University of California: U.S. Pat. Nos. 7,704,322; 7,479,186; 7,459,022; 7,326,296; 7,306,672; 7,217,321; and 7,195,670; and U.S. App. Nos. 12/262,170; 11/668,263; and 11/748,838. In U.S. Pat. No. 7,052,545, a petition to add James M. Berger as an inventor was filed in the course of prosecution but this inventorship is not reflected on the face of the patent. Dr. Berger’s assignment to the Regents of the University of California is recorded at the U.S. Patent and Trademark Office. Therefore, we believe this patent also is co-owned by the Company and the Regents of the University of California.</w:t>
      </w:r>
    </w:p>
    <w:p>
      <w:pPr>
        <w:spacing w:after="0" w:line="144" w:lineRule="exact"/>
        <w:rPr>
          <w:rFonts w:ascii="Arial" w:cs="Arial" w:eastAsia="Arial" w:hAnsi="Arial"/>
          <w:sz w:val="18"/>
          <w:szCs w:val="18"/>
          <w:color w:val="auto"/>
        </w:rPr>
      </w:pPr>
    </w:p>
    <w:p>
      <w:pPr>
        <w:ind w:left="-8" w:right="80" w:firstLine="921"/>
        <w:spacing w:after="0" w:line="259" w:lineRule="auto"/>
        <w:tabs>
          <w:tab w:leader="none" w:pos="1163" w:val="left"/>
        </w:tabs>
        <w:numPr>
          <w:ilvl w:val="2"/>
          <w:numId w:val="172"/>
        </w:numPr>
        <w:rPr>
          <w:rFonts w:ascii="Arial" w:cs="Arial" w:eastAsia="Arial" w:hAnsi="Arial"/>
          <w:sz w:val="18"/>
          <w:szCs w:val="18"/>
          <w:color w:val="auto"/>
        </w:rPr>
      </w:pPr>
      <w:r>
        <w:rPr>
          <w:rFonts w:ascii="Arial" w:cs="Arial" w:eastAsia="Arial" w:hAnsi="Arial"/>
          <w:sz w:val="18"/>
          <w:szCs w:val="18"/>
          <w:color w:val="auto"/>
        </w:rPr>
        <w:t>We understand that U.S. App. No. 11/792,168 and its European equivalent are coassigned to the Company, CIT, the Regents of the University of California (“UC”), and Siemens Medical Solutions USA, Inc. (“SMS”). Assignments to the Company, CIT and UC have been filed. No assignment has been obtained or filed in connection with the SMS interest.</w:t>
      </w:r>
    </w:p>
    <w:p>
      <w:pPr>
        <w:spacing w:after="0" w:line="140" w:lineRule="exact"/>
        <w:rPr>
          <w:rFonts w:ascii="Arial" w:cs="Arial" w:eastAsia="Arial" w:hAnsi="Arial"/>
          <w:sz w:val="18"/>
          <w:szCs w:val="18"/>
          <w:color w:val="auto"/>
        </w:rPr>
      </w:pPr>
    </w:p>
    <w:p>
      <w:pPr>
        <w:ind w:left="1212" w:hanging="299"/>
        <w:spacing w:after="0"/>
        <w:tabs>
          <w:tab w:leader="none" w:pos="1212"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Assignments have not yet been recorded for U.S. App. Nos. 61/406066; 61/439,325; and 61/439,350.</w:t>
      </w:r>
    </w:p>
    <w:p>
      <w:pPr>
        <w:spacing w:after="0" w:line="171" w:lineRule="exact"/>
        <w:rPr>
          <w:rFonts w:ascii="Arial" w:cs="Arial" w:eastAsia="Arial" w:hAnsi="Arial"/>
          <w:sz w:val="18"/>
          <w:szCs w:val="18"/>
          <w:color w:val="auto"/>
        </w:rPr>
      </w:pPr>
    </w:p>
    <w:p>
      <w:pPr>
        <w:ind w:left="-8" w:right="260" w:firstLine="921"/>
        <w:spacing w:after="0" w:line="298" w:lineRule="auto"/>
        <w:tabs>
          <w:tab w:leader="none" w:pos="1202" w:val="left"/>
        </w:tabs>
        <w:numPr>
          <w:ilvl w:val="2"/>
          <w:numId w:val="172"/>
        </w:numPr>
        <w:rPr>
          <w:rFonts w:ascii="Arial" w:cs="Arial" w:eastAsia="Arial" w:hAnsi="Arial"/>
          <w:sz w:val="16"/>
          <w:szCs w:val="16"/>
          <w:color w:val="auto"/>
        </w:rPr>
      </w:pPr>
      <w:r>
        <w:rPr>
          <w:rFonts w:ascii="Arial" w:cs="Arial" w:eastAsia="Arial" w:hAnsi="Arial"/>
          <w:sz w:val="16"/>
          <w:szCs w:val="16"/>
          <w:color w:val="auto"/>
        </w:rPr>
        <w:t>U.S. Pat. App. No. 11/912,502 names Lincoln McBride as a coinventor. No assignment of the application has been obtained from McBride, a former employee of the Company. A redacted copy of McBride’s “Employment, Confidential Information and Invention Assignment Agreement” executed January 16, 2002, has been submitted to the U.S. Patent and Trademark Office for recordation. An assignment by McBride of U.S. Pat. App. No. 11/084,357, from which U.S. Pat. App. No. 11/912,502 claims priority, has been obtained and recorded.</w:t>
      </w:r>
    </w:p>
    <w:p>
      <w:pPr>
        <w:spacing w:after="0" w:line="112" w:lineRule="exact"/>
        <w:rPr>
          <w:rFonts w:ascii="Arial" w:cs="Arial" w:eastAsia="Arial" w:hAnsi="Arial"/>
          <w:sz w:val="16"/>
          <w:szCs w:val="16"/>
          <w:color w:val="auto"/>
        </w:rPr>
      </w:pPr>
    </w:p>
    <w:p>
      <w:pPr>
        <w:ind w:left="-8" w:right="60" w:firstLine="464"/>
        <w:spacing w:after="0" w:line="268" w:lineRule="auto"/>
        <w:tabs>
          <w:tab w:leader="none" w:pos="62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Except as noted in the Prospectus, to our knowledge, no actions, suits, claims or proceedings are pending or have been asserted or threatened against the Company alleging that the Company is infringing, violating or misappropriating the patent rights of any third party.</w:t>
      </w:r>
    </w:p>
    <w:p>
      <w:pPr>
        <w:spacing w:after="0" w:line="131" w:lineRule="exact"/>
        <w:rPr>
          <w:rFonts w:ascii="Arial" w:cs="Arial" w:eastAsia="Arial" w:hAnsi="Arial"/>
          <w:sz w:val="18"/>
          <w:szCs w:val="18"/>
          <w:color w:val="auto"/>
        </w:rPr>
      </w:pPr>
    </w:p>
    <w:p>
      <w:pPr>
        <w:ind w:left="-8" w:right="20" w:firstLine="464"/>
        <w:spacing w:after="0" w:line="332" w:lineRule="auto"/>
        <w:tabs>
          <w:tab w:leader="none" w:pos="624"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Except as noted in Paragraph 3(i) – (ii) above, to our knowledge, no actions, suits, claims or proceedings are pending or have been asserted or threatened against the Company alleging that any third party has any inventorship interest or ownership interest in any of the Company Patent Rights.</w:t>
      </w:r>
    </w:p>
    <w:p>
      <w:pPr>
        <w:spacing w:after="0" w:line="85" w:lineRule="exact"/>
        <w:rPr>
          <w:rFonts w:ascii="Arial" w:cs="Arial" w:eastAsia="Arial" w:hAnsi="Arial"/>
          <w:sz w:val="16"/>
          <w:szCs w:val="16"/>
          <w:color w:val="auto"/>
        </w:rPr>
      </w:pPr>
    </w:p>
    <w:p>
      <w:pPr>
        <w:ind w:left="-8" w:right="180" w:firstLine="464"/>
        <w:spacing w:after="0" w:line="268" w:lineRule="auto"/>
        <w:tabs>
          <w:tab w:leader="none" w:pos="62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our knowledge, and without having conducted a freedom to operate analysis, we are not aware of any third party patents that would be infringed by the Company’s manufacture, use or sale of products described in the Prospectus.</w:t>
      </w:r>
    </w:p>
    <w:p>
      <w:pPr>
        <w:spacing w:after="0" w:line="131" w:lineRule="exact"/>
        <w:rPr>
          <w:rFonts w:ascii="Arial" w:cs="Arial" w:eastAsia="Arial" w:hAnsi="Arial"/>
          <w:sz w:val="18"/>
          <w:szCs w:val="18"/>
          <w:color w:val="auto"/>
        </w:rPr>
      </w:pPr>
    </w:p>
    <w:p>
      <w:pPr>
        <w:ind w:left="-8" w:right="280" w:firstLine="464"/>
        <w:spacing w:after="0" w:line="268" w:lineRule="auto"/>
        <w:tabs>
          <w:tab w:leader="none" w:pos="62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our knowledge, no court has issued any order, judgment, decree or injunction restricting the operation of the Company’s business on the basis of a conflict with or infringement of the patent rights of any third party.</w:t>
      </w:r>
    </w:p>
    <w:p>
      <w:pPr>
        <w:spacing w:after="0" w:line="131" w:lineRule="exact"/>
        <w:rPr>
          <w:rFonts w:ascii="Arial" w:cs="Arial" w:eastAsia="Arial" w:hAnsi="Arial"/>
          <w:sz w:val="18"/>
          <w:szCs w:val="18"/>
          <w:color w:val="auto"/>
        </w:rPr>
      </w:pPr>
    </w:p>
    <w:p>
      <w:pPr>
        <w:ind w:left="-8" w:right="240" w:firstLine="464"/>
        <w:spacing w:after="0" w:line="268" w:lineRule="auto"/>
        <w:tabs>
          <w:tab w:leader="none" w:pos="62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our knowledge, there are no pending or threatened legal or governmental proceedings relating to the patents and pending patent applications in the Company Patent Rights, other than those that are carried out during the course of normal prosecution.</w:t>
      </w:r>
    </w:p>
    <w:p>
      <w:pPr>
        <w:spacing w:after="0" w:line="131" w:lineRule="exact"/>
        <w:rPr>
          <w:rFonts w:ascii="Arial" w:cs="Arial" w:eastAsia="Arial" w:hAnsi="Arial"/>
          <w:sz w:val="18"/>
          <w:szCs w:val="18"/>
          <w:color w:val="auto"/>
        </w:rPr>
      </w:pPr>
    </w:p>
    <w:p>
      <w:pPr>
        <w:ind w:left="632" w:hanging="176"/>
        <w:spacing w:after="0"/>
        <w:tabs>
          <w:tab w:leader="none" w:pos="63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To our knowledge, and without having conducted a validity analysis of the patents and patent applications in the Company Patent Rights, we affirm that</w:t>
      </w:r>
    </w:p>
    <w:p>
      <w:pPr>
        <w:spacing w:after="0" w:line="38" w:lineRule="exact"/>
        <w:rPr>
          <w:rFonts w:ascii="Arial" w:cs="Arial" w:eastAsia="Arial" w:hAnsi="Arial"/>
          <w:sz w:val="16"/>
          <w:szCs w:val="16"/>
          <w:color w:val="auto"/>
        </w:rPr>
      </w:pPr>
    </w:p>
    <w:p>
      <w:pPr>
        <w:ind w:left="-8" w:right="20" w:firstLine="8"/>
        <w:spacing w:after="0" w:line="290" w:lineRule="auto"/>
        <w:tabs>
          <w:tab w:leader="none" w:pos="23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we are presently unaware of facts that in the aggregate have led us to conclude that such patents would be found invalid or unenforceable, (b) we are presently unaware of any facts regarding material defects in respect of form in the preparation or filing of any of the patent applications in the Company Patent Rights that in the aggregate have led us to conclude that patents properly issuing from such applications would be held invalid or unenforceable, although such affirmation is necessarily based on the precise claims, if any, that would actually issue, and (c) we are presently unaware of facts that in the aggregate have led us to conclude that patents could not properly issue from the patent applications in the Company Patent Rights or if they did issue that they would be held invalid, although such affirmation is necessarily based on the precise claims, if any, that would actually issue.</w:t>
      </w:r>
    </w:p>
    <w:p>
      <w:pPr>
        <w:spacing w:after="0" w:line="118" w:lineRule="exact"/>
        <w:rPr>
          <w:rFonts w:ascii="Arial" w:cs="Arial" w:eastAsia="Arial" w:hAnsi="Arial"/>
          <w:sz w:val="16"/>
          <w:szCs w:val="16"/>
          <w:color w:val="auto"/>
        </w:rPr>
      </w:pPr>
    </w:p>
    <w:p>
      <w:pPr>
        <w:ind w:left="-8" w:right="220" w:firstLine="464"/>
        <w:spacing w:after="0" w:line="306" w:lineRule="auto"/>
        <w:tabs>
          <w:tab w:leader="none" w:pos="712"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To our knowledge, and without having done any investigation beyond review of our files in the normal course of prosecution, we are unaware of any facts that lead us to believe that any U.S. patents in the Company Patent Rights were not prosecuted, or any U.S. patent applications in the Company Patent Rights are not being prosecuted, in compliance with the duty of candor and disclosure under 37 C.F.R. §1.56.</w:t>
      </w:r>
    </w:p>
    <w:p>
      <w:pPr>
        <w:spacing w:after="0" w:line="106" w:lineRule="exact"/>
        <w:rPr>
          <w:rFonts w:ascii="Arial" w:cs="Arial" w:eastAsia="Arial" w:hAnsi="Arial"/>
          <w:sz w:val="16"/>
          <w:szCs w:val="16"/>
          <w:color w:val="auto"/>
        </w:rPr>
      </w:pPr>
    </w:p>
    <w:p>
      <w:pPr>
        <w:ind w:left="-8" w:right="180" w:firstLine="464"/>
        <w:spacing w:after="0" w:line="306" w:lineRule="auto"/>
        <w:tabs>
          <w:tab w:leader="none" w:pos="705"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To our knowledge, the foreign associates who were instructed to attend to the filing of the non-U.S. patent applications in the Company Patent Rights have confirmed the timely filing of each of such applications and have reported the application serial numbers assigned to such applications, where such serial numbers have issued.</w:t>
      </w:r>
    </w:p>
    <w:p>
      <w:pPr>
        <w:sectPr>
          <w:pgSz w:w="11900" w:h="16838" w:orient="portrait"/>
          <w:cols w:equalWidth="0" w:num="1">
            <w:col w:w="11392"/>
          </w:cols>
          <w:pgMar w:left="248" w:top="280" w:right="25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117475</wp:posOffset>
            </wp:positionV>
            <wp:extent cx="6089015" cy="36963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89015" cy="369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7"/>
          </w:tcPr>
          <w:p>
            <w:pPr>
              <w:spacing w:after="0"/>
              <w:rPr>
                <w:sz w:val="20"/>
                <w:szCs w:val="20"/>
                <w:color w:val="auto"/>
              </w:rPr>
            </w:pPr>
            <w:r>
              <w:rPr>
                <w:rFonts w:ascii="Arial" w:cs="Arial" w:eastAsia="Arial" w:hAnsi="Arial"/>
                <w:sz w:val="14"/>
                <w:szCs w:val="14"/>
                <w:color w:val="FFFFFF"/>
              </w:rPr>
              <w:t>CUSIP XXXXXX XX X Holder ID XXXXXXXXXX</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120" w:type="dxa"/>
            <w:vAlign w:val="bottom"/>
            <w:gridSpan w:val="7"/>
          </w:tcPr>
          <w:p>
            <w:pPr>
              <w:spacing w:after="0"/>
              <w:rPr>
                <w:sz w:val="20"/>
                <w:szCs w:val="20"/>
                <w:color w:val="auto"/>
              </w:rPr>
            </w:pPr>
            <w:r>
              <w:rPr>
                <w:rFonts w:ascii="Arial" w:cs="Arial" w:eastAsia="Arial" w:hAnsi="Arial"/>
                <w:sz w:val="3"/>
                <w:szCs w:val="3"/>
                <w:color w:val="FFFFFF"/>
              </w:rPr>
              <w:t>Insurance Value 00.1,000,000 Number of Shares 123456</w:t>
            </w: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5"/>
          </w:tcPr>
          <w:p>
            <w:pPr>
              <w:spacing w:after="0"/>
              <w:rPr>
                <w:sz w:val="20"/>
                <w:szCs w:val="20"/>
                <w:color w:val="auto"/>
              </w:rPr>
            </w:pPr>
            <w:r>
              <w:rPr>
                <w:rFonts w:ascii="Arial" w:cs="Arial" w:eastAsia="Arial" w:hAnsi="Arial"/>
                <w:sz w:val="3"/>
                <w:szCs w:val="3"/>
                <w:color w:val="FFFFFF"/>
              </w:rPr>
              <w:t>DTC 12345678901234512345678</w:t>
            </w: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20" w:type="dxa"/>
            <w:vAlign w:val="bottom"/>
            <w:gridSpan w:val="7"/>
          </w:tcPr>
          <w:p>
            <w:pPr>
              <w:spacing w:after="0"/>
              <w:rPr>
                <w:sz w:val="20"/>
                <w:szCs w:val="20"/>
                <w:color w:val="auto"/>
              </w:rPr>
            </w:pPr>
            <w:r>
              <w:rPr>
                <w:rFonts w:ascii="Arial" w:cs="Arial" w:eastAsia="Arial" w:hAnsi="Arial"/>
                <w:sz w:val="3"/>
                <w:szCs w:val="3"/>
                <w:color w:val="FFFFFF"/>
              </w:rPr>
              <w:t>PO BOX 43004, Providence, RI 02940-3004</w:t>
            </w: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20" w:type="dxa"/>
            <w:vAlign w:val="bottom"/>
            <w:gridSpan w:val="7"/>
          </w:tcPr>
          <w:p>
            <w:pPr>
              <w:spacing w:after="0"/>
              <w:rPr>
                <w:sz w:val="20"/>
                <w:szCs w:val="20"/>
                <w:color w:val="auto"/>
              </w:rPr>
            </w:pPr>
            <w:r>
              <w:rPr>
                <w:rFonts w:ascii="Arial" w:cs="Arial" w:eastAsia="Arial" w:hAnsi="Arial"/>
                <w:sz w:val="3"/>
                <w:szCs w:val="3"/>
                <w:color w:val="FFFFFF"/>
              </w:rPr>
              <w:t>Certificate Numbers Num/No Denom. Total.</w:t>
            </w: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1"/>
          </w:tcPr>
          <w:p>
            <w:pPr>
              <w:spacing w:after="0" w:line="41" w:lineRule="exact"/>
              <w:rPr>
                <w:sz w:val="20"/>
                <w:szCs w:val="20"/>
                <w:color w:val="auto"/>
              </w:rPr>
            </w:pPr>
            <w:r>
              <w:rPr>
                <w:rFonts w:ascii="Arial" w:cs="Arial" w:eastAsia="Arial" w:hAnsi="Arial"/>
                <w:sz w:val="2"/>
                <w:szCs w:val="2"/>
                <w:color w:val="FFFFFF"/>
              </w:rPr>
              <w:t>MR A</w:t>
            </w:r>
            <w:r>
              <w:rPr>
                <w:rFonts w:ascii="Arial" w:cs="Arial" w:eastAsia="Arial" w:hAnsi="Arial"/>
                <w:sz w:val="4"/>
                <w:szCs w:val="4"/>
                <w:color w:val="FFFFFF"/>
                <w:vertAlign w:val="subscript"/>
              </w:rPr>
              <w:t>3</w:t>
            </w:r>
            <w:r>
              <w:rPr>
                <w:rFonts w:ascii="Arial" w:cs="Arial" w:eastAsia="Arial" w:hAnsi="Arial"/>
                <w:sz w:val="2"/>
                <w:szCs w:val="2"/>
                <w:color w:val="FFFFFF"/>
              </w:rPr>
              <w:t>SAMPLE 1234567890/1234567890 111 DESIGNATION (IF ANY) 1234567890/1234567890 222 ADD 1 1234567890/1234567890 333 ADD 2 1234567890/1234567890 444</w:t>
            </w:r>
          </w:p>
        </w:tc>
        <w:tc>
          <w:tcPr>
            <w:tcW w:w="0" w:type="dxa"/>
            <w:vAlign w:val="bottom"/>
          </w:tcPr>
          <w:p>
            <w:pPr>
              <w:spacing w:after="0"/>
              <w:rPr>
                <w:sz w:val="1"/>
                <w:szCs w:val="1"/>
                <w:color w:val="auto"/>
              </w:rPr>
            </w:pPr>
          </w:p>
        </w:tc>
      </w:tr>
      <w:tr>
        <w:trPr>
          <w:trHeight w:val="81"/>
        </w:trPr>
        <w:tc>
          <w:tcPr>
            <w:tcW w:w="760" w:type="dxa"/>
            <w:vAlign w:val="bottom"/>
            <w:gridSpan w:val="2"/>
          </w:tcPr>
          <w:p>
            <w:pPr>
              <w:spacing w:after="0" w:line="81" w:lineRule="exact"/>
              <w:rPr>
                <w:sz w:val="20"/>
                <w:szCs w:val="20"/>
                <w:color w:val="auto"/>
              </w:rPr>
            </w:pPr>
            <w:r>
              <w:rPr>
                <w:rFonts w:ascii="Arial" w:cs="Arial" w:eastAsia="Arial" w:hAnsi="Arial"/>
                <w:sz w:val="9"/>
                <w:szCs w:val="9"/>
                <w:color w:val="FFFFFF"/>
              </w:rPr>
              <w:t>ADD 4</w:t>
            </w: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20" w:type="dxa"/>
            <w:vAlign w:val="bottom"/>
            <w:gridSpan w:val="5"/>
          </w:tcPr>
          <w:p>
            <w:pPr>
              <w:jc w:val="right"/>
              <w:ind w:right="101"/>
              <w:spacing w:after="0" w:line="81" w:lineRule="exact"/>
              <w:rPr>
                <w:sz w:val="20"/>
                <w:szCs w:val="20"/>
                <w:color w:val="auto"/>
              </w:rPr>
            </w:pPr>
            <w:r>
              <w:rPr>
                <w:rFonts w:ascii="Arial" w:cs="Arial" w:eastAsia="Arial" w:hAnsi="Arial"/>
                <w:sz w:val="9"/>
                <w:szCs w:val="9"/>
                <w:color w:val="FFFFFF"/>
              </w:rPr>
              <w:t>555 1234567890/1234567890 666</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840" w:type="dxa"/>
            <w:vAlign w:val="bottom"/>
            <w:gridSpan w:val="4"/>
          </w:tcPr>
          <w:p>
            <w:pPr>
              <w:spacing w:after="0"/>
              <w:rPr>
                <w:sz w:val="20"/>
                <w:szCs w:val="20"/>
                <w:color w:val="auto"/>
              </w:rPr>
            </w:pPr>
            <w:r>
              <w:rPr>
                <w:rFonts w:ascii="Arial" w:cs="Arial" w:eastAsia="Arial" w:hAnsi="Arial"/>
                <w:sz w:val="3"/>
                <w:szCs w:val="3"/>
                <w:color w:val="FFFFFF"/>
              </w:rPr>
              <w:t>Total Transaction1234567890/1234567890</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gridSpan w:val="2"/>
            <w:vMerge w:val="restart"/>
          </w:tcPr>
          <w:p>
            <w:pPr>
              <w:jc w:val="center"/>
              <w:ind w:right="15"/>
              <w:spacing w:after="0" w:line="81" w:lineRule="exact"/>
              <w:rPr>
                <w:sz w:val="20"/>
                <w:szCs w:val="20"/>
                <w:color w:val="auto"/>
              </w:rPr>
            </w:pPr>
            <w:r>
              <w:rPr>
                <w:rFonts w:ascii="Arial" w:cs="Arial" w:eastAsia="Arial" w:hAnsi="Arial"/>
                <w:sz w:val="9"/>
                <w:szCs w:val="9"/>
                <w:color w:val="FFFFFF"/>
              </w:rPr>
              <w:t>-423 NNNNN</w:t>
            </w: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0" w:type="dxa"/>
            <w:vAlign w:val="bottom"/>
            <w:gridSpan w:val="2"/>
          </w:tcPr>
          <w:p>
            <w:pPr>
              <w:spacing w:after="0"/>
              <w:rPr>
                <w:sz w:val="20"/>
                <w:szCs w:val="20"/>
                <w:color w:val="auto"/>
              </w:rPr>
            </w:pPr>
            <w:r>
              <w:rPr>
                <w:rFonts w:ascii="Arial" w:cs="Arial" w:eastAsia="Arial" w:hAnsi="Arial"/>
                <w:sz w:val="3"/>
                <w:szCs w:val="3"/>
                <w:color w:val="FFFFFF"/>
              </w:rPr>
              <w:t>016570|</w:t>
            </w: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gridSpan w:val="14"/>
          </w:tcPr>
          <w:p>
            <w:pPr>
              <w:spacing w:after="0" w:line="21" w:lineRule="exact"/>
              <w:rPr>
                <w:sz w:val="20"/>
                <w:szCs w:val="20"/>
                <w:color w:val="auto"/>
              </w:rPr>
            </w:pPr>
            <w:r>
              <w:rPr>
                <w:rFonts w:ascii="Arial" w:cs="Arial" w:eastAsia="Arial" w:hAnsi="Arial"/>
                <w:sz w:val="2"/>
                <w:szCs w:val="2"/>
                <w:color w:val="FFFFFF"/>
              </w:rPr>
              <w:t>PAR VALUE003590|127C|RESTRICTED||4|057$0.001THISCERTIFICAIS TRANSFERABLE IN CANTON, MA AND NEW YORK, NY</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40" w:type="dxa"/>
            <w:vAlign w:val="bottom"/>
            <w:gridSpan w:val="4"/>
          </w:tcPr>
          <w:p>
            <w:pPr>
              <w:spacing w:after="0" w:line="21" w:lineRule="exact"/>
              <w:rPr>
                <w:sz w:val="20"/>
                <w:szCs w:val="20"/>
                <w:color w:val="auto"/>
              </w:rPr>
            </w:pPr>
            <w:r>
              <w:rPr>
                <w:rFonts w:ascii="Arial" w:cs="Arial" w:eastAsia="Arial" w:hAnsi="Arial"/>
                <w:sz w:val="2"/>
                <w:szCs w:val="2"/>
                <w:color w:val="FFFFFF"/>
              </w:rPr>
              <w:t>COMMON   OCK COMMON</w:t>
            </w:r>
          </w:p>
        </w:tc>
        <w:tc>
          <w:tcPr>
            <w:tcW w:w="100" w:type="dxa"/>
            <w:vAlign w:val="bottom"/>
          </w:tcPr>
          <w:p>
            <w:pPr>
              <w:spacing w:after="0" w:line="20" w:lineRule="exact"/>
              <w:rPr>
                <w:sz w:val="1"/>
                <w:szCs w:val="1"/>
                <w:color w:val="auto"/>
              </w:rPr>
            </w:pPr>
          </w:p>
        </w:tc>
        <w:tc>
          <w:tcPr>
            <w:tcW w:w="300" w:type="dxa"/>
            <w:vAlign w:val="bottom"/>
          </w:tcPr>
          <w:p>
            <w:pPr>
              <w:ind w:left="20"/>
              <w:spacing w:after="0" w:line="21" w:lineRule="exact"/>
              <w:rPr>
                <w:sz w:val="20"/>
                <w:szCs w:val="20"/>
                <w:color w:val="auto"/>
              </w:rPr>
            </w:pPr>
            <w:r>
              <w:rPr>
                <w:rFonts w:ascii="Arial" w:cs="Arial" w:eastAsia="Arial" w:hAnsi="Arial"/>
                <w:sz w:val="2"/>
                <w:szCs w:val="2"/>
                <w:color w:val="FFFFFF"/>
              </w:rPr>
              <w:t>OCK</w:t>
            </w: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80" w:type="dxa"/>
            <w:vAlign w:val="bottom"/>
            <w:gridSpan w:val="3"/>
          </w:tcPr>
          <w:p>
            <w:pPr>
              <w:spacing w:after="0" w:line="81" w:lineRule="exact"/>
              <w:rPr>
                <w:sz w:val="20"/>
                <w:szCs w:val="20"/>
                <w:color w:val="auto"/>
              </w:rPr>
            </w:pPr>
            <w:r>
              <w:rPr>
                <w:rFonts w:ascii="Arial" w:cs="Arial" w:eastAsia="Arial" w:hAnsi="Arial"/>
                <w:sz w:val="9"/>
                <w:szCs w:val="9"/>
                <w:color w:val="FFFFFF"/>
              </w:rPr>
              <w:t>Certificate Shares</w:t>
            </w: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840" w:type="dxa"/>
            <w:vAlign w:val="bottom"/>
            <w:gridSpan w:val="18"/>
          </w:tcPr>
          <w:p>
            <w:pPr>
              <w:spacing w:after="0"/>
              <w:rPr>
                <w:sz w:val="20"/>
                <w:szCs w:val="20"/>
                <w:color w:val="auto"/>
              </w:rPr>
            </w:pPr>
            <w:r>
              <w:rPr>
                <w:rFonts w:ascii="Arial" w:cs="Arial" w:eastAsia="Arial" w:hAnsi="Arial"/>
                <w:sz w:val="3"/>
                <w:szCs w:val="3"/>
                <w:color w:val="FFFFFF"/>
              </w:rPr>
              <w:t>Number * * * * 6 * 6 0 0 0 0 6 6 2 2 0 0 * * * * * * * * * * * ZQ 000000 * * * * 6 0 0 6 2 0 * * * * FLUIDIGM CORPORATION * * * * * 6 0 0 6 2 0 * * *</w:t>
            </w: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0" w:type="dxa"/>
            <w:vAlign w:val="bottom"/>
            <w:gridSpan w:val="13"/>
          </w:tcPr>
          <w:p>
            <w:pPr>
              <w:spacing w:after="0"/>
              <w:rPr>
                <w:sz w:val="20"/>
                <w:szCs w:val="20"/>
                <w:color w:val="auto"/>
              </w:rPr>
            </w:pPr>
            <w:r>
              <w:rPr>
                <w:rFonts w:ascii="Arial" w:cs="Arial" w:eastAsia="Arial" w:hAnsi="Arial"/>
                <w:sz w:val="3"/>
                <w:szCs w:val="3"/>
                <w:color w:val="FFFFFF"/>
              </w:rPr>
              <w:t>INCORPORATED UNDER THE LAWS OF THE STATE OF DELAWARE * * * * * * 6 0 0 6 2 0 * *</w:t>
            </w:r>
          </w:p>
        </w:tc>
        <w:tc>
          <w:tcPr>
            <w:tcW w:w="5620" w:type="dxa"/>
            <w:vAlign w:val="bottom"/>
            <w:gridSpan w:val="8"/>
            <w:vMerge w:val="restart"/>
          </w:tcPr>
          <w:p>
            <w:pPr>
              <w:jc w:val="right"/>
              <w:spacing w:after="0" w:line="81" w:lineRule="exact"/>
              <w:rPr>
                <w:sz w:val="20"/>
                <w:szCs w:val="20"/>
                <w:color w:val="auto"/>
              </w:rPr>
            </w:pPr>
            <w:r>
              <w:rPr>
                <w:rFonts w:ascii="Arial" w:cs="Arial" w:eastAsia="Arial" w:hAnsi="Arial"/>
                <w:sz w:val="9"/>
                <w:szCs w:val="9"/>
                <w:color w:val="FFFFFF"/>
              </w:rPr>
              <w:t>Mr. Alexander David Sample **** Mr. Alexander David Sample **** Mr. Alexander David Sample</w:t>
            </w:r>
          </w:p>
        </w:tc>
        <w:tc>
          <w:tcPr>
            <w:tcW w:w="0" w:type="dxa"/>
            <w:vAlign w:val="bottom"/>
          </w:tcPr>
          <w:p>
            <w:pPr>
              <w:spacing w:after="0"/>
              <w:rPr>
                <w:sz w:val="1"/>
                <w:szCs w:val="1"/>
                <w:color w:val="auto"/>
              </w:rPr>
            </w:pPr>
          </w:p>
        </w:tc>
      </w:tr>
      <w:tr>
        <w:trPr>
          <w:trHeight w:val="41"/>
        </w:trPr>
        <w:tc>
          <w:tcPr>
            <w:tcW w:w="1940" w:type="dxa"/>
            <w:vAlign w:val="bottom"/>
            <w:gridSpan w:val="5"/>
          </w:tcPr>
          <w:p>
            <w:pPr>
              <w:jc w:val="right"/>
              <w:spacing w:after="0"/>
              <w:rPr>
                <w:sz w:val="20"/>
                <w:szCs w:val="20"/>
                <w:color w:val="auto"/>
              </w:rPr>
            </w:pPr>
            <w:r>
              <w:rPr>
                <w:rFonts w:ascii="Arial" w:cs="Arial" w:eastAsia="Arial" w:hAnsi="Arial"/>
                <w:sz w:val="3"/>
                <w:szCs w:val="3"/>
                <w:color w:val="FFFFFF"/>
              </w:rPr>
              <w:t>Mr. Alexander David Sample **</w:t>
            </w:r>
          </w:p>
        </w:tc>
        <w:tc>
          <w:tcPr>
            <w:tcW w:w="1920" w:type="dxa"/>
            <w:vAlign w:val="bottom"/>
            <w:gridSpan w:val="4"/>
          </w:tcPr>
          <w:p>
            <w:pPr>
              <w:ind w:left="160"/>
              <w:spacing w:after="0"/>
              <w:rPr>
                <w:sz w:val="20"/>
                <w:szCs w:val="20"/>
                <w:color w:val="auto"/>
              </w:rPr>
            </w:pPr>
            <w:r>
              <w:rPr>
                <w:rFonts w:ascii="Arial" w:cs="Arial" w:eastAsia="Arial" w:hAnsi="Arial"/>
                <w:sz w:val="3"/>
                <w:szCs w:val="3"/>
                <w:color w:val="FFFFFF"/>
              </w:rPr>
              <w:t>Mr. Alexander David Sample **</w:t>
            </w:r>
          </w:p>
        </w:tc>
        <w:tc>
          <w:tcPr>
            <w:tcW w:w="1940" w:type="dxa"/>
            <w:vAlign w:val="bottom"/>
            <w:gridSpan w:val="4"/>
          </w:tcPr>
          <w:p>
            <w:pPr>
              <w:jc w:val="right"/>
              <w:spacing w:after="0"/>
              <w:rPr>
                <w:sz w:val="20"/>
                <w:szCs w:val="20"/>
                <w:color w:val="auto"/>
              </w:rPr>
            </w:pPr>
            <w:r>
              <w:rPr>
                <w:rFonts w:ascii="Arial" w:cs="Arial" w:eastAsia="Arial" w:hAnsi="Arial"/>
                <w:sz w:val="3"/>
                <w:szCs w:val="3"/>
                <w:color w:val="FFFFFF"/>
              </w:rPr>
              <w:t>Mr. Alexander David Sample **</w:t>
            </w:r>
          </w:p>
        </w:tc>
        <w:tc>
          <w:tcPr>
            <w:tcW w:w="56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w:t>
            </w:r>
          </w:p>
        </w:tc>
        <w:tc>
          <w:tcPr>
            <w:tcW w:w="1640" w:type="dxa"/>
            <w:vAlign w:val="bottom"/>
            <w:gridSpan w:val="4"/>
          </w:tcPr>
          <w:p>
            <w:pPr>
              <w:jc w:val="right"/>
              <w:spacing w:after="0"/>
              <w:rPr>
                <w:sz w:val="20"/>
                <w:szCs w:val="20"/>
                <w:color w:val="auto"/>
              </w:rPr>
            </w:pPr>
            <w:r>
              <w:rPr>
                <w:rFonts w:ascii="Arial" w:cs="Arial" w:eastAsia="Arial" w:hAnsi="Arial"/>
                <w:sz w:val="3"/>
                <w:szCs w:val="3"/>
                <w:color w:val="FFFFFF"/>
              </w:rPr>
              <w:t>Mr. Alexander David Sample</w:t>
            </w:r>
          </w:p>
        </w:tc>
        <w:tc>
          <w:tcPr>
            <w:tcW w:w="300" w:type="dxa"/>
            <w:vAlign w:val="bottom"/>
          </w:tcPr>
          <w:p>
            <w:pPr>
              <w:spacing w:after="0"/>
              <w:rPr>
                <w:sz w:val="20"/>
                <w:szCs w:val="20"/>
                <w:color w:val="auto"/>
              </w:rPr>
            </w:pPr>
            <w:r>
              <w:rPr>
                <w:rFonts w:ascii="Arial" w:cs="Arial" w:eastAsia="Arial" w:hAnsi="Arial"/>
                <w:sz w:val="3"/>
                <w:szCs w:val="3"/>
                <w:color w:val="FFFFFF"/>
              </w:rPr>
              <w:t>****</w:t>
            </w:r>
          </w:p>
        </w:tc>
        <w:tc>
          <w:tcPr>
            <w:tcW w:w="1620" w:type="dxa"/>
            <w:vAlign w:val="bottom"/>
            <w:gridSpan w:val="3"/>
          </w:tcPr>
          <w:p>
            <w:pPr>
              <w:spacing w:after="0"/>
              <w:rPr>
                <w:sz w:val="20"/>
                <w:szCs w:val="20"/>
                <w:color w:val="auto"/>
              </w:rPr>
            </w:pPr>
            <w:r>
              <w:rPr>
                <w:rFonts w:ascii="Arial" w:cs="Arial" w:eastAsia="Arial" w:hAnsi="Arial"/>
                <w:sz w:val="3"/>
                <w:szCs w:val="3"/>
                <w:color w:val="FFFFFF"/>
              </w:rPr>
              <w:t>Mr. Alexander David Sample</w:t>
            </w:r>
          </w:p>
        </w:tc>
        <w:tc>
          <w:tcPr>
            <w:tcW w:w="1940" w:type="dxa"/>
            <w:vAlign w:val="bottom"/>
            <w:gridSpan w:val="4"/>
          </w:tcPr>
          <w:p>
            <w:pPr>
              <w:jc w:val="right"/>
              <w:spacing w:after="0"/>
              <w:rPr>
                <w:sz w:val="20"/>
                <w:szCs w:val="20"/>
                <w:color w:val="auto"/>
              </w:rPr>
            </w:pPr>
            <w:r>
              <w:rPr>
                <w:rFonts w:ascii="Arial" w:cs="Arial" w:eastAsia="Arial" w:hAnsi="Arial"/>
                <w:sz w:val="3"/>
                <w:szCs w:val="3"/>
                <w:color w:val="FFFFFF"/>
              </w:rPr>
              <w:t>**** Mr. Alexander David Sample</w:t>
            </w:r>
          </w:p>
        </w:tc>
        <w:tc>
          <w:tcPr>
            <w:tcW w:w="5620" w:type="dxa"/>
            <w:vAlign w:val="bottom"/>
            <w:gridSpan w:val="8"/>
          </w:tcPr>
          <w:p>
            <w:pPr>
              <w:jc w:val="right"/>
              <w:ind w:right="69"/>
              <w:spacing w:after="0"/>
              <w:rPr>
                <w:sz w:val="20"/>
                <w:szCs w:val="20"/>
                <w:color w:val="auto"/>
              </w:rPr>
            </w:pPr>
            <w:r>
              <w:rPr>
                <w:rFonts w:ascii="Arial" w:cs="Arial" w:eastAsia="Arial" w:hAnsi="Arial"/>
                <w:sz w:val="3"/>
                <w:szCs w:val="3"/>
                <w:color w:val="FFFFFF"/>
              </w:rPr>
              <w:t>**** Mr. Alexander David THIS CERTIFIES THAT Sample **** Mr. Alexander David Sample ****</w:t>
            </w:r>
          </w:p>
        </w:tc>
        <w:tc>
          <w:tcPr>
            <w:tcW w:w="0" w:type="dxa"/>
            <w:vAlign w:val="bottom"/>
          </w:tcPr>
          <w:p>
            <w:pPr>
              <w:spacing w:after="0"/>
              <w:rPr>
                <w:sz w:val="1"/>
                <w:szCs w:val="1"/>
                <w:color w:val="auto"/>
              </w:rPr>
            </w:pPr>
          </w:p>
        </w:tc>
      </w:tr>
      <w:tr>
        <w:trPr>
          <w:trHeight w:val="41"/>
        </w:trPr>
        <w:tc>
          <w:tcPr>
            <w:tcW w:w="11420" w:type="dxa"/>
            <w:vAlign w:val="bottom"/>
            <w:gridSpan w:val="21"/>
          </w:tcPr>
          <w:p>
            <w:pPr>
              <w:spacing w:after="0"/>
              <w:rPr>
                <w:sz w:val="20"/>
                <w:szCs w:val="20"/>
                <w:color w:val="auto"/>
              </w:rPr>
            </w:pPr>
            <w:r>
              <w:rPr>
                <w:rFonts w:ascii="Arial" w:cs="Arial" w:eastAsia="Arial" w:hAnsi="Arial"/>
                <w:sz w:val="3"/>
                <w:szCs w:val="3"/>
                <w:color w:val="FFFFFF"/>
              </w:rPr>
              <w:t>Mr. Alexander David Sample **** Mr. Alexander David Sample **** Mr. Alexander David Sample **** Mr. Alexander David Sample MR. **** Mr. Alexander SAMPLE David Sample **** Mr. Alexander</w:t>
            </w:r>
          </w:p>
        </w:tc>
        <w:tc>
          <w:tcPr>
            <w:tcW w:w="0" w:type="dxa"/>
            <w:vAlign w:val="bottom"/>
          </w:tcPr>
          <w:p>
            <w:pPr>
              <w:spacing w:after="0"/>
              <w:rPr>
                <w:sz w:val="1"/>
                <w:szCs w:val="1"/>
                <w:color w:val="auto"/>
              </w:rPr>
            </w:pPr>
          </w:p>
        </w:tc>
      </w:tr>
      <w:tr>
        <w:trPr>
          <w:trHeight w:val="41"/>
        </w:trPr>
        <w:tc>
          <w:tcPr>
            <w:tcW w:w="6500" w:type="dxa"/>
            <w:vAlign w:val="bottom"/>
            <w:gridSpan w:val="14"/>
          </w:tcPr>
          <w:p>
            <w:pPr>
              <w:spacing w:after="0"/>
              <w:rPr>
                <w:sz w:val="20"/>
                <w:szCs w:val="20"/>
                <w:color w:val="auto"/>
              </w:rPr>
            </w:pPr>
            <w:r>
              <w:rPr>
                <w:rFonts w:ascii="Arial" w:cs="Arial" w:eastAsia="Arial" w:hAnsi="Arial"/>
                <w:sz w:val="3"/>
                <w:szCs w:val="3"/>
                <w:color w:val="FFFFFF"/>
              </w:rPr>
              <w:t>David &amp;Sample MRS. **** Mr. Alexander David SAMPLE Sample **** Mr. Alexander David &amp; Sample **** Mr.</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1"/>
          </w:tcPr>
          <w:p>
            <w:pPr>
              <w:spacing w:after="0"/>
              <w:rPr>
                <w:sz w:val="20"/>
                <w:szCs w:val="20"/>
                <w:color w:val="auto"/>
              </w:rPr>
            </w:pPr>
            <w:r>
              <w:rPr>
                <w:rFonts w:ascii="Arial" w:cs="Arial" w:eastAsia="Arial" w:hAnsi="Arial"/>
                <w:sz w:val="3"/>
                <w:szCs w:val="3"/>
                <w:color w:val="FFFFFF"/>
              </w:rPr>
              <w:t>Alexander David Sample **** Mr. Alexander David Sample **** Mr. Alexander David Sample **** Mr. Alexander David Sample **** Mr. Alexander David Sample **** CUSIP 34385P 10 8 Mr. Alexander</w:t>
            </w:r>
          </w:p>
        </w:tc>
        <w:tc>
          <w:tcPr>
            <w:tcW w:w="0" w:type="dxa"/>
            <w:vAlign w:val="bottom"/>
          </w:tcPr>
          <w:p>
            <w:pPr>
              <w:spacing w:after="0"/>
              <w:rPr>
                <w:sz w:val="1"/>
                <w:szCs w:val="1"/>
                <w:color w:val="auto"/>
              </w:rPr>
            </w:pPr>
          </w:p>
        </w:tc>
      </w:tr>
      <w:tr>
        <w:trPr>
          <w:trHeight w:val="41"/>
        </w:trPr>
        <w:tc>
          <w:tcPr>
            <w:tcW w:w="1840" w:type="dxa"/>
            <w:vAlign w:val="bottom"/>
            <w:gridSpan w:val="4"/>
          </w:tcPr>
          <w:p>
            <w:pPr>
              <w:spacing w:after="0"/>
              <w:rPr>
                <w:sz w:val="20"/>
                <w:szCs w:val="20"/>
                <w:color w:val="auto"/>
              </w:rPr>
            </w:pPr>
            <w:r>
              <w:rPr>
                <w:rFonts w:ascii="Arial" w:cs="Arial" w:eastAsia="Arial" w:hAnsi="Arial"/>
                <w:sz w:val="3"/>
                <w:szCs w:val="3"/>
                <w:color w:val="FFFFFF"/>
              </w:rPr>
              <w:t>David Sample **** Mr.</w:t>
            </w:r>
          </w:p>
        </w:tc>
        <w:tc>
          <w:tcPr>
            <w:tcW w:w="100" w:type="dxa"/>
            <w:vAlign w:val="bottom"/>
          </w:tcPr>
          <w:p>
            <w:pPr>
              <w:spacing w:after="0"/>
              <w:rPr>
                <w:sz w:val="3"/>
                <w:szCs w:val="3"/>
                <w:color w:val="auto"/>
              </w:rPr>
            </w:pPr>
          </w:p>
        </w:tc>
        <w:tc>
          <w:tcPr>
            <w:tcW w:w="9480" w:type="dxa"/>
            <w:vAlign w:val="bottom"/>
            <w:gridSpan w:val="16"/>
          </w:tcPr>
          <w:p>
            <w:pPr>
              <w:spacing w:after="0"/>
              <w:rPr>
                <w:sz w:val="20"/>
                <w:szCs w:val="20"/>
                <w:color w:val="auto"/>
              </w:rPr>
            </w:pPr>
            <w:r>
              <w:rPr>
                <w:rFonts w:ascii="Arial" w:cs="Arial" w:eastAsia="Arial" w:hAnsi="Arial"/>
                <w:sz w:val="3"/>
                <w:szCs w:val="3"/>
                <w:color w:val="FFFFFF"/>
              </w:rPr>
              <w:t>David Sample **** Mr. Alexander David Sample **** Mr. Alexander David Sample **** Mr. Alexander David Sample **** Mr. Alexander David Sample **** Mr.</w:t>
            </w:r>
          </w:p>
        </w:tc>
        <w:tc>
          <w:tcPr>
            <w:tcW w:w="0" w:type="dxa"/>
            <w:vAlign w:val="bottom"/>
          </w:tcPr>
          <w:p>
            <w:pPr>
              <w:spacing w:after="0"/>
              <w:rPr>
                <w:sz w:val="1"/>
                <w:szCs w:val="1"/>
                <w:color w:val="auto"/>
              </w:rPr>
            </w:pPr>
          </w:p>
        </w:tc>
      </w:tr>
      <w:tr>
        <w:trPr>
          <w:trHeight w:val="41"/>
        </w:trPr>
        <w:tc>
          <w:tcPr>
            <w:tcW w:w="11420" w:type="dxa"/>
            <w:vAlign w:val="bottom"/>
            <w:gridSpan w:val="21"/>
          </w:tcPr>
          <w:p>
            <w:pPr>
              <w:spacing w:after="0"/>
              <w:rPr>
                <w:sz w:val="20"/>
                <w:szCs w:val="20"/>
                <w:color w:val="auto"/>
              </w:rPr>
            </w:pPr>
            <w:r>
              <w:rPr>
                <w:rFonts w:ascii="Arial" w:cs="Arial" w:eastAsia="Arial" w:hAnsi="Arial"/>
                <w:sz w:val="3"/>
                <w:szCs w:val="3"/>
                <w:color w:val="FFFFFF"/>
              </w:rPr>
              <w:t>Alexander David SampleAlexander****. Alexan er David Sample **** Mr. Alexander David Sample **** Mr. Alexander David Sample **** Mr. Alexander MR. David Sample SAMPLE **** Mr. Alexander David</w:t>
            </w:r>
          </w:p>
        </w:tc>
        <w:tc>
          <w:tcPr>
            <w:tcW w:w="0" w:type="dxa"/>
            <w:vAlign w:val="bottom"/>
          </w:tcPr>
          <w:p>
            <w:pPr>
              <w:spacing w:after="0"/>
              <w:rPr>
                <w:sz w:val="1"/>
                <w:szCs w:val="1"/>
                <w:color w:val="auto"/>
              </w:rPr>
            </w:pPr>
          </w:p>
        </w:tc>
      </w:tr>
      <w:tr>
        <w:trPr>
          <w:trHeight w:val="41"/>
        </w:trPr>
        <w:tc>
          <w:tcPr>
            <w:tcW w:w="11420" w:type="dxa"/>
            <w:vAlign w:val="bottom"/>
            <w:gridSpan w:val="21"/>
          </w:tcPr>
          <w:p>
            <w:pPr>
              <w:spacing w:after="0"/>
              <w:rPr>
                <w:sz w:val="20"/>
                <w:szCs w:val="20"/>
                <w:color w:val="auto"/>
              </w:rPr>
            </w:pPr>
            <w:r>
              <w:rPr>
                <w:rFonts w:ascii="Arial" w:cs="Arial" w:eastAsia="Arial" w:hAnsi="Arial"/>
                <w:sz w:val="3"/>
                <w:szCs w:val="3"/>
                <w:color w:val="FFFFFF"/>
              </w:rPr>
              <w:t>Sample &amp; **** Mr. Alexander MRS. David Sample **** SAMPLE Mr. Alexander David Sample **** Mr. Alexander SEE REVERSE FOR CERTAIN DEFINITIONS David Sample **** Mr. Alexander</w:t>
            </w:r>
          </w:p>
        </w:tc>
        <w:tc>
          <w:tcPr>
            <w:tcW w:w="0" w:type="dxa"/>
            <w:vAlign w:val="bottom"/>
          </w:tcPr>
          <w:p>
            <w:pPr>
              <w:spacing w:after="0"/>
              <w:rPr>
                <w:sz w:val="1"/>
                <w:szCs w:val="1"/>
                <w:color w:val="auto"/>
              </w:rPr>
            </w:pPr>
          </w:p>
        </w:tc>
      </w:tr>
      <w:tr>
        <w:trPr>
          <w:trHeight w:val="41"/>
        </w:trPr>
        <w:tc>
          <w:tcPr>
            <w:tcW w:w="7660" w:type="dxa"/>
            <w:vAlign w:val="bottom"/>
            <w:gridSpan w:val="17"/>
          </w:tcPr>
          <w:p>
            <w:pPr>
              <w:spacing w:after="0"/>
              <w:rPr>
                <w:sz w:val="20"/>
                <w:szCs w:val="20"/>
                <w:color w:val="auto"/>
              </w:rPr>
            </w:pPr>
            <w:r>
              <w:rPr>
                <w:rFonts w:ascii="Arial" w:cs="Arial" w:eastAsia="Arial" w:hAnsi="Arial"/>
                <w:sz w:val="3"/>
                <w:szCs w:val="3"/>
                <w:color w:val="FFFFFF"/>
              </w:rPr>
              <w:t>David Sample **** Mr. Alexander David Sample **** Mr. Alexander David Sample **** Mr. Alexander David Sample **** Mr.</w:t>
            </w: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1"/>
          </w:tcPr>
          <w:p>
            <w:pPr>
              <w:spacing w:after="0"/>
              <w:rPr>
                <w:sz w:val="20"/>
                <w:szCs w:val="20"/>
                <w:color w:val="auto"/>
              </w:rPr>
            </w:pPr>
            <w:r>
              <w:rPr>
                <w:rFonts w:ascii="Arial" w:cs="Arial" w:eastAsia="Arial" w:hAnsi="Arial"/>
                <w:sz w:val="3"/>
                <w:szCs w:val="3"/>
                <w:color w:val="FFFFFF"/>
              </w:rPr>
              <w:t>Alexander David Sample **** Mr. Alexander David Sample **** Mr. Alexander David Sample **** Mr. Alexander David Sample **** Mr. Alexander David Sample **** Mr. Alexander David Sample ****</w:t>
            </w:r>
          </w:p>
        </w:tc>
        <w:tc>
          <w:tcPr>
            <w:tcW w:w="0" w:type="dxa"/>
            <w:vAlign w:val="bottom"/>
          </w:tcPr>
          <w:p>
            <w:pPr>
              <w:spacing w:after="0"/>
              <w:rPr>
                <w:sz w:val="1"/>
                <w:szCs w:val="1"/>
                <w:color w:val="auto"/>
              </w:rPr>
            </w:pPr>
          </w:p>
        </w:tc>
      </w:tr>
      <w:tr>
        <w:trPr>
          <w:trHeight w:val="41"/>
        </w:trPr>
        <w:tc>
          <w:tcPr>
            <w:tcW w:w="1840" w:type="dxa"/>
            <w:vAlign w:val="bottom"/>
            <w:gridSpan w:val="4"/>
          </w:tcPr>
          <w:p>
            <w:pPr>
              <w:spacing w:after="0"/>
              <w:rPr>
                <w:sz w:val="20"/>
                <w:szCs w:val="20"/>
                <w:color w:val="auto"/>
              </w:rPr>
            </w:pPr>
            <w:r>
              <w:rPr>
                <w:rFonts w:ascii="Arial" w:cs="Arial" w:eastAsia="Arial" w:hAnsi="Arial"/>
                <w:sz w:val="3"/>
                <w:szCs w:val="3"/>
                <w:color w:val="FFFFFF"/>
              </w:rPr>
              <w:t>Mr. Alexander David Sample</w:t>
            </w:r>
          </w:p>
        </w:tc>
        <w:tc>
          <w:tcPr>
            <w:tcW w:w="100" w:type="dxa"/>
            <w:vAlign w:val="bottom"/>
          </w:tcPr>
          <w:p>
            <w:pPr>
              <w:spacing w:after="0"/>
              <w:rPr>
                <w:sz w:val="3"/>
                <w:szCs w:val="3"/>
                <w:color w:val="auto"/>
              </w:rPr>
            </w:pPr>
          </w:p>
        </w:tc>
        <w:tc>
          <w:tcPr>
            <w:tcW w:w="5720" w:type="dxa"/>
            <w:vAlign w:val="bottom"/>
            <w:gridSpan w:val="12"/>
          </w:tcPr>
          <w:p>
            <w:pPr>
              <w:spacing w:after="0"/>
              <w:rPr>
                <w:sz w:val="20"/>
                <w:szCs w:val="20"/>
                <w:color w:val="auto"/>
              </w:rPr>
            </w:pPr>
            <w:r>
              <w:rPr>
                <w:rFonts w:ascii="Arial" w:cs="Arial" w:eastAsia="Arial" w:hAnsi="Arial"/>
                <w:sz w:val="3"/>
                <w:szCs w:val="3"/>
                <w:color w:val="FFFFFF"/>
              </w:rPr>
              <w:t>Mr. Alexander David Sample **** Mr. Alexander David Sample **** Mr. Sample **** Mr. Sample</w:t>
            </w: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420" w:type="dxa"/>
            <w:vAlign w:val="bottom"/>
            <w:gridSpan w:val="21"/>
          </w:tcPr>
          <w:p>
            <w:pPr>
              <w:ind w:left="140"/>
              <w:spacing w:after="0" w:line="21" w:lineRule="exact"/>
              <w:rPr>
                <w:sz w:val="20"/>
                <w:szCs w:val="20"/>
                <w:color w:val="auto"/>
              </w:rPr>
            </w:pPr>
            <w:r>
              <w:rPr>
                <w:rFonts w:ascii="Arial" w:cs="Arial" w:eastAsia="Arial" w:hAnsi="Arial"/>
                <w:sz w:val="2"/>
                <w:szCs w:val="2"/>
                <w:color w:val="FFFFFF"/>
              </w:rPr>
              <w:t>0620*Shares**600620**Shares****600620**Shares****600620**Shares****600620**Shares****600620**Shares****600620**Shares****600620**Shares****600620**Shares****Shares*60620*Shares*60620*Shares*60620*Shares*60620*Shares*60620*Shares*6</w:t>
            </w:r>
          </w:p>
        </w:tc>
        <w:tc>
          <w:tcPr>
            <w:tcW w:w="0" w:type="dxa"/>
            <w:vAlign w:val="bottom"/>
          </w:tcPr>
          <w:p>
            <w:pPr>
              <w:spacing w:after="0" w:line="20" w:lineRule="exact"/>
              <w:rPr>
                <w:sz w:val="1"/>
                <w:szCs w:val="1"/>
                <w:color w:val="auto"/>
              </w:rPr>
            </w:pPr>
          </w:p>
        </w:tc>
      </w:tr>
      <w:tr>
        <w:trPr>
          <w:trHeight w:val="61"/>
        </w:trPr>
        <w:tc>
          <w:tcPr>
            <w:tcW w:w="1080" w:type="dxa"/>
            <w:vAlign w:val="bottom"/>
            <w:gridSpan w:val="3"/>
          </w:tcPr>
          <w:p>
            <w:pPr>
              <w:spacing w:after="0" w:line="61" w:lineRule="exact"/>
              <w:rPr>
                <w:sz w:val="20"/>
                <w:szCs w:val="20"/>
                <w:color w:val="auto"/>
              </w:rPr>
            </w:pPr>
            <w:r>
              <w:rPr>
                <w:rFonts w:ascii="Arial" w:cs="Arial" w:eastAsia="Arial" w:hAnsi="Arial"/>
                <w:sz w:val="7"/>
                <w:szCs w:val="7"/>
                <w:color w:val="FFFFFF"/>
              </w:rPr>
              <w:t>is the owner of</w:t>
            </w: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ind w:left="140"/>
              <w:spacing w:after="0" w:line="61" w:lineRule="exact"/>
              <w:rPr>
                <w:sz w:val="20"/>
                <w:szCs w:val="20"/>
                <w:color w:val="auto"/>
              </w:rPr>
            </w:pPr>
            <w:r>
              <w:rPr>
                <w:rFonts w:ascii="Arial" w:cs="Arial" w:eastAsia="Arial" w:hAnsi="Arial"/>
                <w:sz w:val="7"/>
                <w:szCs w:val="7"/>
                <w:color w:val="FFFFFF"/>
              </w:rPr>
              <w:t>*6</w:t>
            </w: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ind w:left="120"/>
              <w:spacing w:after="0" w:line="61" w:lineRule="exact"/>
              <w:rPr>
                <w:sz w:val="20"/>
                <w:szCs w:val="20"/>
                <w:color w:val="auto"/>
              </w:rPr>
            </w:pPr>
            <w:r>
              <w:rPr>
                <w:rFonts w:ascii="Arial" w:cs="Arial" w:eastAsia="Arial" w:hAnsi="Arial"/>
                <w:sz w:val="7"/>
                <w:szCs w:val="7"/>
                <w:color w:val="FFFFFF"/>
              </w:rPr>
              <w:t>*6</w:t>
            </w:r>
          </w:p>
        </w:tc>
        <w:tc>
          <w:tcPr>
            <w:tcW w:w="340" w:type="dxa"/>
            <w:vAlign w:val="bottom"/>
          </w:tcPr>
          <w:p>
            <w:pPr>
              <w:spacing w:after="0"/>
              <w:rPr>
                <w:sz w:val="5"/>
                <w:szCs w:val="5"/>
                <w:color w:val="auto"/>
              </w:rPr>
            </w:pPr>
          </w:p>
        </w:tc>
        <w:tc>
          <w:tcPr>
            <w:tcW w:w="700" w:type="dxa"/>
            <w:vAlign w:val="bottom"/>
          </w:tcPr>
          <w:p>
            <w:pPr>
              <w:ind w:left="60"/>
              <w:spacing w:after="0" w:line="61" w:lineRule="exact"/>
              <w:rPr>
                <w:sz w:val="20"/>
                <w:szCs w:val="20"/>
                <w:color w:val="auto"/>
              </w:rPr>
            </w:pPr>
            <w:r>
              <w:rPr>
                <w:rFonts w:ascii="Arial" w:cs="Arial" w:eastAsia="Arial" w:hAnsi="Arial"/>
                <w:sz w:val="7"/>
                <w:szCs w:val="7"/>
                <w:color w:val="FFFFFF"/>
              </w:rPr>
              <w:t>*6</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jc w:val="right"/>
              <w:ind w:right="468"/>
              <w:spacing w:after="0" w:line="61" w:lineRule="exact"/>
              <w:rPr>
                <w:sz w:val="20"/>
                <w:szCs w:val="20"/>
                <w:color w:val="auto"/>
              </w:rPr>
            </w:pPr>
            <w:r>
              <w:rPr>
                <w:rFonts w:ascii="Arial" w:cs="Arial" w:eastAsia="Arial" w:hAnsi="Arial"/>
                <w:sz w:val="7"/>
                <w:szCs w:val="7"/>
                <w:color w:val="FFFFFF"/>
              </w:rPr>
              <w:t>*6</w:t>
            </w:r>
          </w:p>
        </w:tc>
        <w:tc>
          <w:tcPr>
            <w:tcW w:w="1180" w:type="dxa"/>
            <w:vAlign w:val="bottom"/>
          </w:tcPr>
          <w:p>
            <w:pPr>
              <w:jc w:val="right"/>
              <w:ind w:right="473"/>
              <w:spacing w:after="0" w:line="61" w:lineRule="exact"/>
              <w:rPr>
                <w:sz w:val="20"/>
                <w:szCs w:val="20"/>
                <w:color w:val="auto"/>
              </w:rPr>
            </w:pPr>
            <w:r>
              <w:rPr>
                <w:rFonts w:ascii="Arial" w:cs="Arial" w:eastAsia="Arial" w:hAnsi="Arial"/>
                <w:sz w:val="7"/>
                <w:szCs w:val="7"/>
                <w:color w:val="FFFFFF"/>
              </w:rPr>
              <w:t>*6</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420" w:type="dxa"/>
            <w:vAlign w:val="bottom"/>
            <w:gridSpan w:val="21"/>
          </w:tcPr>
          <w:p>
            <w:pPr>
              <w:spacing w:after="0" w:line="81" w:lineRule="exact"/>
              <w:rPr>
                <w:sz w:val="20"/>
                <w:szCs w:val="20"/>
                <w:color w:val="auto"/>
              </w:rPr>
            </w:pPr>
            <w:r>
              <w:rPr>
                <w:rFonts w:ascii="Arial" w:cs="Arial" w:eastAsia="Arial" w:hAnsi="Arial"/>
                <w:sz w:val="9"/>
                <w:szCs w:val="9"/>
                <w:color w:val="FFFFFF"/>
              </w:rPr>
              <w:t>00620**Shares****600620**Shares****600620**Shares****600620**Shares****600620**Shares****600620**Shares****600620**Shares****600620**Shares****60 * * * SIX HUNDRED</w:t>
            </w:r>
          </w:p>
        </w:tc>
        <w:tc>
          <w:tcPr>
            <w:tcW w:w="0" w:type="dxa"/>
            <w:vAlign w:val="bottom"/>
          </w:tcPr>
          <w:p>
            <w:pPr>
              <w:spacing w:after="0"/>
              <w:rPr>
                <w:sz w:val="1"/>
                <w:szCs w:val="1"/>
                <w:color w:val="auto"/>
              </w:rPr>
            </w:pPr>
          </w:p>
        </w:tc>
      </w:tr>
      <w:tr>
        <w:trPr>
          <w:trHeight w:val="41"/>
        </w:trPr>
        <w:tc>
          <w:tcPr>
            <w:tcW w:w="760" w:type="dxa"/>
            <w:vAlign w:val="bottom"/>
            <w:gridSpan w:val="2"/>
          </w:tcPr>
          <w:p>
            <w:pPr>
              <w:spacing w:after="0"/>
              <w:rPr>
                <w:sz w:val="20"/>
                <w:szCs w:val="20"/>
                <w:color w:val="auto"/>
              </w:rPr>
            </w:pPr>
            <w:r>
              <w:rPr>
                <w:rFonts w:ascii="Arial" w:cs="Arial" w:eastAsia="Arial" w:hAnsi="Arial"/>
                <w:sz w:val="3"/>
                <w:szCs w:val="3"/>
                <w:color w:val="FFFFFF"/>
              </w:rPr>
              <w:t>THOUSAND</w:t>
            </w:r>
          </w:p>
        </w:tc>
        <w:tc>
          <w:tcPr>
            <w:tcW w:w="320" w:type="dxa"/>
            <w:vAlign w:val="bottom"/>
          </w:tcPr>
          <w:p>
            <w:pPr>
              <w:spacing w:after="0"/>
              <w:rPr>
                <w:sz w:val="3"/>
                <w:szCs w:val="3"/>
                <w:color w:val="auto"/>
              </w:rPr>
            </w:pPr>
          </w:p>
        </w:tc>
        <w:tc>
          <w:tcPr>
            <w:tcW w:w="86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FFFFFF"/>
              </w:rPr>
              <w:t>0620 *Shares</w:t>
            </w:r>
          </w:p>
        </w:tc>
        <w:tc>
          <w:tcPr>
            <w:tcW w:w="300" w:type="dxa"/>
            <w:vAlign w:val="bottom"/>
          </w:tcPr>
          <w:p>
            <w:pPr>
              <w:spacing w:after="0"/>
              <w:rPr>
                <w:sz w:val="3"/>
                <w:szCs w:val="3"/>
                <w:color w:val="auto"/>
              </w:rPr>
            </w:pPr>
          </w:p>
        </w:tc>
        <w:tc>
          <w:tcPr>
            <w:tcW w:w="88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0620 *Shares</w:t>
            </w:r>
          </w:p>
        </w:tc>
        <w:tc>
          <w:tcPr>
            <w:tcW w:w="260" w:type="dxa"/>
            <w:vAlign w:val="bottom"/>
          </w:tcPr>
          <w:p>
            <w:pPr>
              <w:spacing w:after="0"/>
              <w:rPr>
                <w:sz w:val="3"/>
                <w:szCs w:val="3"/>
                <w:color w:val="auto"/>
              </w:rPr>
            </w:pPr>
          </w:p>
        </w:tc>
        <w:tc>
          <w:tcPr>
            <w:tcW w:w="900" w:type="dxa"/>
            <w:vAlign w:val="bottom"/>
            <w:gridSpan w:val="2"/>
            <w:vMerge w:val="restart"/>
          </w:tcPr>
          <w:p>
            <w:pPr>
              <w:ind w:left="140"/>
              <w:spacing w:after="0" w:line="81" w:lineRule="exact"/>
              <w:rPr>
                <w:sz w:val="20"/>
                <w:szCs w:val="20"/>
                <w:color w:val="auto"/>
              </w:rPr>
            </w:pPr>
            <w:r>
              <w:rPr>
                <w:rFonts w:ascii="Arial" w:cs="Arial" w:eastAsia="Arial" w:hAnsi="Arial"/>
                <w:sz w:val="9"/>
                <w:szCs w:val="9"/>
                <w:color w:val="FFFFFF"/>
              </w:rPr>
              <w:t>0620 *Shares</w:t>
            </w:r>
          </w:p>
        </w:tc>
        <w:tc>
          <w:tcPr>
            <w:tcW w:w="280" w:type="dxa"/>
            <w:vAlign w:val="bottom"/>
          </w:tcPr>
          <w:p>
            <w:pPr>
              <w:spacing w:after="0"/>
              <w:rPr>
                <w:sz w:val="3"/>
                <w:szCs w:val="3"/>
                <w:color w:val="auto"/>
              </w:rPr>
            </w:pPr>
          </w:p>
        </w:tc>
        <w:tc>
          <w:tcPr>
            <w:tcW w:w="90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0620 *Shares</w:t>
            </w:r>
          </w:p>
        </w:tc>
        <w:tc>
          <w:tcPr>
            <w:tcW w:w="340" w:type="dxa"/>
            <w:vAlign w:val="bottom"/>
          </w:tcPr>
          <w:p>
            <w:pPr>
              <w:spacing w:after="0"/>
              <w:rPr>
                <w:sz w:val="3"/>
                <w:szCs w:val="3"/>
                <w:color w:val="auto"/>
              </w:rPr>
            </w:pPr>
          </w:p>
        </w:tc>
        <w:tc>
          <w:tcPr>
            <w:tcW w:w="820" w:type="dxa"/>
            <w:vAlign w:val="bottom"/>
            <w:gridSpan w:val="2"/>
            <w:vMerge w:val="restart"/>
          </w:tcPr>
          <w:p>
            <w:pPr>
              <w:ind w:left="60"/>
              <w:spacing w:after="0" w:line="81" w:lineRule="exact"/>
              <w:rPr>
                <w:sz w:val="20"/>
                <w:szCs w:val="20"/>
                <w:color w:val="auto"/>
              </w:rPr>
            </w:pPr>
            <w:r>
              <w:rPr>
                <w:rFonts w:ascii="Arial" w:cs="Arial" w:eastAsia="Arial" w:hAnsi="Arial"/>
                <w:sz w:val="9"/>
                <w:szCs w:val="9"/>
                <w:color w:val="FFFFFF"/>
              </w:rPr>
              <w:t>0620 *Shares</w:t>
            </w: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vMerge w:val="restart"/>
          </w:tcPr>
          <w:p>
            <w:pPr>
              <w:jc w:val="right"/>
              <w:ind w:right="1949"/>
              <w:spacing w:after="0" w:line="81" w:lineRule="exact"/>
              <w:rPr>
                <w:sz w:val="20"/>
                <w:szCs w:val="20"/>
                <w:color w:val="auto"/>
              </w:rPr>
            </w:pPr>
            <w:r>
              <w:rPr>
                <w:rFonts w:ascii="Arial" w:cs="Arial" w:eastAsia="Arial" w:hAnsi="Arial"/>
                <w:sz w:val="9"/>
                <w:szCs w:val="9"/>
                <w:color w:val="FFFFFF"/>
              </w:rPr>
              <w:t>**600</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0620</w:t>
            </w: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restart"/>
          </w:tcPr>
          <w:p>
            <w:pPr>
              <w:jc w:val="right"/>
              <w:ind w:right="808"/>
              <w:spacing w:after="0" w:line="81" w:lineRule="exact"/>
              <w:rPr>
                <w:sz w:val="20"/>
                <w:szCs w:val="20"/>
                <w:color w:val="auto"/>
              </w:rPr>
            </w:pPr>
            <w:r>
              <w:rPr>
                <w:rFonts w:ascii="Arial" w:cs="Arial" w:eastAsia="Arial" w:hAnsi="Arial"/>
                <w:sz w:val="9"/>
                <w:szCs w:val="9"/>
                <w:color w:val="FFFFFF"/>
              </w:rPr>
              <w:t>*6</w:t>
            </w:r>
          </w:p>
        </w:tc>
        <w:tc>
          <w:tcPr>
            <w:tcW w:w="1180" w:type="dxa"/>
            <w:vAlign w:val="bottom"/>
            <w:vMerge w:val="restart"/>
          </w:tcPr>
          <w:p>
            <w:pPr>
              <w:jc w:val="right"/>
              <w:ind w:right="813"/>
              <w:spacing w:after="0" w:line="81" w:lineRule="exact"/>
              <w:rPr>
                <w:sz w:val="20"/>
                <w:szCs w:val="20"/>
                <w:color w:val="auto"/>
              </w:rPr>
            </w:pPr>
            <w:r>
              <w:rPr>
                <w:rFonts w:ascii="Arial" w:cs="Arial" w:eastAsia="Arial" w:hAnsi="Arial"/>
                <w:sz w:val="9"/>
                <w:szCs w:val="9"/>
                <w:color w:val="FFFFFF"/>
              </w:rPr>
              <w:t>*6</w:t>
            </w: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vMerge w:val="restart"/>
          </w:tcPr>
          <w:p>
            <w:pPr>
              <w:jc w:val="right"/>
              <w:ind w:right="135"/>
              <w:spacing w:after="0" w:line="81" w:lineRule="exact"/>
              <w:rPr>
                <w:sz w:val="20"/>
                <w:szCs w:val="20"/>
                <w:color w:val="auto"/>
              </w:rPr>
            </w:pPr>
            <w:r>
              <w:rPr>
                <w:rFonts w:ascii="Arial" w:cs="Arial" w:eastAsia="Arial" w:hAnsi="Arial"/>
                <w:sz w:val="9"/>
                <w:szCs w:val="9"/>
                <w:color w:val="FFFFFF"/>
              </w:rPr>
              <w:t>*6</w:t>
            </w:r>
          </w:p>
        </w:tc>
        <w:tc>
          <w:tcPr>
            <w:tcW w:w="760" w:type="dxa"/>
            <w:vAlign w:val="bottom"/>
            <w:vMerge w:val="restart"/>
          </w:tcPr>
          <w:p>
            <w:pPr>
              <w:ind w:left="240"/>
              <w:spacing w:after="0" w:line="81" w:lineRule="exact"/>
              <w:rPr>
                <w:sz w:val="20"/>
                <w:szCs w:val="20"/>
                <w:color w:val="auto"/>
              </w:rPr>
            </w:pPr>
            <w:r>
              <w:rPr>
                <w:rFonts w:ascii="Arial" w:cs="Arial" w:eastAsia="Arial" w:hAnsi="Arial"/>
                <w:sz w:val="9"/>
                <w:szCs w:val="9"/>
                <w:color w:val="FFFFFF"/>
              </w:rPr>
              <w:t>*Shares</w:t>
            </w:r>
          </w:p>
        </w:tc>
        <w:tc>
          <w:tcPr>
            <w:tcW w:w="100" w:type="dxa"/>
            <w:vAlign w:val="bottom"/>
          </w:tcPr>
          <w:p>
            <w:pPr>
              <w:spacing w:after="0"/>
              <w:rPr>
                <w:sz w:val="3"/>
                <w:szCs w:val="3"/>
                <w:color w:val="auto"/>
              </w:rPr>
            </w:pPr>
          </w:p>
        </w:tc>
        <w:tc>
          <w:tcPr>
            <w:tcW w:w="300" w:type="dxa"/>
            <w:vAlign w:val="bottom"/>
            <w:vMerge w:val="restart"/>
          </w:tcPr>
          <w:p>
            <w:pPr>
              <w:spacing w:after="0" w:line="81" w:lineRule="exact"/>
              <w:rPr>
                <w:sz w:val="20"/>
                <w:szCs w:val="20"/>
                <w:color w:val="auto"/>
              </w:rPr>
            </w:pPr>
            <w:r>
              <w:rPr>
                <w:rFonts w:ascii="Arial" w:cs="Arial" w:eastAsia="Arial" w:hAnsi="Arial"/>
                <w:sz w:val="9"/>
                <w:szCs w:val="9"/>
                <w:color w:val="FFFFFF"/>
              </w:rPr>
              <w:t>*6</w:t>
            </w:r>
          </w:p>
        </w:tc>
        <w:tc>
          <w:tcPr>
            <w:tcW w:w="880" w:type="dxa"/>
            <w:vAlign w:val="bottom"/>
          </w:tcPr>
          <w:p>
            <w:pPr>
              <w:spacing w:after="0"/>
              <w:rPr>
                <w:sz w:val="3"/>
                <w:szCs w:val="3"/>
                <w:color w:val="auto"/>
              </w:rPr>
            </w:pPr>
          </w:p>
        </w:tc>
        <w:tc>
          <w:tcPr>
            <w:tcW w:w="260" w:type="dxa"/>
            <w:vAlign w:val="bottom"/>
            <w:vMerge w:val="restart"/>
          </w:tcPr>
          <w:p>
            <w:pPr>
              <w:jc w:val="right"/>
              <w:ind w:right="95"/>
              <w:spacing w:after="0" w:line="81" w:lineRule="exact"/>
              <w:rPr>
                <w:sz w:val="20"/>
                <w:szCs w:val="20"/>
                <w:color w:val="auto"/>
              </w:rPr>
            </w:pPr>
            <w:r>
              <w:rPr>
                <w:rFonts w:ascii="Arial" w:cs="Arial" w:eastAsia="Arial" w:hAnsi="Arial"/>
                <w:sz w:val="9"/>
                <w:szCs w:val="9"/>
                <w:color w:val="FFFFFF"/>
              </w:rPr>
              <w:t>*6</w:t>
            </w: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vMerge w:val="restart"/>
          </w:tcPr>
          <w:p>
            <w:pPr>
              <w:jc w:val="right"/>
              <w:ind w:right="95"/>
              <w:spacing w:after="0" w:line="81" w:lineRule="exact"/>
              <w:rPr>
                <w:sz w:val="20"/>
                <w:szCs w:val="20"/>
                <w:color w:val="auto"/>
              </w:rPr>
            </w:pPr>
            <w:r>
              <w:rPr>
                <w:rFonts w:ascii="Arial" w:cs="Arial" w:eastAsia="Arial" w:hAnsi="Arial"/>
                <w:sz w:val="9"/>
                <w:szCs w:val="9"/>
                <w:color w:val="FFFFFF"/>
              </w:rPr>
              <w:t>*6</w:t>
            </w:r>
          </w:p>
        </w:tc>
        <w:tc>
          <w:tcPr>
            <w:tcW w:w="900" w:type="dxa"/>
            <w:vAlign w:val="bottom"/>
          </w:tcPr>
          <w:p>
            <w:pPr>
              <w:spacing w:after="0"/>
              <w:rPr>
                <w:sz w:val="3"/>
                <w:szCs w:val="3"/>
                <w:color w:val="auto"/>
              </w:rPr>
            </w:pPr>
          </w:p>
        </w:tc>
        <w:tc>
          <w:tcPr>
            <w:tcW w:w="340" w:type="dxa"/>
            <w:vAlign w:val="bottom"/>
            <w:vMerge w:val="restart"/>
          </w:tcPr>
          <w:p>
            <w:pPr>
              <w:jc w:val="right"/>
              <w:ind w:right="175"/>
              <w:spacing w:after="0" w:line="81" w:lineRule="exact"/>
              <w:rPr>
                <w:sz w:val="20"/>
                <w:szCs w:val="20"/>
                <w:color w:val="auto"/>
              </w:rPr>
            </w:pPr>
            <w:r>
              <w:rPr>
                <w:rFonts w:ascii="Arial" w:cs="Arial" w:eastAsia="Arial" w:hAnsi="Arial"/>
                <w:sz w:val="9"/>
                <w:szCs w:val="9"/>
                <w:color w:val="FFFFFF"/>
              </w:rPr>
              <w:t>*6</w:t>
            </w: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380" w:type="dxa"/>
            <w:vAlign w:val="bottom"/>
            <w:gridSpan w:val="2"/>
          </w:tcPr>
          <w:p>
            <w:pPr>
              <w:jc w:val="right"/>
              <w:ind w:right="2229"/>
              <w:spacing w:after="0"/>
              <w:rPr>
                <w:sz w:val="20"/>
                <w:szCs w:val="20"/>
                <w:color w:val="auto"/>
              </w:rPr>
            </w:pPr>
            <w:r>
              <w:rPr>
                <w:rFonts w:ascii="Arial" w:cs="Arial" w:eastAsia="Arial" w:hAnsi="Arial"/>
                <w:sz w:val="3"/>
                <w:szCs w:val="3"/>
                <w:color w:val="FFFFFF"/>
              </w:rPr>
              <w:t>*6</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tcPr>
          <w:p>
            <w:pPr>
              <w:jc w:val="right"/>
              <w:ind w:right="868"/>
              <w:spacing w:after="0"/>
              <w:rPr>
                <w:sz w:val="20"/>
                <w:szCs w:val="20"/>
                <w:color w:val="auto"/>
              </w:rPr>
            </w:pPr>
            <w:r>
              <w:rPr>
                <w:rFonts w:ascii="Arial" w:cs="Arial" w:eastAsia="Arial" w:hAnsi="Arial"/>
                <w:sz w:val="3"/>
                <w:szCs w:val="3"/>
                <w:color w:val="FFFFFF"/>
              </w:rPr>
              <w:t>*6</w:t>
            </w:r>
          </w:p>
        </w:tc>
        <w:tc>
          <w:tcPr>
            <w:tcW w:w="1180" w:type="dxa"/>
            <w:vAlign w:val="bottom"/>
          </w:tcPr>
          <w:p>
            <w:pPr>
              <w:jc w:val="right"/>
              <w:ind w:right="873"/>
              <w:spacing w:after="0"/>
              <w:rPr>
                <w:sz w:val="20"/>
                <w:szCs w:val="20"/>
                <w:color w:val="auto"/>
              </w:rPr>
            </w:pPr>
            <w:r>
              <w:rPr>
                <w:rFonts w:ascii="Arial" w:cs="Arial" w:eastAsia="Arial" w:hAnsi="Arial"/>
                <w:sz w:val="3"/>
                <w:szCs w:val="3"/>
                <w:color w:val="FFFFFF"/>
              </w:rPr>
              <w:t>*6</w:t>
            </w:r>
          </w:p>
        </w:tc>
        <w:tc>
          <w:tcPr>
            <w:tcW w:w="260" w:type="dxa"/>
            <w:vAlign w:val="bottom"/>
            <w:gridSpan w:val="2"/>
          </w:tcPr>
          <w:p>
            <w:pPr>
              <w:jc w:val="right"/>
              <w:spacing w:after="0"/>
              <w:rPr>
                <w:sz w:val="20"/>
                <w:szCs w:val="20"/>
                <w:color w:val="auto"/>
              </w:rPr>
            </w:pPr>
            <w:r>
              <w:rPr>
                <w:rFonts w:ascii="Arial" w:cs="Arial" w:eastAsia="Arial" w:hAnsi="Arial"/>
                <w:sz w:val="3"/>
                <w:szCs w:val="3"/>
                <w:color w:val="FFFFFF"/>
              </w:rPr>
              <w:t>*6</w:t>
            </w:r>
          </w:p>
        </w:tc>
        <w:tc>
          <w:tcPr>
            <w:tcW w:w="2320" w:type="dxa"/>
            <w:vAlign w:val="bottom"/>
          </w:tcPr>
          <w:p>
            <w:pPr>
              <w:jc w:val="right"/>
              <w:ind w:right="1949"/>
              <w:spacing w:after="0"/>
              <w:rPr>
                <w:sz w:val="20"/>
                <w:szCs w:val="20"/>
                <w:color w:val="auto"/>
              </w:rPr>
            </w:pPr>
            <w:r>
              <w:rPr>
                <w:rFonts w:ascii="Arial" w:cs="Arial" w:eastAsia="Arial" w:hAnsi="Arial"/>
                <w:sz w:val="3"/>
                <w:szCs w:val="3"/>
                <w:color w:val="FFFFFF"/>
              </w:rPr>
              <w:t>0620</w:t>
            </w:r>
          </w:p>
        </w:tc>
        <w:tc>
          <w:tcPr>
            <w:tcW w:w="0" w:type="dxa"/>
            <w:vAlign w:val="bottom"/>
          </w:tcPr>
          <w:p>
            <w:pPr>
              <w:spacing w:after="0"/>
              <w:rPr>
                <w:sz w:val="1"/>
                <w:szCs w:val="1"/>
                <w:color w:val="auto"/>
              </w:rPr>
            </w:pPr>
          </w:p>
        </w:tc>
      </w:tr>
      <w:tr>
        <w:trPr>
          <w:trHeight w:val="41"/>
        </w:trPr>
        <w:tc>
          <w:tcPr>
            <w:tcW w:w="6700" w:type="dxa"/>
            <w:vAlign w:val="bottom"/>
            <w:gridSpan w:val="16"/>
          </w:tcPr>
          <w:p>
            <w:pPr>
              <w:spacing w:after="0"/>
              <w:rPr>
                <w:sz w:val="20"/>
                <w:szCs w:val="20"/>
                <w:color w:val="auto"/>
              </w:rPr>
            </w:pPr>
            <w:r>
              <w:rPr>
                <w:rFonts w:ascii="Arial" w:cs="Arial" w:eastAsia="Arial" w:hAnsi="Arial"/>
                <w:sz w:val="3"/>
                <w:szCs w:val="3"/>
                <w:color w:val="FFFFFF"/>
              </w:rPr>
              <w:t>620**Shares*6**600620**Shares*6**600620**Shares*6**600620**Shares*6**600620**Shares*6**600620**Shares*6</w:t>
            </w:r>
          </w:p>
        </w:tc>
        <w:tc>
          <w:tcPr>
            <w:tcW w:w="2340" w:type="dxa"/>
            <w:vAlign w:val="bottom"/>
            <w:gridSpan w:val="3"/>
          </w:tcPr>
          <w:p>
            <w:pPr>
              <w:ind w:left="60"/>
              <w:spacing w:after="0"/>
              <w:rPr>
                <w:sz w:val="20"/>
                <w:szCs w:val="20"/>
                <w:color w:val="auto"/>
              </w:rPr>
            </w:pPr>
            <w:r>
              <w:rPr>
                <w:rFonts w:ascii="Arial" w:cs="Arial" w:eastAsia="Arial" w:hAnsi="Arial"/>
                <w:sz w:val="3"/>
                <w:szCs w:val="3"/>
                <w:color w:val="FFFFFF"/>
              </w:rPr>
              <w:t>**600620**Shares*6 **600620**Shares*6</w:t>
            </w:r>
          </w:p>
        </w:tc>
        <w:tc>
          <w:tcPr>
            <w:tcW w:w="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420" w:type="dxa"/>
            <w:vAlign w:val="bottom"/>
            <w:gridSpan w:val="21"/>
          </w:tcPr>
          <w:p>
            <w:pPr>
              <w:spacing w:after="0" w:line="21" w:lineRule="exact"/>
              <w:rPr>
                <w:sz w:val="20"/>
                <w:szCs w:val="20"/>
                <w:color w:val="auto"/>
              </w:rPr>
            </w:pPr>
            <w:r>
              <w:rPr>
                <w:rFonts w:ascii="Arial" w:cs="Arial" w:eastAsia="Arial" w:hAnsi="Arial"/>
                <w:sz w:val="2"/>
                <w:szCs w:val="2"/>
                <w:color w:val="FFFFFF"/>
              </w:rPr>
              <w:t>*Shares**Shares****600620**Shares****600620**Shares****600620**Shares****600620**Shares****600620**Shares****600620**Shares****600620**Shares****600620**S</w:t>
            </w:r>
          </w:p>
        </w:tc>
        <w:tc>
          <w:tcPr>
            <w:tcW w:w="0" w:type="dxa"/>
            <w:vAlign w:val="bottom"/>
          </w:tcPr>
          <w:p>
            <w:pPr>
              <w:spacing w:after="0" w:line="20" w:lineRule="exact"/>
              <w:rPr>
                <w:sz w:val="1"/>
                <w:szCs w:val="1"/>
                <w:color w:val="auto"/>
              </w:rPr>
            </w:pPr>
          </w:p>
        </w:tc>
      </w:tr>
      <w:tr>
        <w:trPr>
          <w:trHeight w:val="0"/>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60" w:type="dxa"/>
            <w:vAlign w:val="bottom"/>
            <w:gridSpan w:val="8"/>
          </w:tcPr>
          <w:p>
            <w:pPr>
              <w:ind w:left="800"/>
              <w:spacing w:after="0" w:line="19" w:lineRule="exact"/>
              <w:rPr>
                <w:sz w:val="20"/>
                <w:szCs w:val="20"/>
                <w:color w:val="auto"/>
              </w:rPr>
            </w:pPr>
            <w:r>
              <w:rPr>
                <w:rFonts w:ascii="Arial" w:cs="Arial" w:eastAsia="Arial" w:hAnsi="Arial"/>
                <w:sz w:val="2"/>
                <w:szCs w:val="2"/>
                <w:color w:val="FFFFFF"/>
              </w:rPr>
              <w:t>600620**Shares**  600620**Shares**  600620**Shares**</w:t>
            </w:r>
          </w:p>
        </w:tc>
        <w:tc>
          <w:tcPr>
            <w:tcW w:w="1160" w:type="dxa"/>
            <w:vAlign w:val="bottom"/>
            <w:gridSpan w:val="3"/>
          </w:tcPr>
          <w:p>
            <w:pPr>
              <w:jc w:val="right"/>
              <w:ind w:right="28"/>
              <w:spacing w:after="0" w:line="19" w:lineRule="exact"/>
              <w:rPr>
                <w:sz w:val="20"/>
                <w:szCs w:val="20"/>
                <w:color w:val="auto"/>
              </w:rPr>
            </w:pPr>
            <w:r>
              <w:rPr>
                <w:rFonts w:ascii="Arial" w:cs="Arial" w:eastAsia="Arial" w:hAnsi="Arial"/>
                <w:sz w:val="2"/>
                <w:szCs w:val="2"/>
                <w:color w:val="FFFFFF"/>
              </w:rPr>
              <w:t>600620**Shares**</w:t>
            </w:r>
          </w:p>
        </w:tc>
        <w:tc>
          <w:tcPr>
            <w:tcW w:w="1180" w:type="dxa"/>
            <w:vAlign w:val="bottom"/>
          </w:tcPr>
          <w:p>
            <w:pPr>
              <w:jc w:val="right"/>
              <w:ind w:right="53"/>
              <w:spacing w:after="0" w:line="19" w:lineRule="exact"/>
              <w:rPr>
                <w:sz w:val="20"/>
                <w:szCs w:val="20"/>
                <w:color w:val="auto"/>
              </w:rPr>
            </w:pPr>
            <w:r>
              <w:rPr>
                <w:rFonts w:ascii="Arial" w:cs="Arial" w:eastAsia="Arial" w:hAnsi="Arial"/>
                <w:sz w:val="2"/>
                <w:szCs w:val="2"/>
                <w:color w:val="FFFFFF"/>
              </w:rPr>
              <w:t>600620**Shares**</w:t>
            </w:r>
          </w:p>
        </w:tc>
        <w:tc>
          <w:tcPr>
            <w:tcW w:w="2580" w:type="dxa"/>
            <w:vAlign w:val="bottom"/>
            <w:gridSpan w:val="3"/>
          </w:tcPr>
          <w:p>
            <w:pPr>
              <w:jc w:val="right"/>
              <w:ind w:right="9"/>
              <w:spacing w:after="0" w:line="19" w:lineRule="exact"/>
              <w:rPr>
                <w:sz w:val="20"/>
                <w:szCs w:val="20"/>
                <w:color w:val="auto"/>
              </w:rPr>
            </w:pPr>
            <w:r>
              <w:rPr>
                <w:rFonts w:ascii="Arial" w:cs="Arial" w:eastAsia="Arial" w:hAnsi="Arial"/>
                <w:sz w:val="2"/>
                <w:szCs w:val="2"/>
                <w:color w:val="FFFFFF"/>
              </w:rPr>
              <w:t>600620** SIX HUNDRED AND TWENTY*</w:t>
            </w:r>
          </w:p>
        </w:tc>
        <w:tc>
          <w:tcPr>
            <w:tcW w:w="0" w:type="dxa"/>
            <w:vAlign w:val="bottom"/>
          </w:tcPr>
          <w:p>
            <w:pPr>
              <w:spacing w:after="0" w:line="20" w:lineRule="exact"/>
              <w:rPr>
                <w:sz w:val="1"/>
                <w:szCs w:val="1"/>
                <w:color w:val="auto"/>
              </w:rPr>
            </w:pPr>
          </w:p>
        </w:tc>
      </w:tr>
    </w:tbl>
    <w:p>
      <w:pPr>
        <w:ind w:right="1980"/>
        <w:spacing w:after="0" w:line="184" w:lineRule="auto"/>
        <w:rPr>
          <w:sz w:val="20"/>
          <w:szCs w:val="20"/>
          <w:color w:val="auto"/>
        </w:rPr>
      </w:pPr>
      <w:r>
        <w:rPr>
          <w:rFonts w:ascii="Arial" w:cs="Arial" w:eastAsia="Arial" w:hAnsi="Arial"/>
          <w:sz w:val="6"/>
          <w:szCs w:val="6"/>
          <w:color w:val="FFFFFF"/>
        </w:rPr>
        <w:t xml:space="preserve">hares****600620**Shares****600620**Shares****600620**Shares****600620**Shares****600620**Shares****600620**Shares****600620**Shares****600620**Sh </w:t>
      </w:r>
      <w:r>
        <w:rPr>
          <w:rFonts w:ascii="Arial" w:cs="Arial" w:eastAsia="Arial" w:hAnsi="Arial"/>
          <w:sz w:val="7"/>
          <w:szCs w:val="7"/>
          <w:color w:val="FFFFFF"/>
          <w:vertAlign w:val="subscript"/>
        </w:rPr>
        <w:t>Fluidigm</w:t>
      </w:r>
      <w:r>
        <w:rPr>
          <w:rFonts w:ascii="Arial" w:cs="Arial" w:eastAsia="Arial" w:hAnsi="Arial"/>
          <w:sz w:val="6"/>
          <w:szCs w:val="6"/>
          <w:color w:val="FFFFFF"/>
        </w:rPr>
        <w:t>ULLY-PAID AND NON-ASSESSABLE SHARES OF THE COMMON STOCK OF</w:t>
      </w:r>
    </w:p>
    <w:p>
      <w:pPr>
        <w:ind w:right="20" w:firstLine="529"/>
        <w:spacing w:after="0" w:line="195" w:lineRule="auto"/>
        <w:rPr>
          <w:sz w:val="20"/>
          <w:szCs w:val="20"/>
          <w:color w:val="auto"/>
        </w:rPr>
      </w:pPr>
      <w:r>
        <w:rPr>
          <w:rFonts w:ascii="Arial" w:cs="Arial" w:eastAsia="Arial" w:hAnsi="Arial"/>
          <w:sz w:val="6"/>
          <w:szCs w:val="6"/>
          <w:color w:val="FFFFFF"/>
        </w:rPr>
        <w:t xml:space="preserve">Corporation (hereinafter called the “Company”), transferable on the books of the Company in person or by duly authorized attorney, upon surrender of this Certificate properly endorsed. This Certificate and the shares represented hereby, are issued and shall be held subject to all of the provisions of the Certificate of Incorporation, as amended, and the By-Laws, as amended, of the Company (copies of which </w:t>
      </w:r>
      <w:r>
        <w:rPr>
          <w:rFonts w:ascii="Arial" w:cs="Arial" w:eastAsia="Arial" w:hAnsi="Arial"/>
          <w:sz w:val="7"/>
          <w:szCs w:val="7"/>
          <w:color w:val="FFFFFF"/>
          <w:vertAlign w:val="superscript"/>
        </w:rPr>
        <w:t>and</w:t>
      </w:r>
      <w:r>
        <w:rPr>
          <w:rFonts w:ascii="Arial" w:cs="Arial" w:eastAsia="Arial" w:hAnsi="Arial"/>
          <w:sz w:val="6"/>
          <w:szCs w:val="6"/>
          <w:color w:val="FFFFFF"/>
        </w:rPr>
        <w:t>re on file with the Company and with the Transfer Agent), to all of which each holder, by acceptance hereof, assents. This Certificate is not valid unless countersigned and registered by the Transfer</w:t>
      </w:r>
    </w:p>
    <w:p>
      <w:pPr>
        <w:spacing w:after="0"/>
        <w:tabs>
          <w:tab w:leader="none" w:pos="580" w:val="left"/>
        </w:tabs>
        <w:rPr>
          <w:sz w:val="20"/>
          <w:szCs w:val="20"/>
          <w:color w:val="auto"/>
        </w:rPr>
      </w:pPr>
      <w:r>
        <w:rPr>
          <w:rFonts w:ascii="Arial" w:cs="Arial" w:eastAsia="Arial" w:hAnsi="Arial"/>
          <w:sz w:val="3"/>
          <w:szCs w:val="3"/>
          <w:color w:val="FFFFFF"/>
        </w:rPr>
        <w:t>Agent</w:t>
      </w:r>
      <w:r>
        <w:rPr>
          <w:sz w:val="20"/>
          <w:szCs w:val="20"/>
          <w:color w:val="auto"/>
        </w:rPr>
        <w:tab/>
      </w:r>
      <w:r>
        <w:rPr>
          <w:rFonts w:ascii="Arial" w:cs="Arial" w:eastAsia="Arial" w:hAnsi="Arial"/>
          <w:sz w:val="3"/>
          <w:szCs w:val="3"/>
          <w:color w:val="FFFFFF"/>
        </w:rPr>
        <w:t>Registrar.</w:t>
      </w:r>
    </w:p>
    <w:p>
      <w:pPr>
        <w:spacing w:after="0" w:line="194" w:lineRule="auto"/>
        <w:rPr>
          <w:sz w:val="20"/>
          <w:szCs w:val="20"/>
          <w:color w:val="auto"/>
        </w:rPr>
      </w:pPr>
      <w:r>
        <w:rPr>
          <w:rFonts w:ascii="Arial" w:cs="Arial" w:eastAsia="Arial" w:hAnsi="Arial"/>
          <w:sz w:val="5"/>
          <w:szCs w:val="5"/>
          <w:color w:val="FFFFFF"/>
        </w:rPr>
        <w:t>Witness the facsimile seal of the Company and the facsimile signatures of its duly authorized officers.</w:t>
      </w:r>
    </w:p>
    <w:p>
      <w:pPr>
        <w:spacing w:after="0" w:line="188" w:lineRule="auto"/>
        <w:rPr>
          <w:sz w:val="20"/>
          <w:szCs w:val="20"/>
          <w:color w:val="auto"/>
        </w:rPr>
      </w:pPr>
      <w:r>
        <w:rPr>
          <w:rFonts w:ascii="Arial" w:cs="Arial" w:eastAsia="Arial" w:hAnsi="Arial"/>
          <w:sz w:val="9"/>
          <w:szCs w:val="9"/>
          <w:color w:val="FFFFFF"/>
        </w:rPr>
        <w:t>DATED &gt;</w:t>
      </w:r>
    </w:p>
    <w:p>
      <w:pPr>
        <w:spacing w:after="0" w:line="187" w:lineRule="auto"/>
        <w:rPr>
          <w:sz w:val="20"/>
          <w:szCs w:val="20"/>
          <w:color w:val="auto"/>
        </w:rPr>
      </w:pPr>
      <w:r>
        <w:rPr>
          <w:rFonts w:ascii="Arial" w:cs="Arial" w:eastAsia="Arial" w:hAnsi="Arial"/>
          <w:sz w:val="9"/>
          <w:szCs w:val="9"/>
          <w:color w:val="FFFFFF"/>
          <w:vertAlign w:val="subscript"/>
        </w:rPr>
        <w:t>COMPUTERSHARE</w:t>
      </w:r>
      <w:r>
        <w:rPr>
          <w:rFonts w:ascii="Arial" w:cs="Arial" w:eastAsia="Arial" w:hAnsi="Arial"/>
          <w:sz w:val="7"/>
          <w:szCs w:val="7"/>
          <w:color w:val="FFFFFF"/>
        </w:rPr>
        <w:t>UNTERSIGNEDANDTRUSTREGISTERED:COMPANY,</w:t>
      </w:r>
      <w:r>
        <w:rPr>
          <w:rFonts w:ascii="Arial" w:cs="Arial" w:eastAsia="Arial" w:hAnsi="Arial"/>
          <w:sz w:val="9"/>
          <w:szCs w:val="9"/>
          <w:color w:val="FFFFFF"/>
          <w:vertAlign w:val="subscript"/>
        </w:rPr>
        <w:t>TRANSFER</w:t>
      </w:r>
      <w:r>
        <w:rPr>
          <w:rFonts w:ascii="Arial" w:cs="Arial" w:eastAsia="Arial" w:hAnsi="Arial"/>
          <w:sz w:val="7"/>
          <w:szCs w:val="7"/>
          <w:color w:val="FFFFFF"/>
        </w:rPr>
        <w:t>..</w:t>
      </w:r>
    </w:p>
    <w:p>
      <w:pPr>
        <w:spacing w:after="0" w:line="188" w:lineRule="auto"/>
        <w:tabs>
          <w:tab w:leader="none" w:pos="2800" w:val="left"/>
        </w:tabs>
        <w:rPr>
          <w:sz w:val="20"/>
          <w:szCs w:val="20"/>
          <w:color w:val="auto"/>
        </w:rPr>
      </w:pPr>
      <w:r>
        <w:rPr>
          <w:rFonts w:ascii="Arial" w:cs="Arial" w:eastAsia="Arial" w:hAnsi="Arial"/>
          <w:sz w:val="9"/>
          <w:szCs w:val="9"/>
          <w:color w:val="FFFFFF"/>
        </w:rPr>
        <w:t>SecretaryPresident andBy Chief Executive Officer</w:t>
      </w:r>
      <w:r>
        <w:rPr>
          <w:sz w:val="20"/>
          <w:szCs w:val="20"/>
          <w:color w:val="auto"/>
        </w:rPr>
        <w:tab/>
      </w:r>
      <w:r>
        <w:rPr>
          <w:rFonts w:ascii="Arial" w:cs="Arial" w:eastAsia="Arial" w:hAnsi="Arial"/>
          <w:sz w:val="9"/>
          <w:szCs w:val="9"/>
          <w:color w:val="FFFFFF"/>
        </w:rPr>
        <w:t>AGENT AND REGISTRAR,</w:t>
      </w:r>
    </w:p>
    <w:p>
      <w:pPr>
        <w:spacing w:after="0"/>
        <w:rPr>
          <w:sz w:val="20"/>
          <w:szCs w:val="20"/>
          <w:color w:val="auto"/>
        </w:rPr>
      </w:pPr>
      <w:r>
        <w:rPr>
          <w:rFonts w:ascii="Arial" w:cs="Arial" w:eastAsia="Arial" w:hAnsi="Arial"/>
          <w:sz w:val="14"/>
          <w:szCs w:val="14"/>
          <w:color w:val="FFFFFF"/>
        </w:rPr>
        <w:t>1234567AUTHORIZED SIGNATURE</w:t>
      </w:r>
    </w:p>
    <w:p>
      <w:pPr>
        <w:sectPr>
          <w:pgSz w:w="11900" w:h="16838" w:orient="portrait"/>
          <w:cols w:equalWidth="0" w:num="1">
            <w:col w:w="11420"/>
          </w:cols>
          <w:pgMar w:left="240" w:top="125" w:right="23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3"/>
          </w:tcPr>
          <w:p>
            <w:pPr>
              <w:spacing w:after="0"/>
              <w:rPr>
                <w:sz w:val="20"/>
                <w:szCs w:val="20"/>
                <w:color w:val="auto"/>
              </w:rPr>
            </w:pPr>
            <w:r>
              <w:rPr>
                <w:rFonts w:ascii="Arial" w:cs="Arial" w:eastAsia="Arial" w:hAnsi="Arial"/>
                <w:sz w:val="14"/>
                <w:szCs w:val="14"/>
                <w:color w:val="FFFFFF"/>
              </w:rPr>
              <w:t>FLUIDIGM CORPORATION</w:t>
            </w:r>
          </w:p>
        </w:tc>
        <w:tc>
          <w:tcPr>
            <w:tcW w:w="240" w:type="dxa"/>
            <w:vAlign w:val="bottom"/>
          </w:tcPr>
          <w:p>
            <w:pPr>
              <w:spacing w:after="0"/>
              <w:rPr>
                <w:sz w:val="14"/>
                <w:szCs w:val="14"/>
                <w:color w:val="auto"/>
              </w:rPr>
            </w:pPr>
          </w:p>
        </w:tc>
        <w:tc>
          <w:tcPr>
            <w:tcW w:w="2920" w:type="dxa"/>
            <w:vAlign w:val="bottom"/>
            <w:gridSpan w:val="2"/>
            <w:vMerge w:val="restart"/>
          </w:tcPr>
          <w:p>
            <w:pPr>
              <w:ind w:left="60"/>
              <w:spacing w:after="0"/>
              <w:rPr>
                <w:sz w:val="20"/>
                <w:szCs w:val="20"/>
                <w:color w:val="auto"/>
              </w:rPr>
            </w:pPr>
            <w:r>
              <w:rPr>
                <w:rFonts w:ascii="Arial" w:cs="Arial" w:eastAsia="Arial" w:hAnsi="Arial"/>
                <w:sz w:val="14"/>
                <w:szCs w:val="14"/>
                <w:color w:val="FFFFFF"/>
                <w:w w:val="91"/>
              </w:rPr>
              <w:t>O EACH STOCKHOLDER WHO SO REQUESTS,</w:t>
            </w:r>
          </w:p>
        </w:tc>
        <w:tc>
          <w:tcPr>
            <w:tcW w:w="2800" w:type="dxa"/>
            <w:vAlign w:val="bottom"/>
            <w:gridSpan w:val="2"/>
            <w:vMerge w:val="restart"/>
          </w:tcPr>
          <w:p>
            <w:pPr>
              <w:ind w:left="140"/>
              <w:spacing w:after="0"/>
              <w:rPr>
                <w:sz w:val="20"/>
                <w:szCs w:val="20"/>
                <w:color w:val="auto"/>
              </w:rPr>
            </w:pPr>
            <w:r>
              <w:rPr>
                <w:rFonts w:ascii="Arial" w:cs="Arial" w:eastAsia="Arial" w:hAnsi="Arial"/>
                <w:sz w:val="14"/>
                <w:szCs w:val="14"/>
                <w:color w:val="FFFFFF"/>
              </w:rPr>
              <w:t>SUMMARY OF THE POWERS, DESIGNA</w:t>
            </w:r>
          </w:p>
        </w:tc>
        <w:tc>
          <w:tcPr>
            <w:tcW w:w="2280" w:type="dxa"/>
            <w:vAlign w:val="bottom"/>
            <w:gridSpan w:val="2"/>
            <w:vMerge w:val="restart"/>
          </w:tcPr>
          <w:p>
            <w:pPr>
              <w:jc w:val="right"/>
              <w:ind w:right="74"/>
              <w:spacing w:after="0"/>
              <w:rPr>
                <w:sz w:val="20"/>
                <w:szCs w:val="20"/>
                <w:color w:val="auto"/>
              </w:rPr>
            </w:pPr>
            <w:r>
              <w:rPr>
                <w:rFonts w:ascii="Arial" w:cs="Arial" w:eastAsia="Arial" w:hAnsi="Arial"/>
                <w:sz w:val="14"/>
                <w:szCs w:val="14"/>
                <w:color w:val="FFFFFF"/>
              </w:rPr>
              <w:t>PREFERENCES AND RELATIVE,</w:t>
            </w:r>
          </w:p>
        </w:tc>
        <w:tc>
          <w:tcPr>
            <w:tcW w:w="0" w:type="dxa"/>
            <w:vAlign w:val="bottom"/>
          </w:tcPr>
          <w:p>
            <w:pPr>
              <w:spacing w:after="0"/>
              <w:rPr>
                <w:sz w:val="1"/>
                <w:szCs w:val="1"/>
                <w:color w:val="auto"/>
              </w:rPr>
            </w:pPr>
          </w:p>
        </w:tc>
      </w:tr>
      <w:tr>
        <w:trPr>
          <w:trHeight w:val="41"/>
        </w:trPr>
        <w:tc>
          <w:tcPr>
            <w:tcW w:w="3260" w:type="dxa"/>
            <w:vAlign w:val="bottom"/>
            <w:gridSpan w:val="4"/>
          </w:tcPr>
          <w:p>
            <w:pPr>
              <w:spacing w:after="0"/>
              <w:rPr>
                <w:sz w:val="20"/>
                <w:szCs w:val="20"/>
                <w:color w:val="auto"/>
              </w:rPr>
            </w:pPr>
            <w:r>
              <w:rPr>
                <w:rFonts w:ascii="Arial" w:cs="Arial" w:eastAsia="Arial" w:hAnsi="Arial"/>
                <w:sz w:val="3"/>
                <w:szCs w:val="3"/>
                <w:color w:val="FFFFFF"/>
              </w:rPr>
              <w:t>THE COMPANY WILL FURNISH WITHOUT CHARGE</w:t>
            </w:r>
          </w:p>
        </w:tc>
        <w:tc>
          <w:tcPr>
            <w:tcW w:w="2920" w:type="dxa"/>
            <w:vAlign w:val="bottom"/>
            <w:gridSpan w:val="2"/>
            <w:vMerge w:val="continue"/>
          </w:tcPr>
          <w:p>
            <w:pPr>
              <w:spacing w:after="0"/>
              <w:rPr>
                <w:sz w:val="3"/>
                <w:szCs w:val="3"/>
                <w:color w:val="auto"/>
              </w:rPr>
            </w:pPr>
          </w:p>
        </w:tc>
        <w:tc>
          <w:tcPr>
            <w:tcW w:w="2800" w:type="dxa"/>
            <w:vAlign w:val="bottom"/>
            <w:gridSpan w:val="2"/>
            <w:vMerge w:val="continue"/>
          </w:tcPr>
          <w:p>
            <w:pPr>
              <w:spacing w:after="0"/>
              <w:rPr>
                <w:sz w:val="3"/>
                <w:szCs w:val="3"/>
                <w:color w:val="auto"/>
              </w:rPr>
            </w:pPr>
          </w:p>
        </w:tc>
        <w:tc>
          <w:tcPr>
            <w:tcW w:w="22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10"/>
          </w:tcPr>
          <w:p>
            <w:pPr>
              <w:jc w:val="right"/>
              <w:ind w:right="274"/>
              <w:spacing w:after="0"/>
              <w:rPr>
                <w:sz w:val="20"/>
                <w:szCs w:val="20"/>
                <w:color w:val="auto"/>
              </w:rPr>
            </w:pPr>
            <w:r>
              <w:rPr>
                <w:rFonts w:ascii="Arial" w:cs="Arial" w:eastAsia="Arial" w:hAnsi="Arial"/>
                <w:sz w:val="3"/>
                <w:szCs w:val="3"/>
                <w:color w:val="FFFFFF"/>
              </w:rPr>
              <w:t>ARTICIPATING, OPTIONAL OR OTHER SPECIAL RIGHTS OF EACH CLASS OF STOCK OF THE COMPANY AND THE QUALIFICATIONS, LIMITATIONS, OR RESTRICTIONS OF SUCH</w:t>
            </w:r>
          </w:p>
        </w:tc>
        <w:tc>
          <w:tcPr>
            <w:tcW w:w="0" w:type="dxa"/>
            <w:vAlign w:val="bottom"/>
          </w:tcPr>
          <w:p>
            <w:pPr>
              <w:spacing w:after="0"/>
              <w:rPr>
                <w:sz w:val="1"/>
                <w:szCs w:val="1"/>
                <w:color w:val="auto"/>
              </w:rPr>
            </w:pPr>
          </w:p>
        </w:tc>
      </w:tr>
      <w:tr>
        <w:trPr>
          <w:trHeight w:val="41"/>
        </w:trPr>
        <w:tc>
          <w:tcPr>
            <w:tcW w:w="8040" w:type="dxa"/>
            <w:vAlign w:val="bottom"/>
            <w:gridSpan w:val="7"/>
          </w:tcPr>
          <w:p>
            <w:pPr>
              <w:spacing w:after="0"/>
              <w:rPr>
                <w:sz w:val="20"/>
                <w:szCs w:val="20"/>
                <w:color w:val="auto"/>
              </w:rPr>
            </w:pPr>
            <w:r>
              <w:rPr>
                <w:rFonts w:ascii="Arial" w:cs="Arial" w:eastAsia="Arial" w:hAnsi="Arial"/>
                <w:sz w:val="3"/>
                <w:szCs w:val="3"/>
                <w:color w:val="FFFFFF"/>
              </w:rPr>
              <w:t>PREFERENCES AND RIGHTS, AND THE VARIATIONS IN RIGHTS, PREFERENCES AND LIMIT TIONS DETERMINED FOR EACH</w:t>
            </w:r>
          </w:p>
        </w:tc>
        <w:tc>
          <w:tcPr>
            <w:tcW w:w="3220" w:type="dxa"/>
            <w:vAlign w:val="bottom"/>
            <w:gridSpan w:val="3"/>
          </w:tcPr>
          <w:p>
            <w:pPr>
              <w:jc w:val="right"/>
              <w:ind w:right="134"/>
              <w:spacing w:after="0"/>
              <w:rPr>
                <w:sz w:val="20"/>
                <w:szCs w:val="20"/>
                <w:color w:val="auto"/>
              </w:rPr>
            </w:pPr>
            <w:r>
              <w:rPr>
                <w:rFonts w:ascii="Arial" w:cs="Arial" w:eastAsia="Arial" w:hAnsi="Arial"/>
                <w:sz w:val="3"/>
                <w:szCs w:val="3"/>
                <w:color w:val="FFFFFF"/>
              </w:rPr>
              <w:t>WHICH ARE FIXED BY THE CERTIFICATE OF</w:t>
            </w:r>
          </w:p>
        </w:tc>
        <w:tc>
          <w:tcPr>
            <w:tcW w:w="0" w:type="dxa"/>
            <w:vAlign w:val="bottom"/>
          </w:tcPr>
          <w:p>
            <w:pPr>
              <w:spacing w:after="0"/>
              <w:rPr>
                <w:sz w:val="1"/>
                <w:szCs w:val="1"/>
                <w:color w:val="auto"/>
              </w:rPr>
            </w:pPr>
          </w:p>
        </w:tc>
      </w:tr>
      <w:tr>
        <w:trPr>
          <w:trHeight w:val="41"/>
        </w:trPr>
        <w:tc>
          <w:tcPr>
            <w:tcW w:w="820" w:type="dxa"/>
            <w:vAlign w:val="bottom"/>
            <w:gridSpan w:val="2"/>
          </w:tcPr>
          <w:p>
            <w:pPr>
              <w:spacing w:after="0"/>
              <w:rPr>
                <w:sz w:val="20"/>
                <w:szCs w:val="20"/>
                <w:color w:val="auto"/>
              </w:rPr>
            </w:pPr>
            <w:r>
              <w:rPr>
                <w:rFonts w:ascii="Arial" w:cs="Arial" w:eastAsia="Arial" w:hAnsi="Arial"/>
                <w:sz w:val="3"/>
                <w:szCs w:val="3"/>
                <w:color w:val="FFFFFF"/>
              </w:rPr>
              <w:t>INCORPORA</w:t>
            </w:r>
          </w:p>
        </w:tc>
        <w:tc>
          <w:tcPr>
            <w:tcW w:w="8900" w:type="dxa"/>
            <w:vAlign w:val="bottom"/>
            <w:gridSpan w:val="7"/>
          </w:tcPr>
          <w:p>
            <w:pPr>
              <w:jc w:val="right"/>
              <w:spacing w:after="0"/>
              <w:rPr>
                <w:sz w:val="20"/>
                <w:szCs w:val="20"/>
                <w:color w:val="auto"/>
              </w:rPr>
            </w:pPr>
            <w:r>
              <w:rPr>
                <w:rFonts w:ascii="Arial" w:cs="Arial" w:eastAsia="Arial" w:hAnsi="Arial"/>
                <w:sz w:val="3"/>
                <w:szCs w:val="3"/>
                <w:color w:val="FFFFFF"/>
              </w:rPr>
              <w:t>OF THE COMPANY, AS AMENDED, AND THE RESOLUTIONS OF THE BOARD OF DIRECTORS OF THE COMPANYSERIES,AND THE AUTHORITY OF</w:t>
            </w:r>
          </w:p>
        </w:tc>
        <w:tc>
          <w:tcPr>
            <w:tcW w:w="1540" w:type="dxa"/>
            <w:vAlign w:val="bottom"/>
          </w:tcPr>
          <w:p>
            <w:pPr>
              <w:jc w:val="right"/>
              <w:ind w:right="514"/>
              <w:spacing w:after="0"/>
              <w:rPr>
                <w:sz w:val="20"/>
                <w:szCs w:val="20"/>
                <w:color w:val="auto"/>
              </w:rPr>
            </w:pPr>
            <w:r>
              <w:rPr>
                <w:rFonts w:ascii="Arial" w:cs="Arial" w:eastAsia="Arial" w:hAnsi="Arial"/>
                <w:sz w:val="3"/>
                <w:szCs w:val="3"/>
                <w:color w:val="FFFFFF"/>
              </w:rPr>
              <w:t>BOARD OF</w:t>
            </w:r>
          </w:p>
        </w:tc>
        <w:tc>
          <w:tcPr>
            <w:tcW w:w="0" w:type="dxa"/>
            <w:vAlign w:val="bottom"/>
          </w:tcPr>
          <w:p>
            <w:pPr>
              <w:spacing w:after="0"/>
              <w:rPr>
                <w:sz w:val="1"/>
                <w:szCs w:val="1"/>
                <w:color w:val="auto"/>
              </w:rPr>
            </w:pPr>
          </w:p>
        </w:tc>
      </w:tr>
      <w:tr>
        <w:trPr>
          <w:trHeight w:val="41"/>
        </w:trPr>
        <w:tc>
          <w:tcPr>
            <w:tcW w:w="6180" w:type="dxa"/>
            <w:vAlign w:val="bottom"/>
            <w:gridSpan w:val="6"/>
          </w:tcPr>
          <w:p>
            <w:pPr>
              <w:spacing w:after="0"/>
              <w:rPr>
                <w:sz w:val="20"/>
                <w:szCs w:val="20"/>
                <w:color w:val="auto"/>
              </w:rPr>
            </w:pPr>
            <w:r>
              <w:rPr>
                <w:rFonts w:ascii="Arial" w:cs="Arial" w:eastAsia="Arial" w:hAnsi="Arial"/>
                <w:sz w:val="3"/>
                <w:szCs w:val="3"/>
                <w:color w:val="FFFFFF"/>
              </w:rPr>
              <w:t>DIRECTORS TIONDETERMINE VARIATIONS FOR FUTURE SERIES. SUCH REQUEST MA  BE MADE T</w:t>
            </w:r>
          </w:p>
        </w:tc>
        <w:tc>
          <w:tcPr>
            <w:tcW w:w="3540" w:type="dxa"/>
            <w:vAlign w:val="bottom"/>
            <w:gridSpan w:val="3"/>
          </w:tcPr>
          <w:p>
            <w:pPr>
              <w:jc w:val="right"/>
              <w:ind w:right="152"/>
              <w:spacing w:after="0"/>
              <w:rPr>
                <w:sz w:val="20"/>
                <w:szCs w:val="20"/>
                <w:color w:val="auto"/>
              </w:rPr>
            </w:pPr>
            <w:r>
              <w:rPr>
                <w:rFonts w:ascii="Arial" w:cs="Arial" w:eastAsia="Arial" w:hAnsi="Arial"/>
                <w:sz w:val="3"/>
                <w:szCs w:val="3"/>
                <w:color w:val="FFFFFF"/>
              </w:rPr>
              <w:t>THE OFFICE OF THE SECRETARY OF THE COMPANY</w:t>
            </w:r>
          </w:p>
        </w:tc>
        <w:tc>
          <w:tcPr>
            <w:tcW w:w="1540" w:type="dxa"/>
            <w:vAlign w:val="bottom"/>
          </w:tcPr>
          <w:p>
            <w:pPr>
              <w:jc w:val="right"/>
              <w:ind w:right="274"/>
              <w:spacing w:after="0"/>
              <w:rPr>
                <w:sz w:val="20"/>
                <w:szCs w:val="20"/>
                <w:color w:val="auto"/>
              </w:rPr>
            </w:pPr>
            <w:r>
              <w:rPr>
                <w:rFonts w:ascii="Arial" w:cs="Arial" w:eastAsia="Arial" w:hAnsi="Arial"/>
                <w:sz w:val="3"/>
                <w:szCs w:val="3"/>
                <w:color w:val="FFFFFF"/>
              </w:rPr>
              <w:t>THEOTHE TRANSFER</w:t>
            </w:r>
          </w:p>
        </w:tc>
        <w:tc>
          <w:tcPr>
            <w:tcW w:w="0" w:type="dxa"/>
            <w:vAlign w:val="bottom"/>
          </w:tcPr>
          <w:p>
            <w:pPr>
              <w:spacing w:after="0"/>
              <w:rPr>
                <w:sz w:val="1"/>
                <w:szCs w:val="1"/>
                <w:color w:val="auto"/>
              </w:rPr>
            </w:pPr>
          </w:p>
        </w:tc>
      </w:tr>
      <w:tr>
        <w:trPr>
          <w:trHeight w:val="41"/>
        </w:trPr>
        <w:tc>
          <w:tcPr>
            <w:tcW w:w="4400" w:type="dxa"/>
            <w:vAlign w:val="bottom"/>
            <w:gridSpan w:val="5"/>
          </w:tcPr>
          <w:p>
            <w:pPr>
              <w:spacing w:after="0"/>
              <w:rPr>
                <w:sz w:val="20"/>
                <w:szCs w:val="20"/>
                <w:color w:val="auto"/>
              </w:rPr>
            </w:pPr>
            <w:r>
              <w:rPr>
                <w:rFonts w:ascii="Arial" w:cs="Arial" w:eastAsia="Arial" w:hAnsi="Arial"/>
                <w:sz w:val="3"/>
                <w:szCs w:val="3"/>
                <w:color w:val="FFFFFF"/>
              </w:rPr>
              <w:t>AGENT. THE BOARD OF DIRECTORS MAY REQUIRE THE OWNER OF</w:t>
            </w:r>
          </w:p>
        </w:tc>
        <w:tc>
          <w:tcPr>
            <w:tcW w:w="6860" w:type="dxa"/>
            <w:vAlign w:val="bottom"/>
            <w:gridSpan w:val="5"/>
          </w:tcPr>
          <w:p>
            <w:pPr>
              <w:ind w:left="40"/>
              <w:spacing w:after="0"/>
              <w:rPr>
                <w:sz w:val="20"/>
                <w:szCs w:val="20"/>
                <w:color w:val="auto"/>
              </w:rPr>
            </w:pPr>
            <w:r>
              <w:rPr>
                <w:rFonts w:ascii="Arial" w:cs="Arial" w:eastAsia="Arial" w:hAnsi="Arial"/>
                <w:sz w:val="3"/>
                <w:szCs w:val="3"/>
                <w:color w:val="FFFFFF"/>
              </w:rPr>
              <w:t>LOST OR DESTROYED STOCK CERTIFICATE, OR HIS LEGAL REPRESENT TIVES, TORGIVE THE COMPANY A</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BOND</w:t>
            </w:r>
          </w:p>
        </w:tc>
        <w:tc>
          <w:tcPr>
            <w:tcW w:w="10860" w:type="dxa"/>
            <w:vAlign w:val="bottom"/>
            <w:gridSpan w:val="9"/>
          </w:tcPr>
          <w:p>
            <w:pPr>
              <w:jc w:val="right"/>
              <w:ind w:right="154"/>
              <w:spacing w:after="0"/>
              <w:rPr>
                <w:sz w:val="20"/>
                <w:szCs w:val="20"/>
                <w:color w:val="auto"/>
              </w:rPr>
            </w:pPr>
            <w:r>
              <w:rPr>
                <w:rFonts w:ascii="Arial" w:cs="Arial" w:eastAsia="Arial" w:hAnsi="Arial"/>
                <w:sz w:val="3"/>
                <w:szCs w:val="3"/>
                <w:color w:val="FFFFFF"/>
              </w:rPr>
              <w:t>O INDEMNIFY IT AND ITS TRANSFER AGENTS AND REGISTRARS AGAINST ANY CLAIM THAT MAY BE MADE AGAINST THEM ON ACCOUNT OF THE ALLEGED LOSS OR</w:t>
            </w:r>
          </w:p>
        </w:tc>
        <w:tc>
          <w:tcPr>
            <w:tcW w:w="0" w:type="dxa"/>
            <w:vAlign w:val="bottom"/>
          </w:tcPr>
          <w:p>
            <w:pPr>
              <w:spacing w:after="0"/>
              <w:rPr>
                <w:sz w:val="1"/>
                <w:szCs w:val="1"/>
                <w:color w:val="auto"/>
              </w:rPr>
            </w:pPr>
          </w:p>
        </w:tc>
      </w:tr>
      <w:tr>
        <w:trPr>
          <w:trHeight w:val="41"/>
        </w:trPr>
        <w:tc>
          <w:tcPr>
            <w:tcW w:w="3020" w:type="dxa"/>
            <w:vAlign w:val="bottom"/>
            <w:gridSpan w:val="3"/>
          </w:tcPr>
          <w:p>
            <w:pPr>
              <w:spacing w:after="0"/>
              <w:rPr>
                <w:sz w:val="20"/>
                <w:szCs w:val="20"/>
                <w:color w:val="auto"/>
              </w:rPr>
            </w:pPr>
            <w:r>
              <w:rPr>
                <w:rFonts w:ascii="Arial" w:cs="Arial" w:eastAsia="Arial" w:hAnsi="Arial"/>
                <w:sz w:val="3"/>
                <w:szCs w:val="3"/>
                <w:color w:val="FFFFFF"/>
              </w:rPr>
              <w:t>DESTRUCTION OF ANY SUCH CERTIFICATE.</w:t>
            </w: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The</w:t>
            </w:r>
          </w:p>
        </w:tc>
        <w:tc>
          <w:tcPr>
            <w:tcW w:w="420" w:type="dxa"/>
            <w:vAlign w:val="bottom"/>
          </w:tcPr>
          <w:p>
            <w:pPr>
              <w:spacing w:after="0"/>
              <w:rPr>
                <w:sz w:val="3"/>
                <w:szCs w:val="3"/>
                <w:color w:val="auto"/>
              </w:rPr>
            </w:pPr>
          </w:p>
        </w:tc>
        <w:tc>
          <w:tcPr>
            <w:tcW w:w="10440" w:type="dxa"/>
            <w:vAlign w:val="bottom"/>
            <w:gridSpan w:val="8"/>
          </w:tcPr>
          <w:p>
            <w:pPr>
              <w:jc w:val="right"/>
              <w:ind w:right="134"/>
              <w:spacing w:after="0"/>
              <w:rPr>
                <w:sz w:val="20"/>
                <w:szCs w:val="20"/>
                <w:color w:val="auto"/>
              </w:rPr>
            </w:pPr>
            <w:r>
              <w:rPr>
                <w:rFonts w:ascii="Arial" w:cs="Arial" w:eastAsia="Arial" w:hAnsi="Arial"/>
                <w:sz w:val="3"/>
                <w:szCs w:val="3"/>
                <w:color w:val="FFFFFF"/>
              </w:rPr>
              <w:t>abbreviations, when used in the inscription on the face of this certificate, shall be construed as though they were written out in full according to applicable laws or regulations: TEN COM - as</w:t>
            </w:r>
          </w:p>
        </w:tc>
        <w:tc>
          <w:tcPr>
            <w:tcW w:w="0" w:type="dxa"/>
            <w:vAlign w:val="bottom"/>
          </w:tcPr>
          <w:p>
            <w:pPr>
              <w:spacing w:after="0"/>
              <w:rPr>
                <w:sz w:val="1"/>
                <w:szCs w:val="1"/>
                <w:color w:val="auto"/>
              </w:rPr>
            </w:pPr>
          </w:p>
        </w:tc>
      </w:tr>
      <w:tr>
        <w:trPr>
          <w:trHeight w:val="41"/>
        </w:trPr>
        <w:tc>
          <w:tcPr>
            <w:tcW w:w="3020" w:type="dxa"/>
            <w:vAlign w:val="bottom"/>
            <w:gridSpan w:val="3"/>
          </w:tcPr>
          <w:p>
            <w:pPr>
              <w:spacing w:after="0"/>
              <w:rPr>
                <w:sz w:val="20"/>
                <w:szCs w:val="20"/>
                <w:color w:val="auto"/>
              </w:rPr>
            </w:pPr>
            <w:r>
              <w:rPr>
                <w:rFonts w:ascii="Arial" w:cs="Arial" w:eastAsia="Arial" w:hAnsi="Arial"/>
                <w:sz w:val="3"/>
                <w:szCs w:val="3"/>
                <w:color w:val="FFFFFF"/>
              </w:rPr>
              <w:t>tenantsfollowingcommon UNIF GIFT MIN ACT- . . . . . . . . . .</w:t>
            </w:r>
          </w:p>
        </w:tc>
        <w:tc>
          <w:tcPr>
            <w:tcW w:w="1380" w:type="dxa"/>
            <w:vAlign w:val="bottom"/>
            <w:gridSpan w:val="2"/>
          </w:tcPr>
          <w:p>
            <w:pPr>
              <w:spacing w:after="0"/>
              <w:rPr>
                <w:sz w:val="20"/>
                <w:szCs w:val="20"/>
                <w:color w:val="auto"/>
              </w:rPr>
            </w:pPr>
            <w:r>
              <w:rPr>
                <w:rFonts w:ascii="Arial" w:cs="Arial" w:eastAsia="Arial" w:hAnsi="Arial"/>
                <w:sz w:val="3"/>
                <w:szCs w:val="3"/>
                <w:color w:val="FFFFFF"/>
              </w:rPr>
              <w:t>Custodian . . . . . . . . . . . .</w:t>
            </w:r>
          </w:p>
        </w:tc>
        <w:tc>
          <w:tcPr>
            <w:tcW w:w="1780" w:type="dxa"/>
            <w:vAlign w:val="bottom"/>
          </w:tcPr>
          <w:p>
            <w:pPr>
              <w:ind w:left="20"/>
              <w:spacing w:after="0"/>
              <w:rPr>
                <w:sz w:val="20"/>
                <w:szCs w:val="20"/>
                <w:color w:val="auto"/>
              </w:rPr>
            </w:pPr>
            <w:r>
              <w:rPr>
                <w:rFonts w:ascii="Arial" w:cs="Arial" w:eastAsia="Arial" w:hAnsi="Arial"/>
                <w:sz w:val="3"/>
                <w:szCs w:val="3"/>
                <w:color w:val="FFFFFF"/>
              </w:rPr>
              <w:t>. . .</w:t>
            </w:r>
          </w:p>
        </w:tc>
        <w:tc>
          <w:tcPr>
            <w:tcW w:w="1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0" w:type="dxa"/>
            <w:vAlign w:val="bottom"/>
            <w:gridSpan w:val="2"/>
          </w:tcPr>
          <w:p>
            <w:pPr>
              <w:spacing w:after="0"/>
              <w:rPr>
                <w:sz w:val="20"/>
                <w:szCs w:val="20"/>
                <w:color w:val="auto"/>
              </w:rPr>
            </w:pPr>
            <w:r>
              <w:rPr>
                <w:rFonts w:ascii="Arial" w:cs="Arial" w:eastAsia="Arial" w:hAnsi="Arial"/>
                <w:sz w:val="3"/>
                <w:szCs w:val="3"/>
                <w:color w:val="FFFFFF"/>
              </w:rPr>
              <w:t>(Cust) (Minor)</w:t>
            </w:r>
          </w:p>
        </w:tc>
        <w:tc>
          <w:tcPr>
            <w:tcW w:w="2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320" w:type="dxa"/>
            <w:vAlign w:val="bottom"/>
            <w:gridSpan w:val="4"/>
            <w:vMerge w:val="restart"/>
          </w:tcPr>
          <w:p>
            <w:pPr>
              <w:ind w:left="20"/>
              <w:spacing w:after="0" w:line="81" w:lineRule="exact"/>
              <w:rPr>
                <w:sz w:val="20"/>
                <w:szCs w:val="20"/>
                <w:color w:val="auto"/>
              </w:rPr>
            </w:pPr>
            <w:r>
              <w:rPr>
                <w:rFonts w:ascii="Arial" w:cs="Arial" w:eastAsia="Arial" w:hAnsi="Arial"/>
                <w:sz w:val="9"/>
                <w:szCs w:val="9"/>
                <w:color w:val="FFFFFF"/>
              </w:rPr>
              <w:t>. . . . . . . . (State) JT TEN - as joint tenants with right of survivorship UNIF TRF MIN ACT</w:t>
            </w:r>
          </w:p>
        </w:tc>
        <w:tc>
          <w:tcPr>
            <w:tcW w:w="154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 .. . . . . . . . .Custodian (until</w:t>
            </w:r>
          </w:p>
        </w:tc>
        <w:tc>
          <w:tcPr>
            <w:tcW w:w="0" w:type="dxa"/>
            <w:vAlign w:val="bottom"/>
          </w:tcPr>
          <w:p>
            <w:pPr>
              <w:spacing w:after="0"/>
              <w:rPr>
                <w:sz w:val="1"/>
                <w:szCs w:val="1"/>
                <w:color w:val="auto"/>
              </w:rPr>
            </w:pPr>
          </w:p>
        </w:tc>
      </w:tr>
      <w:tr>
        <w:trPr>
          <w:trHeight w:val="41"/>
        </w:trPr>
        <w:tc>
          <w:tcPr>
            <w:tcW w:w="4400" w:type="dxa"/>
            <w:vAlign w:val="bottom"/>
            <w:gridSpan w:val="5"/>
          </w:tcPr>
          <w:p>
            <w:pPr>
              <w:spacing w:after="0"/>
              <w:rPr>
                <w:sz w:val="20"/>
                <w:szCs w:val="20"/>
                <w:color w:val="auto"/>
              </w:rPr>
            </w:pPr>
            <w:r>
              <w:rPr>
                <w:rFonts w:ascii="Arial" w:cs="Arial" w:eastAsia="Arial" w:hAnsi="Arial"/>
                <w:sz w:val="3"/>
                <w:szCs w:val="3"/>
                <w:color w:val="FFFFFF"/>
              </w:rPr>
              <w:t>TEN ENT - as tenants by the entireties under Uniform Gifts to Minors Act . . . . .</w:t>
            </w:r>
          </w:p>
        </w:tc>
        <w:tc>
          <w:tcPr>
            <w:tcW w:w="5320" w:type="dxa"/>
            <w:vAlign w:val="bottom"/>
            <w:gridSpan w:val="4"/>
            <w:vMerge w:val="continue"/>
          </w:tcPr>
          <w:p>
            <w:pPr>
              <w:jc w:val="right"/>
              <w:spacing w:after="0"/>
              <w:rPr>
                <w:sz w:val="20"/>
                <w:szCs w:val="20"/>
                <w:color w:val="auto"/>
              </w:rPr>
            </w:pPr>
            <w:r>
              <w:rPr>
                <w:rFonts w:ascii="Arial" w:cs="Arial" w:eastAsia="Arial" w:hAnsi="Arial"/>
                <w:sz w:val="3"/>
                <w:szCs w:val="3"/>
                <w:color w:val="FFFFFF"/>
              </w:rPr>
              <w:t>. . . . .</w:t>
            </w: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age. . .</w:t>
            </w:r>
          </w:p>
        </w:tc>
        <w:tc>
          <w:tcPr>
            <w:tcW w:w="420" w:type="dxa"/>
            <w:vAlign w:val="bottom"/>
          </w:tcPr>
          <w:p>
            <w:pPr>
              <w:jc w:val="right"/>
              <w:spacing w:after="0"/>
              <w:rPr>
                <w:sz w:val="20"/>
                <w:szCs w:val="20"/>
                <w:color w:val="auto"/>
              </w:rPr>
            </w:pPr>
            <w:r>
              <w:rPr>
                <w:rFonts w:ascii="Arial" w:cs="Arial" w:eastAsia="Arial" w:hAnsi="Arial"/>
                <w:sz w:val="3"/>
                <w:szCs w:val="3"/>
                <w:color w:val="FFFFFF"/>
              </w:rPr>
              <w:t>). . . . . .</w:t>
            </w:r>
          </w:p>
        </w:tc>
        <w:tc>
          <w:tcPr>
            <w:tcW w:w="2440" w:type="dxa"/>
            <w:vAlign w:val="bottom"/>
            <w:gridSpan w:val="2"/>
          </w:tcPr>
          <w:p>
            <w:pPr>
              <w:ind w:left="20"/>
              <w:spacing w:after="0"/>
              <w:rPr>
                <w:sz w:val="20"/>
                <w:szCs w:val="20"/>
                <w:color w:val="auto"/>
              </w:rPr>
            </w:pPr>
            <w:r>
              <w:rPr>
                <w:rFonts w:ascii="Arial" w:cs="Arial" w:eastAsia="Arial" w:hAnsi="Arial"/>
                <w:sz w:val="3"/>
                <w:szCs w:val="3"/>
                <w:color w:val="FFFFFF"/>
              </w:rPr>
              <w:t>. . . . . and not as tenants in common (Cust)</w:t>
            </w:r>
          </w:p>
        </w:tc>
        <w:tc>
          <w:tcPr>
            <w:tcW w:w="2920" w:type="dxa"/>
            <w:vAlign w:val="bottom"/>
            <w:gridSpan w:val="2"/>
          </w:tcPr>
          <w:p>
            <w:pPr>
              <w:ind w:left="400"/>
              <w:spacing w:after="0"/>
              <w:rPr>
                <w:sz w:val="20"/>
                <w:szCs w:val="20"/>
                <w:color w:val="auto"/>
              </w:rPr>
            </w:pPr>
            <w:r>
              <w:rPr>
                <w:rFonts w:ascii="Arial" w:cs="Arial" w:eastAsia="Arial" w:hAnsi="Arial"/>
                <w:sz w:val="3"/>
                <w:szCs w:val="3"/>
                <w:color w:val="FFFFFF"/>
              </w:rPr>
              <w:t>under Uniform Transfers to Minors Act. . . . . .</w:t>
            </w:r>
          </w:p>
        </w:tc>
        <w:tc>
          <w:tcPr>
            <w:tcW w:w="1860" w:type="dxa"/>
            <w:vAlign w:val="bottom"/>
          </w:tcPr>
          <w:p>
            <w:pPr>
              <w:jc w:val="right"/>
              <w:ind w:right="1566"/>
              <w:spacing w:after="0"/>
              <w:rPr>
                <w:sz w:val="20"/>
                <w:szCs w:val="20"/>
                <w:color w:val="auto"/>
              </w:rPr>
            </w:pPr>
            <w:r>
              <w:rPr>
                <w:rFonts w:ascii="Arial" w:cs="Arial" w:eastAsia="Arial" w:hAnsi="Arial"/>
                <w:sz w:val="3"/>
                <w:szCs w:val="3"/>
                <w:color w:val="FFFFFF"/>
              </w:rPr>
              <w:t>. . . .</w:t>
            </w: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0" w:type="dxa"/>
            <w:vAlign w:val="bottom"/>
            <w:gridSpan w:val="5"/>
          </w:tcPr>
          <w:p>
            <w:pPr>
              <w:spacing w:after="0"/>
              <w:rPr>
                <w:sz w:val="20"/>
                <w:szCs w:val="20"/>
                <w:color w:val="auto"/>
              </w:rPr>
            </w:pPr>
            <w:r>
              <w:rPr>
                <w:rFonts w:ascii="Arial" w:cs="Arial" w:eastAsia="Arial" w:hAnsi="Arial"/>
                <w:sz w:val="3"/>
                <w:szCs w:val="3"/>
                <w:color w:val="FFFFFF"/>
              </w:rPr>
              <w:t>(State) Additional abbreviations may also be used though not(Minor)the above list.</w:t>
            </w: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80" w:type="dxa"/>
            <w:vAlign w:val="bottom"/>
            <w:gridSpan w:val="6"/>
          </w:tcPr>
          <w:p>
            <w:pPr>
              <w:spacing w:after="0"/>
              <w:rPr>
                <w:sz w:val="20"/>
                <w:szCs w:val="20"/>
                <w:color w:val="auto"/>
              </w:rPr>
            </w:pPr>
            <w:r>
              <w:rPr>
                <w:rFonts w:ascii="Arial" w:cs="Arial" w:eastAsia="Arial" w:hAnsi="Arial"/>
                <w:sz w:val="3"/>
                <w:szCs w:val="3"/>
                <w:color w:val="FFFFFF"/>
              </w:rPr>
              <w:t>PLEASE INSERT SOCIAL SECURITY OR OTHER IDENTIFYING NUMBER OF ASSIGNEE</w:t>
            </w:r>
          </w:p>
        </w:tc>
        <w:tc>
          <w:tcPr>
            <w:tcW w:w="1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
        </w:trPr>
        <w:tc>
          <w:tcPr>
            <w:tcW w:w="6180" w:type="dxa"/>
            <w:vAlign w:val="bottom"/>
            <w:gridSpan w:val="6"/>
          </w:tcPr>
          <w:p>
            <w:pPr>
              <w:spacing w:after="0" w:line="2" w:lineRule="exact"/>
              <w:rPr>
                <w:sz w:val="20"/>
                <w:szCs w:val="20"/>
                <w:color w:val="auto"/>
              </w:rPr>
            </w:pPr>
            <w:r>
              <w:rPr>
                <w:rFonts w:ascii="Arial" w:cs="Arial" w:eastAsia="Arial" w:hAnsi="Arial"/>
                <w:sz w:val="1"/>
                <w:szCs w:val="1"/>
                <w:color w:val="FFFFFF"/>
              </w:rPr>
              <w:t>For value received, ____________________________hereby sell, assign and transfer unto</w:t>
            </w:r>
          </w:p>
        </w:tc>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Shares(PLEASEofthePRINTcommonOR TYPEWRITEstockrepresentedNAMEbytheANDwithinADDRESS,Certificate,INCLUDINGanddoherebyPOSTALirrevocablyZIPCODE,constituteOFandASSIGNEE)appoint</w:t>
      </w:r>
    </w:p>
    <w:p>
      <w:pPr>
        <w:spacing w:after="0" w:line="194" w:lineRule="auto"/>
        <w:rPr>
          <w:sz w:val="20"/>
          <w:szCs w:val="20"/>
          <w:color w:val="auto"/>
        </w:rPr>
      </w:pPr>
      <w:r>
        <w:rPr>
          <w:rFonts w:ascii="Arial" w:cs="Arial" w:eastAsia="Arial" w:hAnsi="Arial"/>
          <w:sz w:val="5"/>
          <w:szCs w:val="5"/>
          <w:color w:val="FFFFFF"/>
        </w:rPr>
        <w:t>______________________________________________________________________________________________________________________ Attorney to transfer the said stock on the books of the within-</w:t>
      </w:r>
    </w:p>
    <w:p>
      <w:pPr>
        <w:spacing w:after="0"/>
        <w:rPr>
          <w:sz w:val="20"/>
          <w:szCs w:val="20"/>
          <w:color w:val="auto"/>
        </w:rPr>
      </w:pPr>
      <w:r>
        <w:rPr>
          <w:rFonts w:ascii="Arial" w:cs="Arial" w:eastAsia="Arial" w:hAnsi="Arial"/>
          <w:sz w:val="3"/>
          <w:szCs w:val="3"/>
          <w:color w:val="FFFFFF"/>
        </w:rPr>
        <w:t>named Corporation with full power of substitution in the premises.</w:t>
      </w:r>
    </w:p>
    <w:p>
      <w:pPr>
        <w:spacing w:after="0" w:line="194" w:lineRule="auto"/>
        <w:rPr>
          <w:sz w:val="20"/>
          <w:szCs w:val="20"/>
          <w:color w:val="auto"/>
        </w:rPr>
      </w:pPr>
      <w:r>
        <w:rPr>
          <w:rFonts w:ascii="Arial" w:cs="Arial" w:eastAsia="Arial" w:hAnsi="Arial"/>
          <w:sz w:val="5"/>
          <w:szCs w:val="5"/>
          <w:color w:val="FFFFFF"/>
        </w:rPr>
        <w:t>Dated: __________________________________________20__________________ THE SIGNATURE(S) Signature(s) SHOULD BE Guaranteed: GUARANTEED BY Medallion AN ELIGIBLE Guarantee</w:t>
      </w:r>
    </w:p>
    <w:p>
      <w:pPr>
        <w:ind w:right="340"/>
        <w:spacing w:after="0" w:line="187" w:lineRule="auto"/>
        <w:rPr>
          <w:sz w:val="20"/>
          <w:szCs w:val="20"/>
          <w:color w:val="auto"/>
        </w:rPr>
      </w:pPr>
      <w:r>
        <w:rPr>
          <w:rFonts w:ascii="Arial" w:cs="Arial" w:eastAsia="Arial" w:hAnsi="Arial"/>
          <w:sz w:val="9"/>
          <w:szCs w:val="9"/>
          <w:color w:val="FFFFFF"/>
        </w:rPr>
        <w:t>GUARANTOR Stamp INSTITUTION (Banks, SIGNATURE Stockbrokers, GUARANTEE Savings and Loan MEDALLION Associations PROGRAM, and Credit PURSUANT Unions) WITH TO S. E. MEMBERSHIP C. RULE 17Ad-15. IN AN APPROVED</w:t>
      </w:r>
    </w:p>
    <w:p>
      <w:pPr>
        <w:spacing w:after="0" w:line="188" w:lineRule="auto"/>
        <w:rPr>
          <w:sz w:val="20"/>
          <w:szCs w:val="20"/>
          <w:color w:val="auto"/>
        </w:rPr>
      </w:pPr>
      <w:r>
        <w:rPr>
          <w:rFonts w:ascii="Arial" w:cs="Arial" w:eastAsia="Arial" w:hAnsi="Arial"/>
          <w:sz w:val="9"/>
          <w:szCs w:val="9"/>
          <w:color w:val="FFFFFF"/>
        </w:rPr>
        <w:t>Signature: ____________________________________________________________ Notice: The signature to this assignment must correspond with the name as written upon the face of the certificate, in every</w:t>
      </w:r>
    </w:p>
    <w:p>
      <w:pPr>
        <w:spacing w:after="0"/>
        <w:rPr>
          <w:sz w:val="20"/>
          <w:szCs w:val="20"/>
          <w:color w:val="auto"/>
        </w:rPr>
      </w:pPr>
      <w:r>
        <w:rPr>
          <w:rFonts w:ascii="Arial" w:cs="Arial" w:eastAsia="Arial" w:hAnsi="Arial"/>
          <w:sz w:val="14"/>
          <w:szCs w:val="14"/>
          <w:color w:val="FFFFFF"/>
        </w:rPr>
        <w:t>particular, without alteration or enlargement, or any change whatever.</w:t>
      </w:r>
    </w:p>
    <w:p>
      <w:pPr>
        <w:sectPr>
          <w:pgSz w:w="11900" w:h="16838" w:orient="portrait"/>
          <w:cols w:equalWidth="0" w:num="1">
            <w:col w:w="11340"/>
          </w:cols>
          <w:pgMar w:left="240" w:top="1440" w:right="31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7,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u w:val="single" w:color="auto"/>
          <w:color w:val="auto"/>
        </w:rPr>
        <w:t>Registration Statement on Form S-1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are acting as counsel to Fluidigm Corporation, a Delaware corporation (the “Company”), in connection with the registration of 5,948,276 shares of the Company’s common stock, par value $0.001 per share, including 775,862 shares subject to an over-allotment option (collectively, the “Shares”), pursuant to a Registration Statement on Form S-1 (Registration No. 333-170965), as amended (the “Registration Statement”), filed with the Securities and Exchange Commission under the Securities Act of 1933, as amended. The Shares will be sold by the Company pursuant to an underwriting agreement entered into by and among the Company and the underwriters (the “Underwriting Agreement”), substantially in the form filed as an exhibit to the Registration Statement.</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and the conformity with the originals of all documents submitted to us as copies, the authenticity of the originals of such documents and the legal competence of all signatories to such documents.</w:t>
      </w:r>
    </w:p>
    <w:p>
      <w:pPr>
        <w:spacing w:after="0" w:line="11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Based upon the foregoing, we are of the opinion that the Shares to be registered for sale by the Company have been duly authorized by the Company and, when issued, delivered and paid for in accordance with the terms of the Underwriting Agreement, will be validly issued, fully paid and nonassessable.</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consent to the use of this opinion as an exhibit to the Registration Statement, and we consent to the reference of our name under the caption “Legal Matters” in the Prospectus forming a part of the Registration Statement.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Wilson Sonsini Goodrich &amp; Rosati, Professional Corporation</w:t>
      </w:r>
    </w:p>
    <w:p>
      <w:pPr>
        <w:sectPr>
          <w:pgSz w:w="11900" w:h="16838" w:orient="portrait"/>
          <w:cols w:equalWidth="0" w:num="1">
            <w:col w:w="11420"/>
          </w:cols>
          <w:pgMar w:left="240" w:top="125"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December 3, 2010, except for the last paragraph of Note 1, as to which the date is February 3, 2011, in Amendment No. 5 to the Registration Statement (Form S-1 No. 333-170965) and related Prospectus of Fluidigm Corporation for the registration of shares of its common stock.</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4, 2011</w:t>
      </w:r>
    </w:p>
    <w:p>
      <w:pPr>
        <w:sectPr>
          <w:pgSz w:w="11900" w:h="16838" w:orient="portrait"/>
          <w:cols w:equalWidth="0" w:num="1">
            <w:col w:w="11420"/>
          </w:cols>
          <w:pgMar w:left="240" w:top="125"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FLUIDIGM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330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433070"/>
                    </a:xfrm>
                    <a:prstGeom prst="rect">
                      <a:avLst/>
                    </a:prstGeom>
                    <a:noFill/>
                  </pic:spPr>
                </pic:pic>
              </a:graphicData>
            </a:graphic>
          </wp:anchor>
        </w:drawing>
      </w:r>
    </w:p>
    <w:p>
      <w:pPr>
        <w:spacing w:after="0" w:line="199" w:lineRule="exact"/>
        <w:rPr>
          <w:sz w:val="20"/>
          <w:szCs w:val="20"/>
          <w:color w:val="auto"/>
        </w:rPr>
      </w:pPr>
    </w:p>
    <w:p>
      <w:pPr>
        <w:ind w:left="120" w:right="540"/>
        <w:spacing w:after="0" w:line="262" w:lineRule="auto"/>
        <w:rPr>
          <w:sz w:val="20"/>
          <w:szCs w:val="20"/>
          <w:color w:val="auto"/>
        </w:rPr>
      </w:pPr>
      <w:r>
        <w:rPr>
          <w:rFonts w:ascii="Arial" w:cs="Arial" w:eastAsia="Arial" w:hAnsi="Arial"/>
          <w:sz w:val="18"/>
          <w:szCs w:val="18"/>
          <w:b w:val="1"/>
          <w:bCs w:val="1"/>
          <w:color w:val="auto"/>
        </w:rPr>
        <w:t>CERTAIN PORTIONS OF THIS LETTER AND ITS APPENDICES HAVE BEEN OMITTED AND FILED SEPARATELY WITH THE COMMISSION. CONFIDENTIAL TREATMENT HAS BEEN REQUESTED WITH RESPECT TO THE OMITTED PORTIONS. OMITTED INFORMATION HAS BEEN REPLACED IN THIS LETTER WITH A PLACEHOLDER IDENTIFIED BY THE MARK “[***]”.</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 and Overnight Delivery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20549-1004</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Russell Mancuso, Branch Chief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Joseph McCann, Division of Corporation 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Mary Beth Breslin, Senior Attorney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Cascio, Accounting Branch Chief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Martin James, Senior Assistant Chief Accountant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Jeanne Bennett, Division of Corporation Finance</w:t>
      </w:r>
    </w:p>
    <w:p>
      <w:pPr>
        <w:spacing w:after="0" w:line="200" w:lineRule="exact"/>
        <w:rPr>
          <w:sz w:val="20"/>
          <w:szCs w:val="20"/>
          <w:color w:val="auto"/>
        </w:rPr>
      </w:pPr>
    </w:p>
    <w:p>
      <w:pPr>
        <w:sectPr>
          <w:pgSz w:w="11900" w:h="16838" w:orient="portrait"/>
          <w:cols w:equalWidth="0" w:num="2">
            <w:col w:w="1180" w:space="440"/>
            <w:col w:w="9800"/>
          </w:cols>
          <w:pgMar w:left="240" w:top="125" w:right="239" w:bottom="1440" w:gutter="0" w:footer="0" w:header="0"/>
          <w:type w:val="continuous"/>
        </w:sectPr>
      </w:pPr>
    </w:p>
    <w:p>
      <w:pPr>
        <w:spacing w:after="0" w:line="36"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Re:</w:t>
        <w:tab/>
        <w:t>Fluidigm Corporation</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Amended January 7, 2011, January 18, 2011, January 28, 2011 and February 2, 2011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File No. 333-170965</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On behalf of Fluidigm Corporation (“Fluidigm” or the “Company”), we submit this letter in response to comments from the staff (the “Staff”) of the Securities and Exchange Commission (“SEC” or the “Commission”) received by letter dated February 3, 2011 and by teleconference on February 3, 2011 and February 4, 2011, relating to Fluidigm’s Registration Statement on Form S-1 (File No. 333-170965) (the “Registration Statement”).</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of the commercially sensitive nature of information contained herein, this submission is accompanied by a request for confidential treatment for selected portions of this letter and the supplemental materials. The Company is requesting confidential treatment for selected portions of this letter and the supplemental materials, including in connection with the Freedom of Information Act, and has filed a separate letter with the Office of Freedom of Information and Privacy Act Operations in connection with that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ectPr>
          <w:pgSz w:w="11900" w:h="16838" w:orient="portrait"/>
          <w:cols w:equalWidth="0" w:num="1">
            <w:col w:w="11420"/>
          </w:cols>
          <w:pgMar w:left="240" w:top="125" w:right="239" w:bottom="1440" w:gutter="0" w:footer="0" w:header="0"/>
          <w:type w:val="continuous"/>
        </w:sectPr>
      </w:pPr>
    </w:p>
    <w:bookmarkStart w:id="260" w:name="page261"/>
    <w:bookmarkEnd w:id="260"/>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-201295</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83" w:lineRule="exact"/>
        <w:rPr>
          <w:sz w:val="20"/>
          <w:szCs w:val="20"/>
          <w:color w:val="auto"/>
        </w:rPr>
      </w:pPr>
    </w:p>
    <w:p>
      <w:pPr>
        <w:sectPr>
          <w:pgSz w:w="11900" w:h="16838" w:orient="portrait"/>
          <w:cols w:equalWidth="0" w:num="2">
            <w:col w:w="6960" w:space="720"/>
            <w:col w:w="3640"/>
          </w:cols>
          <w:pgMar w:left="240" w:top="274" w:right="339" w:bottom="1440" w:gutter="0" w:footer="0" w:header="0"/>
        </w:sectPr>
      </w:pPr>
    </w:p>
    <w:p>
      <w:pPr>
        <w:spacing w:after="0" w:line="12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On behalf of the Company, we are concurrently filing via EDGAR Amendment No. 5 to the Registration Statement (the “Amendment”), and for the convenience of the Staff, we are providing to the Staff by messenger delivery copies of this letter and marked copies of the Amendment (against the Amendment No. 3 to the Registration Statement filed on January 28, 2011). The Amendment as filed via EDGAR is marked as specified in Item 310 of Regulation S-T.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letter, we have summarized the comments from the Staff in italicized, bold type and have followed each comment with the Company’s response.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specifically indicated, page references herein correspond to the page of the Prospectus included in the Amendment.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Prospectus Summary, page 1</w:t>
      </w:r>
    </w:p>
    <w:p>
      <w:pPr>
        <w:spacing w:after="0" w:line="212" w:lineRule="exact"/>
        <w:rPr>
          <w:sz w:val="20"/>
          <w:szCs w:val="20"/>
          <w:color w:val="auto"/>
        </w:rPr>
      </w:pPr>
    </w:p>
    <w:p>
      <w:pPr>
        <w:jc w:val="both"/>
        <w:ind w:left="460" w:right="60" w:hanging="452"/>
        <w:spacing w:after="0" w:line="306" w:lineRule="auto"/>
        <w:tabs>
          <w:tab w:leader="none" w:pos="460" w:val="left"/>
        </w:tabs>
        <w:numPr>
          <w:ilvl w:val="0"/>
          <w:numId w:val="17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oral comment 3 in your correspondence dated January 31, 2011. Please revise your summary section to include a separately captioned discussion of benefits to affiliates in which you disclose the value to insiders of options granted to them, based upon the difference between the exercise price and the mid-point of the price range presently proposed for your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added the requested disclosure on page 6 of the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Capitalization, page 34</w:t>
      </w:r>
    </w:p>
    <w:p>
      <w:pPr>
        <w:spacing w:after="0" w:line="212" w:lineRule="exact"/>
        <w:rPr>
          <w:sz w:val="20"/>
          <w:szCs w:val="20"/>
          <w:color w:val="auto"/>
        </w:rPr>
      </w:pPr>
    </w:p>
    <w:p>
      <w:pPr>
        <w:ind w:left="460" w:right="360" w:hanging="452"/>
        <w:spacing w:after="0" w:line="268" w:lineRule="auto"/>
        <w:tabs>
          <w:tab w:leader="none" w:pos="460" w:val="left"/>
        </w:tabs>
        <w:numPr>
          <w:ilvl w:val="0"/>
          <w:numId w:val="1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tell us the difference between the pro forma amounts in the Capitalization table on page 34 and the pro forma amounts in the consolidated balance sheets on page F-41.</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advises the Staff that the pro forma amounts in the consolidated balance sheets on page F-41 and related disclosures and the pro forma amounts in the Capitalization table on page 35 of the Amendment have been revised to be consistent.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page 41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-Based Compensation, page 43</w:t>
      </w:r>
    </w:p>
    <w:p>
      <w:pPr>
        <w:spacing w:after="0" w:line="212" w:lineRule="exact"/>
        <w:rPr>
          <w:sz w:val="20"/>
          <w:szCs w:val="20"/>
          <w:color w:val="auto"/>
        </w:rPr>
      </w:pPr>
    </w:p>
    <w:p>
      <w:pPr>
        <w:ind w:left="460" w:right="40" w:hanging="452"/>
        <w:spacing w:after="0" w:line="294" w:lineRule="auto"/>
        <w:tabs>
          <w:tab w:leader="none" w:pos="460" w:val="left"/>
        </w:tabs>
        <w:numPr>
          <w:ilvl w:val="0"/>
          <w:numId w:val="17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oral comment 1 in your correspondence dated January 31, 2011. Please revise here, or elsewhere as applicable, to provide a summary of the significant factors relating to the methodology used to determine the fair value of the options granted in January 2011, including how you considered the possible sale of the company, prospects for an Initial Public Offering and valuation range provided by underwriters. Please also discuss the assumptions used for the weighting of alternative outcomes, as indicated in your response, and how this weighting impacted the fair value estimate of your common stock used to value the stock options granted in January 2011.</w:t>
      </w:r>
    </w:p>
    <w:p>
      <w:pPr>
        <w:spacing w:after="0" w:line="115"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The Company has added the requested disclosure on pages 47 and 48 of the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Certain Relationships and Related Party Transactions, page 119</w:t>
      </w:r>
    </w:p>
    <w:p>
      <w:pPr>
        <w:spacing w:after="0" w:line="212" w:lineRule="exact"/>
        <w:rPr>
          <w:sz w:val="20"/>
          <w:szCs w:val="20"/>
          <w:color w:val="auto"/>
        </w:rPr>
      </w:pPr>
    </w:p>
    <w:p>
      <w:pPr>
        <w:jc w:val="both"/>
        <w:ind w:left="460" w:right="60" w:hanging="452"/>
        <w:spacing w:after="0" w:line="306" w:lineRule="auto"/>
        <w:tabs>
          <w:tab w:leader="none" w:pos="460" w:val="left"/>
        </w:tabs>
        <w:numPr>
          <w:ilvl w:val="0"/>
          <w:numId w:val="17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oral comment 2 in your correspondence dated January 31, 2011. Your response does not address the financial consideration given to affiliates for the waiver of the minimum price requirement. In this regard, we refer to your response to prior comment 11 in your January 28, 2011 response letter, which states that you agreed to reduce the conversion of the Series E preferred</w:t>
      </w:r>
    </w:p>
    <w:p>
      <w:pPr>
        <w:sectPr>
          <w:pgSz w:w="11900" w:h="16838" w:orient="portrait"/>
          <w:cols w:equalWidth="0" w:num="1">
            <w:col w:w="11320"/>
          </w:cols>
          <w:pgMar w:left="240" w:top="274" w:right="339" w:bottom="1440" w:gutter="0" w:footer="0" w:header="0"/>
          <w:type w:val="continuous"/>
        </w:sectPr>
      </w:pPr>
    </w:p>
    <w:bookmarkStart w:id="261" w:name="page262"/>
    <w:bookmarkEnd w:id="26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-201295</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48" w:lineRule="exact"/>
        <w:rPr>
          <w:sz w:val="20"/>
          <w:szCs w:val="20"/>
          <w:color w:val="auto"/>
        </w:rPr>
      </w:pPr>
    </w:p>
    <w:p>
      <w:pPr>
        <w:sectPr>
          <w:pgSz w:w="11900" w:h="16838" w:orient="portrait"/>
          <w:cols w:equalWidth="0" w:num="2">
            <w:col w:w="6960" w:space="720"/>
            <w:col w:w="3740"/>
          </w:cols>
          <w:pgMar w:left="240" w:top="274" w:right="239" w:bottom="1440" w:gutter="0" w:footer="0" w:header="0"/>
        </w:sectPr>
      </w:pPr>
    </w:p>
    <w:p>
      <w:pPr>
        <w:ind w:left="460"/>
        <w:spacing w:after="0" w:line="306" w:lineRule="auto"/>
        <w:rPr>
          <w:sz w:val="20"/>
          <w:szCs w:val="20"/>
          <w:color w:val="auto"/>
        </w:rPr>
      </w:pPr>
      <w:r>
        <w:rPr>
          <w:rFonts w:ascii="Arial" w:cs="Arial" w:eastAsia="Arial" w:hAnsi="Arial"/>
          <w:sz w:val="16"/>
          <w:szCs w:val="16"/>
          <w:b w:val="1"/>
          <w:bCs w:val="1"/>
          <w:i w:val="1"/>
          <w:iCs w:val="1"/>
          <w:color w:val="auto"/>
        </w:rPr>
        <w:t>stock as an incentive for the Series E preferred stockholders to consent to remove the auto-conversion threshold. On this basis, it appears that your related parties had a direct material interest in this transaction. Please refer to Regulation S-K, item 404(a). Please revise to disclose the materials terms of this transaction, including the value to each related party of the reduced conversions price.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added the requested disclosure on page 126 of the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Life Science Research, page 64</w:t>
      </w:r>
    </w:p>
    <w:p>
      <w:pPr>
        <w:spacing w:after="0" w:line="212" w:lineRule="exact"/>
        <w:rPr>
          <w:sz w:val="20"/>
          <w:szCs w:val="20"/>
          <w:color w:val="auto"/>
        </w:rPr>
      </w:pPr>
    </w:p>
    <w:p>
      <w:pPr>
        <w:ind w:left="460" w:right="360" w:hanging="452"/>
        <w:spacing w:after="0" w:line="268" w:lineRule="auto"/>
        <w:tabs>
          <w:tab w:leader="none" w:pos="460" w:val="left"/>
        </w:tabs>
        <w:numPr>
          <w:ilvl w:val="0"/>
          <w:numId w:val="1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revised disclosure on page 65. Please revise to identify the author of the referenced industry report. In light of the additional industry data, we also reissue prior comment 10 to our December 30, 2010 letter.</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has revised page 67 of the Amendment to disclose that Gleacher &amp; Company Securities, Inc. (“Gleacher”) is the author of the referenced industry report. The Company supplementally advises the Staff that the referenced Gleacher report is publicly available on a subscription basis. Gleacher did not receive any compensation from the Company for preparation of the data cited in the Amendment. The Company did not commission the report, and it was not prepared specifically for use in the Amendment. Furthermore, the Company is not affiliated with Gleacher. Finally, the Company has received consent from Gleacher for the reference to its report in the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Report of Independent Registered Public Accounting Firm, page F-2</w:t>
      </w:r>
    </w:p>
    <w:p>
      <w:pPr>
        <w:spacing w:after="0" w:line="212" w:lineRule="exact"/>
        <w:rPr>
          <w:sz w:val="20"/>
          <w:szCs w:val="20"/>
          <w:color w:val="auto"/>
        </w:rPr>
      </w:pPr>
    </w:p>
    <w:p>
      <w:pPr>
        <w:ind w:left="460" w:right="480" w:hanging="452"/>
        <w:spacing w:after="0" w:line="268" w:lineRule="auto"/>
        <w:tabs>
          <w:tab w:leader="none" w:pos="460" w:val="left"/>
        </w:tabs>
        <w:numPr>
          <w:ilvl w:val="0"/>
          <w:numId w:val="1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Prior to effectiveness of the registration statement please have your independent accountants revise their audit report on page F-2 and consent in Exhibit 23.1 to remove the draft language.</w:t>
      </w:r>
    </w:p>
    <w:p>
      <w:pPr>
        <w:spacing w:after="0" w:line="131"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audit report and consent have been revised as requested by the Staff and are included on page F-2 and as Exhibit 23.1 to the Amendment.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Statements</w:t>
      </w:r>
    </w:p>
    <w:p>
      <w:pPr>
        <w:spacing w:after="0" w:line="212" w:lineRule="exact"/>
        <w:rPr>
          <w:sz w:val="20"/>
          <w:szCs w:val="20"/>
          <w:color w:val="auto"/>
        </w:rPr>
      </w:pPr>
    </w:p>
    <w:p>
      <w:pPr>
        <w:ind w:left="460" w:right="4920" w:hanging="452"/>
        <w:spacing w:after="0" w:line="493" w:lineRule="auto"/>
        <w:tabs>
          <w:tab w:leader="none" w:pos="449" w:val="left"/>
        </w:tabs>
        <w:numPr>
          <w:ilvl w:val="0"/>
          <w:numId w:val="18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Please update your financial statements if required by Rule 3-12 of Regulation S-X. </w:t>
      </w:r>
      <w:r>
        <w:rPr>
          <w:rFonts w:ascii="Arial" w:cs="Arial" w:eastAsia="Arial" w:hAnsi="Arial"/>
          <w:sz w:val="16"/>
          <w:szCs w:val="16"/>
          <w:color w:val="auto"/>
        </w:rPr>
        <w:t>The Company understands and acknowledges the Staff’s comment.</w:t>
      </w:r>
    </w:p>
    <w:p>
      <w:pPr>
        <w:spacing w:after="0"/>
        <w:rPr>
          <w:sz w:val="20"/>
          <w:szCs w:val="20"/>
          <w:color w:val="auto"/>
        </w:rPr>
      </w:pPr>
      <w:r>
        <w:rPr>
          <w:rFonts w:ascii="Arial" w:cs="Arial" w:eastAsia="Arial" w:hAnsi="Arial"/>
          <w:sz w:val="18"/>
          <w:szCs w:val="18"/>
          <w:b w:val="1"/>
          <w:bCs w:val="1"/>
          <w:i w:val="1"/>
          <w:iCs w:val="1"/>
          <w:u w:val="single" w:color="auto"/>
          <w:color w:val="auto"/>
        </w:rPr>
        <w:t>Note 1, Reverse Stock Split, page F-10</w:t>
      </w:r>
    </w:p>
    <w:p>
      <w:pPr>
        <w:spacing w:after="0" w:line="212" w:lineRule="exact"/>
        <w:rPr>
          <w:sz w:val="20"/>
          <w:szCs w:val="20"/>
          <w:color w:val="auto"/>
        </w:rPr>
      </w:pPr>
    </w:p>
    <w:p>
      <w:pPr>
        <w:ind w:left="460" w:right="120" w:hanging="452"/>
        <w:spacing w:after="0" w:line="413" w:lineRule="auto"/>
        <w:tabs>
          <w:tab w:leader="none" w:pos="460" w:val="left"/>
        </w:tabs>
        <w:numPr>
          <w:ilvl w:val="0"/>
          <w:numId w:val="18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We note your disclosure in Note 1 that the reverse stock split is subject to stockholder approval and will be effected prior to effectiveness of the registration statement. Please tell us when you expect to receive stockholder approval and revise to update the disclosure after the approval is received.</w:t>
      </w:r>
    </w:p>
    <w:p>
      <w:pPr>
        <w:spacing w:after="0" w:line="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supplementally advises the Staff that stockholder approval was received on January 28, 2011 and the Company’s Seventh Amended and Restated Certificate of Incorporation giving effect to the reverse stock split was filed and became effective on February 3, 2011. The Company has updated the disclosures in the Amendment to this effect.</w:t>
      </w:r>
    </w:p>
    <w:p>
      <w:pPr>
        <w:sectPr>
          <w:pgSz w:w="11900" w:h="16838" w:orient="portrait"/>
          <w:cols w:equalWidth="0" w:num="1">
            <w:col w:w="11420"/>
          </w:cols>
          <w:pgMar w:left="240" w:top="274" w:right="239" w:bottom="1440" w:gutter="0" w:footer="0" w:header="0"/>
          <w:type w:val="continuous"/>
        </w:sectPr>
      </w:pPr>
    </w:p>
    <w:bookmarkStart w:id="262" w:name="page263"/>
    <w:bookmarkEnd w:id="26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-201295</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83" w:lineRule="exact"/>
        <w:rPr>
          <w:sz w:val="20"/>
          <w:szCs w:val="20"/>
          <w:color w:val="auto"/>
        </w:rPr>
      </w:pPr>
    </w:p>
    <w:p>
      <w:pPr>
        <w:sectPr>
          <w:pgSz w:w="11900" w:h="16838" w:orient="portrait"/>
          <w:cols w:equalWidth="0" w:num="2">
            <w:col w:w="6960" w:space="720"/>
            <w:col w:w="3740"/>
          </w:cols>
          <w:pgMar w:left="240" w:top="274"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Oral Comment received by teleconference from the Staff on February 3, 2011, Executive Compensation.</w:t>
      </w:r>
    </w:p>
    <w:p>
      <w:pPr>
        <w:spacing w:after="0" w:line="212" w:lineRule="exact"/>
        <w:rPr>
          <w:sz w:val="20"/>
          <w:szCs w:val="20"/>
          <w:color w:val="auto"/>
        </w:rPr>
      </w:pPr>
    </w:p>
    <w:p>
      <w:pPr>
        <w:ind w:left="460" w:right="20" w:hanging="452"/>
        <w:spacing w:after="0" w:line="291" w:lineRule="auto"/>
        <w:tabs>
          <w:tab w:leader="none" w:pos="460" w:val="left"/>
        </w:tabs>
        <w:numPr>
          <w:ilvl w:val="0"/>
          <w:numId w:val="18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see CDI 217-11 which sets forth the Staff’s position with respect to compensation information for a fiscal year when a registrant is past that fiscal year and the financial statements for that fiscal year are not included in the Registration Statement. Specifically, the Division Staff’s position is that compensation must be included for such year because registrants should have those numbers available. However, if bonus or other amounts for the prior year have not yet been determined, this should be noted in a footnote together with disclosure regarding the date the bonus will be determined, any formula or criteria that will be used and any other pertinent information. Specifically provide information on the goals or criteria to be used in the determination of 2010 bonuses.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response to the Staff’s comment, the Company has added footnotes to the Compensation Tables on pages 107 and 108 of the Amendment to disclose that the bonus amounts for 2010 have not yet been determined and the expected timeframe for determination. The Company has also added disclosure to page 100 of the Amendment regarding the factors or criteria that will be used in the determination of such bonus amounts.</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response to the Staff’s oral comments, the Company has disclosed in the portions of Compensation Disclosure &amp; Analysis addressing the Company’s 2010 bonus plan the following performance objectives: (i) ending 2010 with $5 million of available cash; (ii) releasing the FC1 thermal cycler in the second quarter, releasing the FR48.48 Dynamic Array chip in the second quarter, entering into a non-invasive pre-natal diagnostic collaboration by the second quarter, releasing a BioMark system with a high throughput thermal cycle in the third quarter, and having a peer-reviewed article published in a specific field by the third quarter; (iii) increasing our identified sales opportunities to specified levels for each of our three actively marketed microfluidic systems; and (iv) achieving a ratio of 64% for cost of product sales divided by total revenue for 2010 and profitability for the fourth quarter.</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goal of having a peer-reviewed article published, the Company has not disclosed the specific field in which the peer reviewed article was to be published because it believes disclosure of that information would be competitively harmful. Publication of peer reviewed articles is an important step in life science development programs because it indicates that the underlying research is sufficiently advanced and significant to be worthy of publication in a scientific journal. In this specific instance, the corporate goal related to the publication of an article on the use of the Company’s products in the area of [***]. The specified article has not yet been published. Elsewhere in the prospectus, the Company has disclosed that it is developing a [***]. For purposes of understanding and evaluating the Company’s compensation policy, disclosure of the exact topic does not provide investors with meaningful or helpful information.</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Similarly, with respect to the goal of increasing identified sales opportunities to specified levels, the Company has not disclosed the specific quantitative objectives for such increases with respect to each of its microfluidic systems, as it believes disclosure of that information would be competitively harmful. Sales opportunities are an internal metric used by the Company to project future sales and measure the effectiveness of its sales force. Sales opportunities are not required to be disclosed in financial statements or in any other section of registration statements or periodic filings, and the Company has never intended to publicly disclose this information. Disclosure of sales opportunities would be competitively harmful because it would provide competitors insight into the Company’s marketing and sales objectives, growth prospects, market penetration, sales force effectiveness, and other critical areas. Competitors could use this information to adjust their sales and marketing strategies by, for example, increasing investments in directly competitive products, changing their own internal incentives, or modifying their prices. However, for investors seeking to evaluate the Company’s compensation policies, disclosure of the precise sale opportunities for particular products is not helpful because evaluation of such highly detailed information requires an in-depth knowledge of the Company and its competitive environment. Instead, to assist investors, the Company has – in accordance with the instructions to Rule 402 – disclosed that the compensation committee has determined that achievement of the corporate goals would require a high level of executive achievement. The Company respectfully submits that more detailed disclosure would cause substantial competitive harm without providing investors with meaningful information.</w:t>
      </w:r>
    </w:p>
    <w:p>
      <w:pPr>
        <w:sectPr>
          <w:pgSz w:w="11900" w:h="16838" w:orient="portrait"/>
          <w:cols w:equalWidth="0" w:num="1">
            <w:col w:w="11420"/>
          </w:cols>
          <w:pgMar w:left="240" w:top="274" w:right="239" w:bottom="1440" w:gutter="0" w:footer="0" w:header="0"/>
          <w:type w:val="continuous"/>
        </w:sectPr>
      </w:pPr>
    </w:p>
    <w:bookmarkStart w:id="263" w:name="page264"/>
    <w:bookmarkEnd w:id="263"/>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-201295</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48" w:lineRule="exact"/>
        <w:rPr>
          <w:sz w:val="20"/>
          <w:szCs w:val="20"/>
          <w:color w:val="auto"/>
        </w:rPr>
      </w:pPr>
    </w:p>
    <w:p>
      <w:pPr>
        <w:sectPr>
          <w:pgSz w:w="11900" w:h="16838" w:orient="portrait"/>
          <w:cols w:equalWidth="0" w:num="2">
            <w:col w:w="6960" w:space="720"/>
            <w:col w:w="3680"/>
          </w:cols>
          <w:pgMar w:left="240" w:top="274" w:right="299" w:bottom="1440" w:gutter="0" w:footer="0" w:header="0"/>
        </w:sectPr>
      </w:pPr>
    </w:p>
    <w:p>
      <w:pPr>
        <w:spacing w:after="0"/>
        <w:rPr>
          <w:sz w:val="20"/>
          <w:szCs w:val="20"/>
          <w:color w:val="auto"/>
        </w:rPr>
      </w:pPr>
      <w:r>
        <w:rPr>
          <w:rFonts w:ascii="Arial" w:cs="Arial" w:eastAsia="Arial" w:hAnsi="Arial"/>
          <w:sz w:val="18"/>
          <w:szCs w:val="18"/>
          <w:b w:val="1"/>
          <w:bCs w:val="1"/>
          <w:i w:val="1"/>
          <w:iCs w:val="1"/>
          <w:u w:val="single" w:color="auto"/>
          <w:color w:val="auto"/>
        </w:rPr>
        <w:t>Oral Comments received by teleconference from the Staff on February 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2011 Option Grants, page 102</w:t>
      </w:r>
    </w:p>
    <w:p>
      <w:pPr>
        <w:spacing w:after="0" w:line="212" w:lineRule="exact"/>
        <w:rPr>
          <w:sz w:val="20"/>
          <w:szCs w:val="20"/>
          <w:color w:val="auto"/>
        </w:rPr>
      </w:pPr>
    </w:p>
    <w:p>
      <w:pPr>
        <w:ind w:left="460" w:right="420" w:hanging="452"/>
        <w:spacing w:after="0" w:line="306" w:lineRule="auto"/>
        <w:tabs>
          <w:tab w:leader="none" w:pos="460" w:val="left"/>
        </w:tabs>
        <w:numPr>
          <w:ilvl w:val="0"/>
          <w:numId w:val="1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Expand your discussion of the options granted in January 2011 on page 102 to provide more detail on the grants, including the number of shares granted, how such share numbers were determined, the vesting terms of such grants and how such vesting will ultimately be determined. Your disclosure should be clear as to what aspects of the grants are fixed and what aspects are tied to performance.</w:t>
      </w:r>
    </w:p>
    <w:p>
      <w:pPr>
        <w:spacing w:after="0" w:line="106"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The Company has added the requested disclosure on page 104 of the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Grant of Plan Based Awards Table, page 106</w:t>
      </w:r>
    </w:p>
    <w:p>
      <w:pPr>
        <w:spacing w:after="0" w:line="212" w:lineRule="exact"/>
        <w:rPr>
          <w:sz w:val="20"/>
          <w:szCs w:val="20"/>
          <w:color w:val="auto"/>
        </w:rPr>
      </w:pPr>
    </w:p>
    <w:p>
      <w:pPr>
        <w:ind w:left="460" w:right="100" w:hanging="452"/>
        <w:spacing w:after="0" w:line="268" w:lineRule="auto"/>
        <w:tabs>
          <w:tab w:leader="none" w:pos="460" w:val="left"/>
        </w:tabs>
        <w:numPr>
          <w:ilvl w:val="0"/>
          <w:numId w:val="1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Add a footnote to this table to explain the amounts disclosed under Estimated Payouts Under Non-Equity Incentive Plan Awards Target ($), including the basis for the disclosed grant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added the requested footnote on page 108 of the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2009 Option Grants</w:t>
      </w:r>
    </w:p>
    <w:p>
      <w:pPr>
        <w:spacing w:after="0" w:line="212" w:lineRule="exact"/>
        <w:rPr>
          <w:sz w:val="20"/>
          <w:szCs w:val="20"/>
          <w:color w:val="auto"/>
        </w:rPr>
      </w:pPr>
    </w:p>
    <w:p>
      <w:pPr>
        <w:ind w:left="460" w:hanging="452"/>
        <w:spacing w:after="0" w:line="412" w:lineRule="auto"/>
        <w:tabs>
          <w:tab w:leader="none" w:pos="460" w:val="left"/>
        </w:tabs>
        <w:numPr>
          <w:ilvl w:val="0"/>
          <w:numId w:val="18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For options granted in 2009 to named executive officers and based on 2009 performance, add disclosure regarding when these grants were approved, terms of the grant subject to performance, including vesting, and a discussion of when the Board determined such performance and associated vesting. </w:t>
      </w:r>
      <w:r>
        <w:rPr>
          <w:rFonts w:ascii="Arial" w:cs="Arial" w:eastAsia="Arial" w:hAnsi="Arial"/>
          <w:sz w:val="16"/>
          <w:szCs w:val="16"/>
          <w:color w:val="auto"/>
        </w:rPr>
        <w:t>The Company has added the requested disclosure on pages 103 and 104 of the Amendment.</w:t>
      </w:r>
    </w:p>
    <w:p>
      <w:pPr>
        <w:spacing w:after="0" w:line="24" w:lineRule="exact"/>
        <w:rPr>
          <w:rFonts w:ascii="Arial" w:cs="Arial" w:eastAsia="Arial" w:hAnsi="Arial"/>
          <w:sz w:val="16"/>
          <w:szCs w:val="16"/>
          <w:b w:val="1"/>
          <w:bCs w:val="1"/>
          <w:i w:val="1"/>
          <w:iCs w:val="1"/>
          <w:color w:val="auto"/>
        </w:rPr>
      </w:pPr>
    </w:p>
    <w:p>
      <w:pPr>
        <w:ind w:left="540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 * * * *</w:t>
      </w:r>
    </w:p>
    <w:p>
      <w:pPr>
        <w:sectPr>
          <w:pgSz w:w="11900" w:h="16838" w:orient="portrait"/>
          <w:cols w:equalWidth="0" w:num="1">
            <w:col w:w="11360"/>
          </w:cols>
          <w:pgMar w:left="240" w:top="274" w:right="299" w:bottom="1440" w:gutter="0" w:footer="0" w:header="0"/>
          <w:type w:val="continuous"/>
        </w:sectPr>
      </w:pPr>
    </w:p>
    <w:bookmarkStart w:id="264" w:name="page265"/>
    <w:bookmarkEnd w:id="264"/>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-201295</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83" w:lineRule="exact"/>
        <w:rPr>
          <w:sz w:val="20"/>
          <w:szCs w:val="20"/>
          <w:color w:val="auto"/>
        </w:rPr>
      </w:pPr>
    </w:p>
    <w:p>
      <w:pPr>
        <w:sectPr>
          <w:pgSz w:w="11900" w:h="16838" w:orient="portrait"/>
          <w:cols w:equalWidth="0" w:num="2">
            <w:col w:w="6960" w:space="720"/>
            <w:col w:w="3640"/>
          </w:cols>
          <w:pgMar w:left="240" w:top="274" w:right="339" w:bottom="1440" w:gutter="0" w:footer="0" w:header="0"/>
        </w:sectPr>
      </w:pP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acknowledges your reference to Rules 460 and 461 relating to requests for acceleration of a registration statement. The Company intends to provide for adequate time after the filing of any amendments for further review before submitting a request for acceleration, if 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Rule 472, the Amendment is filed herewith in response to the Staff’s Comments.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Please acknowledge receipt of this letter and the enclosed materials by stamping the enclosed duplicate of this letter and returning it to the undersigned in the envelope provided.</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Please direct your questions or comments to me (650/320-4557), David Segre (650/320-4554) or Robert Kornegay (650/320-4533). In addition, we respectfully request that you provide a facsimile of any additional comments you may have to my attention as well as that of Messrs. Segre and Kornegay at (650/493-6811). Thank you for your assistance.</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Professional Corporation</w:t>
      </w:r>
    </w:p>
    <w:p>
      <w:pPr>
        <w:spacing w:after="0" w:line="3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Asaf Kharal, Esq.</w:t>
      </w:r>
    </w:p>
    <w:p>
      <w:pPr>
        <w:spacing w:after="0" w:line="212" w:lineRule="exact"/>
        <w:rPr>
          <w:sz w:val="20"/>
          <w:szCs w:val="20"/>
          <w:color w:val="auto"/>
        </w:rPr>
      </w:pPr>
    </w:p>
    <w:p>
      <w:pPr>
        <w:ind w:left="460" w:right="9340" w:hanging="452"/>
        <w:spacing w:after="0" w:line="284" w:lineRule="auto"/>
        <w:tabs>
          <w:tab w:leader="none" w:pos="4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Gajus V. Worthington Vikram Jog William M. Smith</w:t>
      </w:r>
    </w:p>
    <w:p>
      <w:pPr>
        <w:spacing w:after="0" w:line="1"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Fluidigm Corporation</w:t>
      </w:r>
    </w:p>
    <w:sectPr>
      <w:pgSz w:w="11900" w:h="16838" w:orient="portrait"/>
      <w:cols w:equalWidth="0" w:num="1">
        <w:col w:w="11320"/>
      </w:cols>
      <w:pgMar w:left="240" w:top="2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1)"/>
      <w:numFmt w:val="decimal"/>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1)"/>
      <w:numFmt w:val="decimal"/>
      <w:start w:val="1"/>
    </w:lvl>
  </w:abstractNum>
  <w:abstractNum w:abstractNumId="13">
    <w:nsid w:val="6A5F7029"/>
    <w:multiLevelType w:val="hybridMultilevel"/>
    <w:lvl w:ilvl="0">
      <w:lvlJc w:val="left"/>
      <w:lvlText w:val="(%1)"/>
      <w:numFmt w:val="decimal"/>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lvl w:ilvl="1">
      <w:lvlJc w:val="left"/>
      <w:lvlText w:val="•"/>
      <w:numFmt w:val="bullet"/>
      <w:start w:val="1"/>
    </w:lvl>
  </w:abstractNum>
  <w:abstractNum w:abstractNumId="27">
    <w:nsid w:val="1D545C4D"/>
    <w:multiLevelType w:val="hybridMultilevel"/>
    <w:lvl w:ilvl="0">
      <w:lvlJc w:val="left"/>
      <w:lvlText w:val="(%1)"/>
      <w:numFmt w:val="decimal"/>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1)"/>
      <w:numFmt w:val="decimal"/>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1)"/>
      <w:numFmt w:val="decimal"/>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1)"/>
      <w:numFmt w:val="decimal"/>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
      <w:numFmt w:val="bullet"/>
      <w:start w:val="1"/>
    </w:lvl>
  </w:abstractNum>
  <w:abstractNum w:abstractNumId="51">
    <w:nsid w:val="4C9B0904"/>
    <w:multiLevelType w:val="hybridMultilevel"/>
    <w:lvl w:ilvl="0">
      <w:lvlJc w:val="left"/>
      <w:lvlText w:val="(%1)"/>
      <w:numFmt w:val="decimal"/>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
      <w:numFmt w:val="bullet"/>
      <w:start w:val="1"/>
    </w:lvl>
  </w:abstractNum>
  <w:abstractNum w:abstractNumId="54">
    <w:nsid w:val="5675FF36"/>
    <w:multiLevelType w:val="hybridMultilevel"/>
    <w:lvl w:ilvl="0">
      <w:lvlJc w:val="left"/>
      <w:lvlText w:val="•"/>
      <w:numFmt w:val="bullet"/>
      <w:start w:val="1"/>
    </w:lvl>
  </w:abstractNum>
  <w:abstractNum w:abstractNumId="55">
    <w:nsid w:val="3DD15094"/>
    <w:multiLevelType w:val="hybridMultilevel"/>
    <w:lvl w:ilvl="0">
      <w:lvlJc w:val="left"/>
      <w:lvlText w:val="(%1)"/>
      <w:numFmt w:val="lowerRoman"/>
      <w:start w:val="2"/>
    </w:lvl>
  </w:abstractNum>
  <w:abstractNum w:abstractNumId="56">
    <w:nsid w:val="3DB012B3"/>
    <w:multiLevelType w:val="hybridMultilevel"/>
    <w:lvl w:ilvl="0">
      <w:lvlJc w:val="left"/>
      <w:lvlText w:val="(%1)"/>
      <w:numFmt w:val="lowerRoman"/>
      <w:start w:val="1"/>
    </w:lvl>
  </w:abstractNum>
  <w:abstractNum w:abstractNumId="57">
    <w:nsid w:val="2708C9AF"/>
    <w:multiLevelType w:val="hybridMultilevel"/>
    <w:lvl w:ilvl="0">
      <w:lvlJc w:val="left"/>
      <w:lvlText w:val="•"/>
      <w:numFmt w:val="bullet"/>
      <w:start w:val="1"/>
    </w:lvl>
  </w:abstractNum>
  <w:abstractNum w:abstractNumId="58">
    <w:nsid w:val="5B25ACE2"/>
    <w:multiLevelType w:val="hybridMultilevel"/>
    <w:lvl w:ilvl="0">
      <w:lvlJc w:val="left"/>
      <w:lvlText w:val="•"/>
      <w:numFmt w:val="bullet"/>
      <w:start w:val="1"/>
    </w:lvl>
  </w:abstractNum>
  <w:abstractNum w:abstractNumId="59">
    <w:nsid w:val="175DFCF0"/>
    <w:multiLevelType w:val="hybridMultilevel"/>
    <w:lvl w:ilvl="0">
      <w:lvlJc w:val="left"/>
      <w:lvlText w:val="(%1)"/>
      <w:numFmt w:val="decimal"/>
      <w:start w:val="1"/>
    </w:lvl>
  </w:abstractNum>
  <w:abstractNum w:abstractNumId="60">
    <w:nsid w:val="4F97E3E4"/>
    <w:multiLevelType w:val="hybridMultilevel"/>
    <w:lvl w:ilvl="0">
      <w:lvlJc w:val="left"/>
      <w:lvlText w:val="(%1)"/>
      <w:numFmt w:val="decimal"/>
      <w:start w:val="1"/>
    </w:lvl>
  </w:abstractNum>
  <w:abstractNum w:abstractNumId="61">
    <w:nsid w:val="53B0A9E"/>
    <w:multiLevelType w:val="hybridMultilevel"/>
    <w:lvl w:ilvl="0">
      <w:lvlJc w:val="left"/>
      <w:lvlText w:val="(%1)"/>
      <w:numFmt w:val="decimal"/>
      <w:start w:val="1"/>
    </w:lvl>
  </w:abstractNum>
  <w:abstractNum w:abstractNumId="62">
    <w:nsid w:val="34FD6B4F"/>
    <w:multiLevelType w:val="hybridMultilevel"/>
    <w:lvl w:ilvl="0">
      <w:lvlJc w:val="left"/>
      <w:lvlText w:val="(%1)"/>
      <w:numFmt w:val="decimal"/>
      <w:start w:val="4"/>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
      <w:numFmt w:val="bullet"/>
      <w:start w:val="1"/>
    </w:lvl>
  </w:abstractNum>
  <w:abstractNum w:abstractNumId="67">
    <w:nsid w:val="17A1B582"/>
    <w:multiLevelType w:val="hybridMultilevel"/>
    <w:lvl w:ilvl="0">
      <w:lvlJc w:val="left"/>
      <w:lvlText w:val="•"/>
      <w:numFmt w:val="bullet"/>
      <w:start w:val="1"/>
    </w:lvl>
  </w:abstractNum>
  <w:abstractNum w:abstractNumId="68">
    <w:nsid w:val="4DF72E4E"/>
    <w:multiLevelType w:val="hybridMultilevel"/>
    <w:lvl w:ilvl="0">
      <w:lvlJc w:val="left"/>
      <w:lvlText w:val="(%1)"/>
      <w:numFmt w:val="decimal"/>
      <w:start w:val="1"/>
    </w:lvl>
  </w:abstractNum>
  <w:abstractNum w:abstractNumId="69">
    <w:nsid w:val="5046B5A9"/>
    <w:multiLevelType w:val="hybridMultilevel"/>
    <w:lvl w:ilvl="0">
      <w:lvlJc w:val="left"/>
      <w:lvlText w:val="•"/>
      <w:numFmt w:val="bullet"/>
      <w:start w:val="1"/>
    </w:lvl>
  </w:abstractNum>
  <w:abstractNum w:abstractNumId="70">
    <w:nsid w:val="5D888A08"/>
    <w:multiLevelType w:val="hybridMultilevel"/>
    <w:lvl w:ilvl="0">
      <w:lvlJc w:val="left"/>
      <w:lvlText w:val="•"/>
      <w:numFmt w:val="bullet"/>
      <w:start w:val="1"/>
    </w:lvl>
  </w:abstractNum>
  <w:abstractNum w:abstractNumId="71">
    <w:nsid w:val="2A082C70"/>
    <w:multiLevelType w:val="hybridMultilevel"/>
    <w:lvl w:ilvl="0">
      <w:lvlJc w:val="left"/>
      <w:lvlText w:val="(%1)"/>
      <w:numFmt w:val="decimal"/>
      <w:start w:val="1"/>
    </w:lvl>
  </w:abstractNum>
  <w:abstractNum w:abstractNumId="72">
    <w:nsid w:val="5EC6AFD4"/>
    <w:multiLevelType w:val="hybridMultilevel"/>
    <w:lvl w:ilvl="0">
      <w:lvlJc w:val="left"/>
      <w:lvlText w:val="(%1)"/>
      <w:numFmt w:val="decimal"/>
      <w:start w:val="2"/>
    </w:lvl>
  </w:abstractNum>
  <w:abstractNum w:abstractNumId="73">
    <w:nsid w:val="19E21BB2"/>
    <w:multiLevelType w:val="hybridMultilevel"/>
    <w:lvl w:ilvl="0">
      <w:lvlJc w:val="left"/>
      <w:lvlText w:val="(%1)"/>
      <w:numFmt w:val="decimal"/>
      <w:start w:val="1"/>
    </w:lvl>
  </w:abstractNum>
  <w:abstractNum w:abstractNumId="74">
    <w:nsid w:val="75E0858A"/>
    <w:multiLevelType w:val="hybridMultilevel"/>
    <w:lvl w:ilvl="0">
      <w:lvlJc w:val="left"/>
      <w:lvlText w:val="(%1)"/>
      <w:numFmt w:val="decimal"/>
      <w:start w:val="1"/>
    </w:lvl>
  </w:abstractNum>
  <w:abstractNum w:abstractNumId="75">
    <w:nsid w:val="57A61A29"/>
    <w:multiLevelType w:val="hybridMultilevel"/>
    <w:lvl w:ilvl="0">
      <w:lvlJc w:val="left"/>
      <w:lvlText w:val="(%1)"/>
      <w:numFmt w:val="decimal"/>
      <w:start w:val="7"/>
    </w:lvl>
  </w:abstractNum>
  <w:abstractNum w:abstractNumId="76">
    <w:nsid w:val="5399C654"/>
    <w:multiLevelType w:val="hybridMultilevel"/>
    <w:lvl w:ilvl="0">
      <w:lvlJc w:val="left"/>
      <w:lvlText w:val="(%1)"/>
      <w:numFmt w:val="decimal"/>
      <w:start w:val="1"/>
    </w:lvl>
  </w:abstractNum>
  <w:abstractNum w:abstractNumId="77">
    <w:nsid w:val="20EE1348"/>
    <w:multiLevelType w:val="hybridMultilevel"/>
    <w:lvl w:ilvl="0">
      <w:lvlJc w:val="left"/>
      <w:lvlText w:val="•"/>
      <w:numFmt w:val="bullet"/>
      <w:start w:val="1"/>
    </w:lvl>
  </w:abstractNum>
  <w:abstractNum w:abstractNumId="78">
    <w:nsid w:val="4427069A"/>
    <w:multiLevelType w:val="hybridMultilevel"/>
    <w:lvl w:ilvl="0">
      <w:lvlJc w:val="left"/>
      <w:lvlText w:val="(*)"/>
      <w:numFmt w:val="bullet"/>
      <w:start w:val="1"/>
    </w:lvl>
  </w:abstractNum>
  <w:abstractNum w:abstractNumId="79">
    <w:nsid w:val="B37E80A"/>
    <w:multiLevelType w:val="hybridMultilevel"/>
    <w:lvl w:ilvl="0">
      <w:lvlJc w:val="left"/>
      <w:lvlText w:val="(%1)"/>
      <w:numFmt w:val="decimal"/>
      <w:start w:val="1"/>
    </w:lvl>
  </w:abstractNum>
  <w:abstractNum w:abstractNumId="80">
    <w:nsid w:val="2157F6BC"/>
    <w:multiLevelType w:val="hybridMultilevel"/>
    <w:lvl w:ilvl="0">
      <w:lvlJc w:val="left"/>
      <w:lvlText w:val="(%1)"/>
      <w:numFmt w:val="decimal"/>
      <w:start w:val="7"/>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
      <w:numFmt w:val="bullet"/>
      <w:start w:val="1"/>
    </w:lvl>
  </w:abstractNum>
  <w:abstractNum w:abstractNumId="83">
    <w:nsid w:val="BFFAE18"/>
    <w:multiLevelType w:val="hybridMultilevel"/>
    <w:lvl w:ilvl="0">
      <w:lvlJc w:val="left"/>
      <w:lvlText w:val="•"/>
      <w:numFmt w:val="bullet"/>
      <w:start w:val="1"/>
    </w:lvl>
  </w:abstractNum>
  <w:abstractNum w:abstractNumId="84">
    <w:nsid w:val="E3E47A8"/>
    <w:multiLevelType w:val="hybridMultilevel"/>
    <w:lvl w:ilvl="0">
      <w:lvlJc w:val="left"/>
      <w:lvlText w:val="•"/>
      <w:numFmt w:val="bullet"/>
      <w:start w:val="1"/>
    </w:lvl>
  </w:abstractNum>
  <w:abstractNum w:abstractNumId="85">
    <w:nsid w:val="2E48F044"/>
    <w:multiLevelType w:val="hybridMultilevel"/>
    <w:lvl w:ilvl="0">
      <w:lvlJc w:val="left"/>
      <w:lvlText w:val="•"/>
      <w:numFmt w:val="bullet"/>
      <w:start w:val="1"/>
    </w:lvl>
  </w:abstractNum>
  <w:abstractNum w:abstractNumId="86">
    <w:nsid w:val="49D0FEAC"/>
    <w:multiLevelType w:val="hybridMultilevel"/>
    <w:lvl w:ilvl="0">
      <w:lvlJc w:val="left"/>
      <w:lvlText w:val="•"/>
      <w:numFmt w:val="bullet"/>
      <w:start w:val="1"/>
    </w:lvl>
  </w:abstractNum>
  <w:abstractNum w:abstractNumId="87">
    <w:nsid w:val="4BEE5A5B"/>
    <w:multiLevelType w:val="hybridMultilevel"/>
    <w:lvl w:ilvl="0">
      <w:lvlJc w:val="left"/>
      <w:lvlText w:val="•"/>
      <w:numFmt w:val="bullet"/>
      <w:start w:val="1"/>
    </w:lvl>
  </w:abstractNum>
  <w:abstractNum w:abstractNumId="88">
    <w:nsid w:val="5551B9F3"/>
    <w:multiLevelType w:val="hybridMultilevel"/>
    <w:lvl w:ilvl="0">
      <w:lvlJc w:val="left"/>
      <w:lvlText w:val="•"/>
      <w:numFmt w:val="bullet"/>
      <w:start w:val="1"/>
    </w:lvl>
  </w:abstractNum>
  <w:abstractNum w:abstractNumId="89">
    <w:nsid w:val="24F6AB8E"/>
    <w:multiLevelType w:val="hybridMultilevel"/>
    <w:lvl w:ilvl="0">
      <w:lvlJc w:val="left"/>
      <w:lvlText w:val="•"/>
      <w:numFmt w:val="bullet"/>
      <w:start w:val="1"/>
    </w:lvl>
  </w:abstractNum>
  <w:abstractNum w:abstractNumId="90">
    <w:nsid w:val="634C574C"/>
    <w:multiLevelType w:val="hybridMultilevel"/>
    <w:lvl w:ilvl="0">
      <w:lvlJc w:val="left"/>
      <w:lvlText w:val="•"/>
      <w:numFmt w:val="bullet"/>
      <w:start w:val="1"/>
    </w:lvl>
  </w:abstractNum>
  <w:abstractNum w:abstractNumId="91">
    <w:nsid w:val="24E99DD7"/>
    <w:multiLevelType w:val="hybridMultilevel"/>
    <w:lvl w:ilvl="0">
      <w:lvlJc w:val="left"/>
      <w:lvlText w:val="•"/>
      <w:numFmt w:val="bullet"/>
      <w:start w:val="1"/>
    </w:lvl>
  </w:abstractNum>
  <w:abstractNum w:abstractNumId="92">
    <w:nsid w:val="2A31B62D"/>
    <w:multiLevelType w:val="hybridMultilevel"/>
    <w:lvl w:ilvl="0">
      <w:lvlJc w:val="left"/>
      <w:lvlText w:val="•"/>
      <w:numFmt w:val="bullet"/>
      <w:start w:val="1"/>
    </w:lvl>
  </w:abstractNum>
  <w:abstractNum w:abstractNumId="93">
    <w:nsid w:val="1849C29B"/>
    <w:multiLevelType w:val="hybridMultilevel"/>
    <w:lvl w:ilvl="0">
      <w:lvlJc w:val="left"/>
      <w:lvlText w:val="•"/>
      <w:numFmt w:val="bullet"/>
      <w:start w:val="1"/>
    </w:lvl>
  </w:abstractNum>
  <w:abstractNum w:abstractNumId="94">
    <w:nsid w:val="7DFF9D09"/>
    <w:multiLevelType w:val="hybridMultilevel"/>
    <w:lvl w:ilvl="0">
      <w:lvlJc w:val="left"/>
      <w:lvlText w:val="•"/>
      <w:numFmt w:val="bullet"/>
      <w:start w:val="1"/>
    </w:lvl>
  </w:abstractNum>
  <w:abstractNum w:abstractNumId="95">
    <w:nsid w:val="754342"/>
    <w:multiLevelType w:val="hybridMultilevel"/>
    <w:lvl w:ilvl="0">
      <w:lvlJc w:val="left"/>
      <w:lvlText w:val="•"/>
      <w:numFmt w:val="bullet"/>
      <w:start w:val="1"/>
    </w:lvl>
  </w:abstractNum>
  <w:abstractNum w:abstractNumId="96">
    <w:nsid w:val="69E7F3E5"/>
    <w:multiLevelType w:val="hybridMultilevel"/>
    <w:lvl w:ilvl="0">
      <w:lvlJc w:val="left"/>
      <w:lvlText w:val="(%1)"/>
      <w:numFmt w:val="lowerLetter"/>
      <w:start w:val="1"/>
    </w:lvl>
  </w:abstractNum>
  <w:abstractNum w:abstractNumId="97">
    <w:nsid w:val="2A6DE806"/>
    <w:multiLevelType w:val="hybridMultilevel"/>
    <w:lvl w:ilvl="0">
      <w:lvlJc w:val="left"/>
      <w:lvlText w:val="%1."/>
      <w:numFmt w:val="decimal"/>
      <w:start w:val="2"/>
    </w:lvl>
  </w:abstractNum>
  <w:abstractNum w:abstractNumId="98">
    <w:nsid w:val="1816F8C4"/>
    <w:multiLevelType w:val="hybridMultilevel"/>
    <w:lvl w:ilvl="0">
      <w:lvlJc w:val="left"/>
      <w:lvlText w:val="%1."/>
      <w:numFmt w:val="decimal"/>
      <w:start w:val="3"/>
    </w:lvl>
  </w:abstractNum>
  <w:abstractNum w:abstractNumId="99">
    <w:nsid w:val="37DF2233"/>
    <w:multiLevelType w:val="hybridMultilevel"/>
    <w:lvl w:ilvl="0">
      <w:lvlJc w:val="left"/>
      <w:lvlText w:val="%1."/>
      <w:numFmt w:val="decimal"/>
      <w:start w:val="4"/>
    </w:lvl>
  </w:abstractNum>
  <w:abstractNum w:abstractNumId="100">
    <w:nsid w:val="7AB49DAF"/>
    <w:multiLevelType w:val="hybridMultilevel"/>
    <w:lvl w:ilvl="0">
      <w:lvlJc w:val="left"/>
      <w:lvlText w:val="%1."/>
      <w:numFmt w:val="decimal"/>
      <w:start w:val="6"/>
    </w:lvl>
  </w:abstractNum>
  <w:abstractNum w:abstractNumId="101">
    <w:nsid w:val="759F82CD"/>
    <w:multiLevelType w:val="hybridMultilevel"/>
    <w:lvl w:ilvl="0">
      <w:lvlJc w:val="left"/>
      <w:lvlText w:val="%1."/>
      <w:numFmt w:val="decimal"/>
      <w:start w:val="7"/>
    </w:lvl>
  </w:abstractNum>
  <w:abstractNum w:abstractNumId="102">
    <w:nsid w:val="61E74EA3"/>
    <w:multiLevelType w:val="hybridMultilevel"/>
    <w:lvl w:ilvl="0">
      <w:lvlJc w:val="left"/>
      <w:lvlText w:val="%1."/>
      <w:numFmt w:val="decimal"/>
      <w:start w:val="8"/>
    </w:lvl>
  </w:abstractNum>
  <w:abstractNum w:abstractNumId="103">
    <w:nsid w:val="597B4D84"/>
    <w:multiLevelType w:val="hybridMultilevel"/>
    <w:lvl w:ilvl="0">
      <w:lvlJc w:val="left"/>
      <w:lvlText w:val="%1."/>
      <w:numFmt w:val="decimal"/>
      <w:start w:val="10"/>
    </w:lvl>
  </w:abstractNum>
  <w:abstractNum w:abstractNumId="104">
    <w:nsid w:val="F819E7F"/>
    <w:multiLevelType w:val="hybridMultilevel"/>
    <w:lvl w:ilvl="0">
      <w:lvlJc w:val="left"/>
      <w:lvlText w:val="(%1)"/>
      <w:numFmt w:val="decimal"/>
      <w:start w:val="1"/>
    </w:lvl>
  </w:abstractNum>
  <w:abstractNum w:abstractNumId="105">
    <w:nsid w:val="57C7D42D"/>
    <w:multiLevelType w:val="hybridMultilevel"/>
    <w:lvl w:ilvl="0">
      <w:lvlJc w:val="left"/>
      <w:lvlText w:val="(%1)"/>
      <w:numFmt w:val="decimal"/>
      <w:start w:val="2"/>
    </w:lvl>
  </w:abstractNum>
  <w:abstractNum w:abstractNumId="106">
    <w:nsid w:val="312167AD"/>
    <w:multiLevelType w:val="hybridMultilevel"/>
    <w:lvl w:ilvl="0">
      <w:lvlJc w:val="left"/>
      <w:lvlText w:val="(%1)"/>
      <w:numFmt w:val="decimal"/>
      <w:start w:val="3"/>
    </w:lvl>
  </w:abstractNum>
  <w:abstractNum w:abstractNumId="107">
    <w:nsid w:val="631B64D4"/>
    <w:multiLevelType w:val="hybridMultilevel"/>
    <w:lvl w:ilvl="0">
      <w:lvlJc w:val="left"/>
      <w:lvlText w:val="%1."/>
      <w:numFmt w:val="decimal"/>
      <w:start w:val="11"/>
    </w:lvl>
  </w:abstractNum>
  <w:abstractNum w:abstractNumId="108">
    <w:nsid w:val="78B5E776"/>
    <w:multiLevelType w:val="hybridMultilevel"/>
    <w:lvl w:ilvl="0">
      <w:lvlJc w:val="left"/>
      <w:lvlText w:val="%1."/>
      <w:numFmt w:val="decimal"/>
      <w:start w:val="15"/>
    </w:lvl>
  </w:abstractNum>
  <w:abstractNum w:abstractNumId="109">
    <w:nsid w:val="75486E47"/>
    <w:multiLevelType w:val="hybridMultilevel"/>
    <w:lvl w:ilvl="0">
      <w:lvlJc w:val="left"/>
      <w:lvlText w:val="%1."/>
      <w:numFmt w:val="decimal"/>
      <w:start w:val="1"/>
    </w:lvl>
  </w:abstractNum>
  <w:abstractNum w:abstractNumId="110">
    <w:nsid w:val="6E534CDE"/>
    <w:multiLevelType w:val="hybridMultilevel"/>
    <w:lvl w:ilvl="0">
      <w:lvlJc w:val="left"/>
      <w:lvlText w:val="%1."/>
      <w:numFmt w:val="decimal"/>
      <w:start w:val="2"/>
    </w:lvl>
  </w:abstractNum>
  <w:abstractNum w:abstractNumId="111">
    <w:nsid w:val="1A0DDE32"/>
    <w:multiLevelType w:val="hybridMultilevel"/>
    <w:lvl w:ilvl="0">
      <w:lvlJc w:val="left"/>
      <w:lvlText w:val="%1."/>
      <w:numFmt w:val="decimal"/>
      <w:start w:val="6"/>
    </w:lvl>
  </w:abstractNum>
  <w:abstractNum w:abstractNumId="112">
    <w:nsid w:val="65968C1C"/>
    <w:multiLevelType w:val="hybridMultilevel"/>
    <w:lvl w:ilvl="0">
      <w:lvlJc w:val="left"/>
      <w:lvlText w:val="%1."/>
      <w:numFmt w:val="decimal"/>
      <w:start w:val="11"/>
    </w:lvl>
  </w:abstractNum>
  <w:abstractNum w:abstractNumId="113">
    <w:nsid w:val="46263DEC"/>
    <w:multiLevelType w:val="hybridMultilevel"/>
    <w:lvl w:ilvl="0">
      <w:lvlJc w:val="left"/>
      <w:lvlText w:val="%1."/>
      <w:numFmt w:val="decimal"/>
      <w:start w:val="12"/>
    </w:lvl>
  </w:abstractNum>
  <w:abstractNum w:abstractNumId="114">
    <w:nsid w:val="260D8C4A"/>
    <w:multiLevelType w:val="hybridMultilevel"/>
    <w:lvl w:ilvl="0">
      <w:lvlJc w:val="left"/>
      <w:lvlText w:val="•"/>
      <w:numFmt w:val="bullet"/>
      <w:start w:val="1"/>
    </w:lvl>
  </w:abstractNum>
  <w:abstractNum w:abstractNumId="115">
    <w:nsid w:val="73D4D3C4"/>
    <w:multiLevelType w:val="hybridMultilevel"/>
    <w:lvl w:ilvl="0">
      <w:lvlJc w:val="left"/>
      <w:lvlText w:val="•"/>
      <w:numFmt w:val="bullet"/>
      <w:start w:val="1"/>
    </w:lvl>
  </w:abstractNum>
  <w:abstractNum w:abstractNumId="116">
    <w:nsid w:val="746F2E30"/>
    <w:multiLevelType w:val="hybridMultilevel"/>
    <w:lvl w:ilvl="0">
      <w:lvlJc w:val="left"/>
      <w:lvlText w:val="(%1)"/>
      <w:numFmt w:val="lowerLetter"/>
      <w:start w:val="1"/>
    </w:lvl>
  </w:abstractNum>
  <w:abstractNum w:abstractNumId="117">
    <w:nsid w:val="6FDE8AF6"/>
    <w:multiLevelType w:val="hybridMultilevel"/>
    <w:lvl w:ilvl="0">
      <w:lvlJc w:val="left"/>
      <w:lvlText w:val="(%1)"/>
      <w:numFmt w:val="lowerLetter"/>
      <w:start w:val="8"/>
    </w:lvl>
  </w:abstractNum>
  <w:abstractNum w:abstractNumId="118">
    <w:nsid w:val="3FC32E20"/>
    <w:multiLevelType w:val="hybridMultilevel"/>
    <w:lvl w:ilvl="0">
      <w:lvlJc w:val="left"/>
      <w:lvlText w:val="(%1)"/>
      <w:numFmt w:val="lowerLetter"/>
      <w:start w:val="20"/>
    </w:lvl>
  </w:abstractNum>
  <w:abstractNum w:abstractNumId="119">
    <w:nsid w:val="49C0E823"/>
    <w:multiLevelType w:val="hybridMultilevel"/>
    <w:lvl w:ilvl="0">
      <w:lvlJc w:val="left"/>
      <w:lvlText w:val="•"/>
      <w:numFmt w:val="bullet"/>
      <w:start w:val="1"/>
    </w:lvl>
  </w:abstractNum>
  <w:abstractNum w:abstractNumId="120">
    <w:nsid w:val="14D53685"/>
    <w:multiLevelType w:val="hybridMultilevel"/>
    <w:lvl w:ilvl="0">
      <w:lvlJc w:val="left"/>
      <w:lvlText w:val="(%1)"/>
      <w:numFmt w:val="decimal"/>
      <w:start w:val="1"/>
    </w:lvl>
  </w:abstractNum>
  <w:abstractNum w:abstractNumId="121">
    <w:nsid w:val="230F856C"/>
    <w:multiLevelType w:val="hybridMultilevel"/>
    <w:lvl w:ilvl="0">
      <w:lvlJc w:val="left"/>
      <w:lvlText w:val="(%1)"/>
      <w:numFmt w:val="lowerLetter"/>
      <w:start w:val="2"/>
    </w:lvl>
  </w:abstractNum>
  <w:abstractNum w:abstractNumId="122">
    <w:nsid w:val="6EAA85FB"/>
    <w:multiLevelType w:val="hybridMultilevel"/>
    <w:lvl w:ilvl="0">
      <w:lvlJc w:val="left"/>
      <w:lvlText w:val="(%1)"/>
      <w:numFmt w:val="decimal"/>
      <w:start w:val="1"/>
    </w:lvl>
  </w:abstractNum>
  <w:abstractNum w:abstractNumId="123">
    <w:nsid w:val="3F06ECB2"/>
    <w:multiLevelType w:val="hybridMultilevel"/>
    <w:lvl w:ilvl="0">
      <w:lvlJc w:val="left"/>
      <w:lvlText w:val="(%1)"/>
      <w:numFmt w:val="decimal"/>
      <w:start w:val="1"/>
    </w:lvl>
  </w:abstractNum>
  <w:abstractNum w:abstractNumId="124">
    <w:nsid w:val="3B594807"/>
    <w:multiLevelType w:val="hybridMultilevel"/>
    <w:lvl w:ilvl="0">
      <w:lvlJc w:val="left"/>
      <w:lvlText w:val="(%1)"/>
      <w:numFmt w:val="lowerLetter"/>
      <w:start w:val="2"/>
    </w:lvl>
  </w:abstractNum>
  <w:abstractNum w:abstractNumId="125">
    <w:nsid w:val="6CAA2304"/>
    <w:multiLevelType w:val="hybridMultilevel"/>
    <w:lvl w:ilvl="0">
      <w:lvlJc w:val="left"/>
      <w:lvlText w:val="%1."/>
      <w:numFmt w:val="decimal"/>
      <w:start w:val="1"/>
    </w:lvl>
  </w:abstractNum>
  <w:abstractNum w:abstractNumId="126">
    <w:nsid w:val="3F7C2FF4"/>
    <w:multiLevelType w:val="hybridMultilevel"/>
    <w:lvl w:ilvl="0">
      <w:lvlJc w:val="left"/>
      <w:lvlText w:val="(%1)"/>
      <w:numFmt w:val="lowerLetter"/>
      <w:start w:val="1"/>
    </w:lvl>
  </w:abstractNum>
  <w:abstractNum w:abstractNumId="127">
    <w:nsid w:val="25413BEC"/>
    <w:multiLevelType w:val="hybridMultilevel"/>
    <w:lvl w:ilvl="0">
      <w:lvlJc w:val="left"/>
      <w:lvlText w:val="(%1)"/>
      <w:numFmt w:val="lowerLetter"/>
      <w:start w:val="3"/>
    </w:lvl>
  </w:abstractNum>
  <w:abstractNum w:abstractNumId="128">
    <w:nsid w:val="17180B0B"/>
    <w:multiLevelType w:val="hybridMultilevel"/>
    <w:lvl w:ilvl="0">
      <w:lvlJc w:val="left"/>
      <w:lvlText w:val="(%1)"/>
      <w:numFmt w:val="lowerLetter"/>
      <w:start w:val="5"/>
    </w:lvl>
  </w:abstractNum>
  <w:abstractNum w:abstractNumId="129">
    <w:nsid w:val="579328B9"/>
    <w:multiLevelType w:val="hybridMultilevel"/>
    <w:lvl w:ilvl="0">
      <w:lvlJc w:val="left"/>
      <w:lvlText w:val="(%1)"/>
      <w:numFmt w:val="lowerLetter"/>
      <w:start w:val="9"/>
    </w:lvl>
  </w:abstractNum>
  <w:abstractNum w:abstractNumId="130">
    <w:nsid w:val="5D205E20"/>
    <w:multiLevelType w:val="hybridMultilevel"/>
    <w:lvl w:ilvl="0">
      <w:lvlJc w:val="left"/>
      <w:lvlText w:val="(%1)"/>
      <w:numFmt w:val="lowerLetter"/>
      <w:start w:val="14"/>
    </w:lvl>
  </w:abstractNum>
  <w:abstractNum w:abstractNumId="131">
    <w:nsid w:val="11CCA8BA"/>
    <w:multiLevelType w:val="hybridMultilevel"/>
    <w:lvl w:ilvl="0">
      <w:lvlJc w:val="left"/>
      <w:lvlText w:val="(%1)"/>
      <w:numFmt w:val="lowerLetter"/>
      <w:start w:val="18"/>
    </w:lvl>
  </w:abstractNum>
  <w:abstractNum w:abstractNumId="132">
    <w:nsid w:val="4D32AB86"/>
    <w:multiLevelType w:val="hybridMultilevel"/>
    <w:lvl w:ilvl="0">
      <w:lvlJc w:val="left"/>
      <w:lvlText w:val="%1"/>
      <w:numFmt w:val="lowerLetter"/>
      <w:start w:val="1"/>
    </w:lvl>
    <w:lvl w:ilvl="1">
      <w:lvlJc w:val="left"/>
      <w:lvlText w:val="(%2)"/>
      <w:numFmt w:val="lowerLetter"/>
      <w:start w:val="23"/>
    </w:lvl>
  </w:abstractNum>
  <w:abstractNum w:abstractNumId="133">
    <w:nsid w:val="3F07ACC3"/>
    <w:multiLevelType w:val="hybridMultilevel"/>
    <w:lvl w:ilvl="0">
      <w:lvlJc w:val="left"/>
      <w:lvlText w:val="(%1)"/>
      <w:numFmt w:val="lowerLetter"/>
      <w:start w:val="9"/>
    </w:lvl>
    <w:lvl w:ilvl="1">
      <w:lvlJc w:val="left"/>
      <w:lvlText w:val="%2"/>
      <w:numFmt w:val="lowerLetter"/>
      <w:start w:val="1"/>
    </w:lvl>
  </w:abstractNum>
  <w:abstractNum w:abstractNumId="134">
    <w:nsid w:val="6B47F63E"/>
    <w:multiLevelType w:val="hybridMultilevel"/>
    <w:lvl w:ilvl="0">
      <w:lvlJc w:val="left"/>
      <w:lvlText w:val="(%1)"/>
      <w:numFmt w:val="lowerLetter"/>
      <w:start w:val="26"/>
    </w:lvl>
  </w:abstractNum>
  <w:abstractNum w:abstractNumId="135">
    <w:nsid w:val="5CB44A05"/>
    <w:multiLevelType w:val="hybridMultilevel"/>
    <w:lvl w:ilvl="0">
      <w:lvlJc w:val="left"/>
      <w:lvlText w:val="(%1)"/>
      <w:numFmt w:val="lowerLetter"/>
      <w:start w:val="27"/>
    </w:lvl>
  </w:abstractNum>
  <w:abstractNum w:abstractNumId="136">
    <w:nsid w:val="16CF80F1"/>
    <w:multiLevelType w:val="hybridMultilevel"/>
    <w:lvl w:ilvl="0">
      <w:lvlJc w:val="left"/>
      <w:lvlText w:val="(%1)"/>
      <w:numFmt w:val="lowerLetter"/>
      <w:start w:val="32"/>
    </w:lvl>
  </w:abstractNum>
  <w:abstractNum w:abstractNumId="137">
    <w:nsid w:val="1C695DEC"/>
    <w:multiLevelType w:val="hybridMultilevel"/>
    <w:lvl w:ilvl="0">
      <w:lvlJc w:val="left"/>
      <w:lvlText w:val="(%1)"/>
      <w:numFmt w:val="lowerLetter"/>
      <w:start w:val="40"/>
    </w:lvl>
  </w:abstractNum>
  <w:abstractNum w:abstractNumId="138">
    <w:nsid w:val="3FCFAED9"/>
    <w:multiLevelType w:val="hybridMultilevel"/>
    <w:lvl w:ilvl="0">
      <w:lvlJc w:val="left"/>
      <w:lvlText w:val="(%1)"/>
      <w:numFmt w:val="lowerLetter"/>
      <w:start w:val="42"/>
    </w:lvl>
  </w:abstractNum>
  <w:abstractNum w:abstractNumId="139">
    <w:nsid w:val="F856867"/>
    <w:multiLevelType w:val="hybridMultilevel"/>
    <w:lvl w:ilvl="0">
      <w:lvlJc w:val="left"/>
      <w:lvlText w:val="%1"/>
      <w:numFmt w:val="decimal"/>
      <w:start w:val="1"/>
    </w:lvl>
    <w:lvl w:ilvl="1">
      <w:lvlJc w:val="left"/>
      <w:lvlText w:val="(%2)"/>
      <w:numFmt w:val="lowerLetter"/>
      <w:start w:val="45"/>
    </w:lvl>
  </w:abstractNum>
  <w:abstractNum w:abstractNumId="140">
    <w:nsid w:val="11B1CC33"/>
    <w:multiLevelType w:val="hybridMultilevel"/>
    <w:lvl w:ilvl="0">
      <w:lvlJc w:val="left"/>
      <w:lvlText w:val="%1."/>
      <w:numFmt w:val="decimal"/>
      <w:start w:val="2"/>
    </w:lvl>
    <w:lvl w:ilvl="1">
      <w:lvlJc w:val="left"/>
      <w:lvlText w:val="(%2)"/>
      <w:numFmt w:val="lowerLetter"/>
      <w:start w:val="1"/>
    </w:lvl>
  </w:abstractNum>
  <w:abstractNum w:abstractNumId="141">
    <w:nsid w:val="2E22FBB7"/>
    <w:multiLevelType w:val="hybridMultilevel"/>
    <w:lvl w:ilvl="0">
      <w:lvlJc w:val="left"/>
      <w:lvlText w:val="(%1)"/>
      <w:numFmt w:val="lowerLetter"/>
      <w:start w:val="2"/>
    </w:lvl>
  </w:abstractNum>
  <w:abstractNum w:abstractNumId="142">
    <w:nsid w:val="29934699"/>
    <w:multiLevelType w:val="hybridMultilevel"/>
    <w:lvl w:ilvl="0">
      <w:lvlJc w:val="left"/>
      <w:lvlText w:val="%1."/>
      <w:numFmt w:val="decimal"/>
      <w:start w:val="3"/>
    </w:lvl>
  </w:abstractNum>
  <w:abstractNum w:abstractNumId="143">
    <w:nsid w:val="77485850"/>
    <w:multiLevelType w:val="hybridMultilevel"/>
    <w:lvl w:ilvl="0">
      <w:lvlJc w:val="left"/>
      <w:lvlText w:val="%1."/>
      <w:numFmt w:val="decimal"/>
      <w:start w:val="4"/>
    </w:lvl>
  </w:abstractNum>
  <w:abstractNum w:abstractNumId="144">
    <w:nsid w:val="744939A3"/>
    <w:multiLevelType w:val="hybridMultilevel"/>
    <w:lvl w:ilvl="0">
      <w:lvlJc w:val="left"/>
      <w:lvlText w:val="(%1)"/>
      <w:numFmt w:val="lowerLetter"/>
      <w:start w:val="1"/>
    </w:lvl>
  </w:abstractNum>
  <w:abstractNum w:abstractNumId="145">
    <w:nsid w:val="4FA0D2E3"/>
    <w:multiLevelType w:val="hybridMultilevel"/>
    <w:lvl w:ilvl="0">
      <w:lvlJc w:val="left"/>
      <w:lvlText w:val="(%1)"/>
      <w:numFmt w:val="lowerLetter"/>
      <w:start w:val="3"/>
    </w:lvl>
  </w:abstractNum>
  <w:abstractNum w:abstractNumId="146">
    <w:nsid w:val="6B1D2C14"/>
    <w:multiLevelType w:val="hybridMultilevel"/>
    <w:lvl w:ilvl="0">
      <w:lvlJc w:val="left"/>
      <w:lvlText w:val="(%1)"/>
      <w:numFmt w:val="lowerLetter"/>
      <w:start w:val="7"/>
    </w:lvl>
  </w:abstractNum>
  <w:abstractNum w:abstractNumId="147">
    <w:nsid w:val="68B867D3"/>
    <w:multiLevelType w:val="hybridMultilevel"/>
    <w:lvl w:ilvl="0">
      <w:lvlJc w:val="left"/>
      <w:lvlText w:val="(%1)"/>
      <w:numFmt w:val="lowerLetter"/>
      <w:start w:val="11"/>
    </w:lvl>
  </w:abstractNum>
  <w:abstractNum w:abstractNumId="148">
    <w:nsid w:val="3F7F5DD9"/>
    <w:multiLevelType w:val="hybridMultilevel"/>
    <w:lvl w:ilvl="0">
      <w:lvlJc w:val="left"/>
      <w:lvlText w:val="%1."/>
      <w:numFmt w:val="decimal"/>
      <w:start w:val="5"/>
    </w:lvl>
  </w:abstractNum>
  <w:abstractNum w:abstractNumId="149">
    <w:nsid w:val="2AE05A34"/>
    <w:multiLevelType w:val="hybridMultilevel"/>
    <w:lvl w:ilvl="0">
      <w:lvlJc w:val="left"/>
      <w:lvlText w:val="%1."/>
      <w:numFmt w:val="decimal"/>
      <w:start w:val="6"/>
    </w:lvl>
  </w:abstractNum>
  <w:abstractNum w:abstractNumId="150">
    <w:nsid w:val="32794FF7"/>
    <w:multiLevelType w:val="hybridMultilevel"/>
    <w:lvl w:ilvl="0">
      <w:lvlJc w:val="left"/>
      <w:lvlText w:val="(%1)"/>
      <w:numFmt w:val="lowerLetter"/>
      <w:start w:val="1"/>
    </w:lvl>
  </w:abstractNum>
  <w:abstractNum w:abstractNumId="151">
    <w:nsid w:val="5454945E"/>
    <w:multiLevelType w:val="hybridMultilevel"/>
    <w:lvl w:ilvl="0">
      <w:lvlJc w:val="left"/>
      <w:lvlText w:val="(%1)"/>
      <w:numFmt w:val="lowerLetter"/>
      <w:start w:val="2"/>
    </w:lvl>
  </w:abstractNum>
  <w:abstractNum w:abstractNumId="152">
    <w:nsid w:val="4DEFDFA0"/>
    <w:multiLevelType w:val="hybridMultilevel"/>
    <w:lvl w:ilvl="0">
      <w:lvlJc w:val="left"/>
      <w:lvlText w:val="(%1)"/>
      <w:numFmt w:val="lowerRoman"/>
      <w:start w:val="1"/>
    </w:lvl>
  </w:abstractNum>
  <w:abstractNum w:abstractNumId="153">
    <w:nsid w:val="2123D5F2"/>
    <w:multiLevelType w:val="hybridMultilevel"/>
    <w:lvl w:ilvl="0">
      <w:lvlJc w:val="left"/>
      <w:lvlText w:val="(%1)"/>
      <w:numFmt w:val="lowerRoman"/>
      <w:start w:val="2"/>
    </w:lvl>
  </w:abstractNum>
  <w:abstractNum w:abstractNumId="154">
    <w:nsid w:val="135B8110"/>
    <w:multiLevelType w:val="hybridMultilevel"/>
    <w:lvl w:ilvl="0">
      <w:lvlJc w:val="left"/>
      <w:lvlText w:val="(%1)"/>
      <w:numFmt w:val="lowerLetter"/>
      <w:start w:val="8"/>
    </w:lvl>
  </w:abstractNum>
  <w:abstractNum w:abstractNumId="155">
    <w:nsid w:val="94927A8"/>
    <w:multiLevelType w:val="hybridMultilevel"/>
    <w:lvl w:ilvl="0">
      <w:lvlJc w:val="left"/>
      <w:lvlText w:val="(%1)"/>
      <w:numFmt w:val="lowerLetter"/>
      <w:start w:val="9"/>
    </w:lvl>
  </w:abstractNum>
  <w:abstractNum w:abstractNumId="156">
    <w:nsid w:val="DCDF8F6"/>
    <w:multiLevelType w:val="hybridMultilevel"/>
    <w:lvl w:ilvl="0">
      <w:lvlJc w:val="left"/>
      <w:lvlText w:val="%1."/>
      <w:numFmt w:val="decimal"/>
      <w:start w:val="7"/>
    </w:lvl>
  </w:abstractNum>
  <w:abstractNum w:abstractNumId="157">
    <w:nsid w:val="52D7B105"/>
    <w:multiLevelType w:val="hybridMultilevel"/>
    <w:lvl w:ilvl="0">
      <w:lvlJc w:val="left"/>
      <w:lvlText w:val="%1."/>
      <w:numFmt w:val="decimal"/>
      <w:start w:val="8"/>
    </w:lvl>
    <w:lvl w:ilvl="1">
      <w:lvlJc w:val="left"/>
      <w:lvlText w:val="(%2)"/>
      <w:numFmt w:val="lowerLetter"/>
      <w:start w:val="1"/>
    </w:lvl>
  </w:abstractNum>
  <w:abstractNum w:abstractNumId="158">
    <w:nsid w:val="2E8A6394"/>
    <w:multiLevelType w:val="hybridMultilevel"/>
    <w:lvl w:ilvl="0">
      <w:lvlJc w:val="left"/>
      <w:lvlText w:val="(%1)"/>
      <w:numFmt w:val="decimal"/>
      <w:start w:val="2"/>
    </w:lvl>
    <w:lvl w:ilvl="1">
      <w:lvlJc w:val="left"/>
      <w:lvlText w:val="(%2)"/>
      <w:numFmt w:val="lowerLetter"/>
      <w:start w:val="2"/>
    </w:lvl>
  </w:abstractNum>
  <w:abstractNum w:abstractNumId="159">
    <w:nsid w:val="24E60401"/>
    <w:multiLevelType w:val="hybridMultilevel"/>
    <w:lvl w:ilvl="0">
      <w:lvlJc w:val="left"/>
      <w:lvlText w:val="(%1)"/>
      <w:numFmt w:val="lowerLetter"/>
      <w:start w:val="3"/>
    </w:lvl>
  </w:abstractNum>
  <w:abstractNum w:abstractNumId="160">
    <w:nsid w:val="2A6AD9BE"/>
    <w:multiLevelType w:val="hybridMultilevel"/>
    <w:lvl w:ilvl="0">
      <w:lvlJc w:val="left"/>
      <w:lvlText w:val="(%1)"/>
      <w:numFmt w:val="lowerLetter"/>
      <w:start w:val="9"/>
    </w:lvl>
    <w:lvl w:ilvl="1">
      <w:lvlJc w:val="left"/>
      <w:lvlText w:val="(%2)"/>
      <w:numFmt w:val="lowerLetter"/>
      <w:start w:val="5"/>
    </w:lvl>
  </w:abstractNum>
  <w:abstractNum w:abstractNumId="161">
    <w:nsid w:val="BAAC1B4"/>
    <w:multiLevelType w:val="hybridMultilevel"/>
    <w:lvl w:ilvl="0">
      <w:lvlJc w:val="left"/>
      <w:lvlText w:val="(%1)"/>
      <w:numFmt w:val="lowerRoman"/>
      <w:start w:val="2"/>
    </w:lvl>
  </w:abstractNum>
  <w:abstractNum w:abstractNumId="162">
    <w:nsid w:val="36B2ACBC"/>
    <w:multiLevelType w:val="hybridMultilevel"/>
    <w:lvl w:ilvl="0">
      <w:lvlJc w:val="left"/>
      <w:lvlText w:val="%1."/>
      <w:numFmt w:val="decimal"/>
      <w:start w:val="9"/>
    </w:lvl>
  </w:abstractNum>
  <w:abstractNum w:abstractNumId="163">
    <w:nsid w:val="779D8544"/>
    <w:multiLevelType w:val="hybridMultilevel"/>
    <w:lvl w:ilvl="0">
      <w:lvlJc w:val="left"/>
      <w:lvlText w:val="%1."/>
      <w:numFmt w:val="decimal"/>
      <w:start w:val="10"/>
    </w:lvl>
  </w:abstractNum>
  <w:abstractNum w:abstractNumId="164">
    <w:nsid w:val="4AB26E78"/>
    <w:multiLevelType w:val="hybridMultilevel"/>
    <w:lvl w:ilvl="0">
      <w:lvlJc w:val="left"/>
      <w:lvlText w:val="%1."/>
      <w:numFmt w:val="decimal"/>
      <w:start w:val="11"/>
    </w:lvl>
  </w:abstractNum>
  <w:abstractNum w:abstractNumId="165">
    <w:nsid w:val="21FAA2FA"/>
    <w:multiLevelType w:val="hybridMultilevel"/>
    <w:lvl w:ilvl="0">
      <w:lvlJc w:val="left"/>
      <w:lvlText w:val="(%1)"/>
      <w:numFmt w:val="lowerLetter"/>
      <w:start w:val="22"/>
    </w:lvl>
    <w:lvl w:ilvl="1">
      <w:lvlJc w:val="left"/>
      <w:lvlText w:val="(%2)"/>
      <w:numFmt w:val="lowerLetter"/>
      <w:start w:val="2"/>
    </w:lvl>
  </w:abstractNum>
  <w:abstractNum w:abstractNumId="166">
    <w:nsid w:val="5451CF49"/>
    <w:multiLevelType w:val="hybridMultilevel"/>
    <w:lvl w:ilvl="0">
      <w:lvlJc w:val="left"/>
      <w:lvlText w:val="%1."/>
      <w:numFmt w:val="decimal"/>
      <w:start w:val="12"/>
    </w:lvl>
  </w:abstractNum>
  <w:abstractNum w:abstractNumId="167">
    <w:nsid w:val="6181EF69"/>
    <w:multiLevelType w:val="hybridMultilevel"/>
    <w:lvl w:ilvl="0">
      <w:lvlJc w:val="left"/>
      <w:lvlText w:val="%1."/>
      <w:numFmt w:val="decimal"/>
      <w:start w:val="13"/>
    </w:lvl>
  </w:abstractNum>
  <w:abstractNum w:abstractNumId="168">
    <w:nsid w:val="3E6400E6"/>
    <w:multiLevelType w:val="hybridMultilevel"/>
    <w:lvl w:ilvl="0">
      <w:lvlJc w:val="left"/>
      <w:lvlText w:val="%1."/>
      <w:numFmt w:val="decimal"/>
      <w:start w:val="14"/>
    </w:lvl>
  </w:abstractNum>
  <w:abstractNum w:abstractNumId="169">
    <w:nsid w:val="14217E23"/>
    <w:multiLevelType w:val="hybridMultilevel"/>
    <w:lvl w:ilvl="0">
      <w:lvlJc w:val="left"/>
      <w:lvlText w:val="%1."/>
      <w:numFmt w:val="decimal"/>
      <w:start w:val="1"/>
    </w:lvl>
  </w:abstractNum>
  <w:abstractNum w:abstractNumId="170">
    <w:nsid w:val="710757D0"/>
    <w:multiLevelType w:val="hybridMultilevel"/>
    <w:lvl w:ilvl="0">
      <w:lvlJc w:val="left"/>
      <w:lvlText w:val="%1."/>
      <w:numFmt w:val="decimal"/>
      <w:start w:val="8"/>
    </w:lvl>
  </w:abstractNum>
  <w:abstractNum w:abstractNumId="171">
    <w:nsid w:val="5015CD1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2">
    <w:nsid w:val="424479DA"/>
    <w:multiLevelType w:val="hybridMultilevel"/>
    <w:lvl w:ilvl="0">
      <w:lvlJc w:val="left"/>
      <w:lvlText w:val="(%1)"/>
      <w:numFmt w:val="lowerLetter"/>
      <w:start w:val="1"/>
    </w:lvl>
    <w:lvl w:ilvl="1">
      <w:lvlJc w:val="left"/>
      <w:lvlText w:val="%2."/>
      <w:numFmt w:val="decimal"/>
      <w:start w:val="10"/>
    </w:lvl>
    <w:lvl w:ilvl="2">
      <w:lvlJc w:val="left"/>
      <w:lvlText w:val="%3"/>
      <w:numFmt w:val="lowerRoman"/>
      <w:start w:val="1"/>
    </w:lvl>
  </w:abstractNum>
  <w:abstractNum w:abstractNumId="173">
    <w:nsid w:val="1A9A9E69"/>
    <w:multiLevelType w:val="hybridMultilevel"/>
    <w:lvl w:ilvl="0">
      <w:lvlJc w:val="left"/>
      <w:lvlText w:val="%1."/>
      <w:numFmt w:val="decimal"/>
      <w:start w:val="1"/>
    </w:lvl>
  </w:abstractNum>
  <w:abstractNum w:abstractNumId="174">
    <w:nsid w:val="475E256A"/>
    <w:multiLevelType w:val="hybridMultilevel"/>
    <w:lvl w:ilvl="0">
      <w:lvlJc w:val="left"/>
      <w:lvlText w:val="%1."/>
      <w:numFmt w:val="decimal"/>
      <w:start w:val="2"/>
    </w:lvl>
  </w:abstractNum>
  <w:abstractNum w:abstractNumId="175">
    <w:nsid w:val="368DB37E"/>
    <w:multiLevelType w:val="hybridMultilevel"/>
    <w:lvl w:ilvl="0">
      <w:lvlJc w:val="left"/>
      <w:lvlText w:val="%1."/>
      <w:numFmt w:val="decimal"/>
      <w:start w:val="3"/>
    </w:lvl>
  </w:abstractNum>
  <w:abstractNum w:abstractNumId="176">
    <w:nsid w:val="6A3B714C"/>
    <w:multiLevelType w:val="hybridMultilevel"/>
    <w:lvl w:ilvl="0">
      <w:lvlJc w:val="left"/>
      <w:lvlText w:val="%1."/>
      <w:numFmt w:val="decimal"/>
      <w:start w:val="4"/>
    </w:lvl>
  </w:abstractNum>
  <w:abstractNum w:abstractNumId="177">
    <w:nsid w:val="327B517E"/>
    <w:multiLevelType w:val="hybridMultilevel"/>
    <w:lvl w:ilvl="0">
      <w:lvlJc w:val="left"/>
      <w:lvlText w:val="%1."/>
      <w:numFmt w:val="decimal"/>
      <w:start w:val="5"/>
    </w:lvl>
  </w:abstractNum>
  <w:abstractNum w:abstractNumId="178">
    <w:nsid w:val="1F461B51"/>
    <w:multiLevelType w:val="hybridMultilevel"/>
    <w:lvl w:ilvl="0">
      <w:lvlJc w:val="left"/>
      <w:lvlText w:val="%1."/>
      <w:numFmt w:val="decimal"/>
      <w:start w:val="6"/>
    </w:lvl>
  </w:abstractNum>
  <w:abstractNum w:abstractNumId="179">
    <w:nsid w:val="29BACF25"/>
    <w:multiLevelType w:val="hybridMultilevel"/>
    <w:lvl w:ilvl="0">
      <w:lvlJc w:val="left"/>
      <w:lvlText w:val="%1."/>
      <w:numFmt w:val="decimal"/>
      <w:start w:val="7"/>
    </w:lvl>
  </w:abstractNum>
  <w:abstractNum w:abstractNumId="180">
    <w:nsid w:val="5D5BABB3"/>
    <w:multiLevelType w:val="hybridMultilevel"/>
    <w:lvl w:ilvl="0">
      <w:lvlJc w:val="left"/>
      <w:lvlText w:val="%1."/>
      <w:numFmt w:val="decimal"/>
      <w:start w:val="8"/>
    </w:lvl>
  </w:abstractNum>
  <w:abstractNum w:abstractNumId="181">
    <w:nsid w:val="51BF6B48"/>
    <w:multiLevelType w:val="hybridMultilevel"/>
    <w:lvl w:ilvl="0">
      <w:lvlJc w:val="left"/>
      <w:lvlText w:val="%1."/>
      <w:numFmt w:val="decimal"/>
      <w:start w:val="9"/>
    </w:lvl>
  </w:abstractNum>
  <w:abstractNum w:abstractNumId="182">
    <w:nsid w:val="7E0F6384"/>
    <w:multiLevelType w:val="hybridMultilevel"/>
    <w:lvl w:ilvl="0">
      <w:lvlJc w:val="left"/>
      <w:lvlText w:val="%1."/>
      <w:numFmt w:val="decimal"/>
      <w:start w:val="10"/>
    </w:lvl>
  </w:abstractNum>
  <w:abstractNum w:abstractNumId="183">
    <w:nsid w:val="2B4B8B53"/>
    <w:multiLevelType w:val="hybridMultilevel"/>
    <w:lvl w:ilvl="0">
      <w:lvlJc w:val="left"/>
      <w:lvlText w:val="%1."/>
      <w:numFmt w:val="decimal"/>
      <w:start w:val="11"/>
    </w:lvl>
  </w:abstractNum>
  <w:abstractNum w:abstractNumId="184">
    <w:nsid w:val="72E3413A"/>
    <w:multiLevelType w:val="hybridMultilevel"/>
    <w:lvl w:ilvl="0">
      <w:lvlJc w:val="left"/>
      <w:lvlText w:val="%1."/>
      <w:numFmt w:val="decimal"/>
      <w:start w:val="12"/>
    </w:lvl>
    <w:lvl w:ilvl="1">
      <w:lvlJc w:val="left"/>
      <w:lvlText w:val="*"/>
      <w:numFmt w:val="bullet"/>
      <w:start w:val="1"/>
    </w:lvl>
  </w:abstractNum>
  <w:abstractNum w:abstractNumId="185">
    <w:nsid w:val="116AE49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2019-12-10T21:43:41Z</dcterms:created>
  <dcterms:modified xsi:type="dcterms:W3CDTF">2019-12-10T21:43:41Z</dcterms:modified>
</cp:coreProperties>
</file>