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728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7283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JONES ROBERT 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FLUIDIGM CORPORATION</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05/06/2013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223"/>
        <w:spacing w:after="0"/>
        <w:rPr>
          <w:sz w:val="20"/>
          <w:szCs w:val="20"/>
          <w:color w:val="auto"/>
        </w:rPr>
      </w:pPr>
      <w:r>
        <w:rPr>
          <w:rFonts w:ascii="Arial" w:cs="Arial" w:eastAsia="Arial" w:hAnsi="Arial"/>
          <w:sz w:val="16"/>
          <w:szCs w:val="16"/>
          <w:color w:val="0000FF"/>
        </w:rPr>
        <w:t>EVP, RESEARCH &amp; DEVELOPMENT</w:t>
      </w:r>
    </w:p>
    <w:p>
      <w:pPr>
        <w:spacing w:after="0" w:line="581"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60" w:type="dxa"/>
            <w:vAlign w:val="bottom"/>
            <w:gridSpan w:val="2"/>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60" w:type="dxa"/>
            <w:vAlign w:val="bottom"/>
            <w:gridSpan w:val="2"/>
          </w:tcPr>
          <w:p>
            <w:pPr>
              <w:ind w:left="600"/>
              <w:spacing w:after="0"/>
              <w:rPr>
                <w:sz w:val="20"/>
                <w:szCs w:val="20"/>
                <w:color w:val="auto"/>
              </w:rPr>
            </w:pPr>
            <w:r>
              <w:rPr>
                <w:rFonts w:ascii="Arial" w:cs="Arial" w:eastAsia="Arial" w:hAnsi="Arial"/>
                <w:sz w:val="18"/>
                <w:szCs w:val="18"/>
                <w:color w:val="0000FF"/>
              </w:rPr>
              <w:t>05/06/2013</w:t>
            </w: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ind w:left="160"/>
              <w:spacing w:after="0"/>
              <w:rPr>
                <w:sz w:val="20"/>
                <w:szCs w:val="20"/>
                <w:color w:val="auto"/>
              </w:rPr>
            </w:pPr>
            <w:r>
              <w:rPr>
                <w:rFonts w:ascii="Arial" w:cs="Arial" w:eastAsia="Arial" w:hAnsi="Arial"/>
                <w:sz w:val="14"/>
                <w:szCs w:val="14"/>
                <w:color w:val="0000FF"/>
              </w:rPr>
              <w:t>M</w:t>
            </w:r>
          </w:p>
        </w:tc>
        <w:tc>
          <w:tcPr>
            <w:tcW w:w="800" w:type="dxa"/>
            <w:vAlign w:val="bottom"/>
          </w:tcPr>
          <w:p>
            <w:pPr>
              <w:jc w:val="right"/>
              <w:ind w:right="132"/>
              <w:spacing w:after="0"/>
              <w:rPr>
                <w:sz w:val="20"/>
                <w:szCs w:val="20"/>
                <w:color w:val="auto"/>
              </w:rPr>
            </w:pPr>
            <w:r>
              <w:rPr>
                <w:rFonts w:ascii="Arial" w:cs="Arial" w:eastAsia="Arial" w:hAnsi="Arial"/>
                <w:sz w:val="18"/>
                <w:szCs w:val="18"/>
                <w:color w:val="0000FF"/>
              </w:rPr>
              <w:t>3,500</w:t>
            </w:r>
          </w:p>
        </w:tc>
        <w:tc>
          <w:tcPr>
            <w:tcW w:w="580" w:type="dxa"/>
            <w:vAlign w:val="bottom"/>
          </w:tcPr>
          <w:p>
            <w:pPr>
              <w:ind w:left="220"/>
              <w:spacing w:after="0"/>
              <w:rPr>
                <w:sz w:val="20"/>
                <w:szCs w:val="20"/>
                <w:color w:val="auto"/>
              </w:rPr>
            </w:pPr>
            <w:r>
              <w:rPr>
                <w:rFonts w:ascii="Arial" w:cs="Arial" w:eastAsia="Arial" w:hAnsi="Arial"/>
                <w:sz w:val="18"/>
                <w:szCs w:val="18"/>
                <w:color w:val="0000FF"/>
              </w:rPr>
              <w:t>A</w:t>
            </w: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4.4461</w:t>
            </w:r>
          </w:p>
        </w:tc>
        <w:tc>
          <w:tcPr>
            <w:tcW w:w="1380" w:type="dxa"/>
            <w:vAlign w:val="bottom"/>
            <w:gridSpan w:val="3"/>
          </w:tcPr>
          <w:p>
            <w:pPr>
              <w:jc w:val="right"/>
              <w:ind w:right="356"/>
              <w:spacing w:after="0"/>
              <w:rPr>
                <w:sz w:val="20"/>
                <w:szCs w:val="20"/>
                <w:color w:val="auto"/>
              </w:rPr>
            </w:pPr>
            <w:r>
              <w:rPr>
                <w:rFonts w:ascii="Arial" w:cs="Arial" w:eastAsia="Arial" w:hAnsi="Arial"/>
                <w:sz w:val="18"/>
                <w:szCs w:val="18"/>
                <w:color w:val="0000FF"/>
              </w:rPr>
              <w:t>3,500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8"/>
                <w:szCs w:val="18"/>
                <w:color w:val="0000FF"/>
              </w:rPr>
              <w:t>05/06/2013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jc w:val="center"/>
              <w:ind w:right="52"/>
              <w:spacing w:after="0"/>
              <w:rPr>
                <w:sz w:val="20"/>
                <w:szCs w:val="20"/>
                <w:color w:val="auto"/>
              </w:rPr>
            </w:pPr>
            <w:r>
              <w:rPr>
                <w:rFonts w:ascii="Arial" w:cs="Arial" w:eastAsia="Arial" w:hAnsi="Arial"/>
                <w:sz w:val="18"/>
                <w:szCs w:val="18"/>
                <w:color w:val="0000FF"/>
              </w:rPr>
              <w:t>3,500</w:t>
            </w:r>
            <w:r>
              <w:rPr>
                <w:rFonts w:ascii="Arial" w:cs="Arial" w:eastAsia="Arial" w:hAnsi="Arial"/>
                <w:sz w:val="22"/>
                <w:szCs w:val="22"/>
                <w:color w:val="008000"/>
                <w:vertAlign w:val="superscript"/>
              </w:rPr>
              <w:t>(2)</w:t>
            </w:r>
          </w:p>
        </w:tc>
        <w:tc>
          <w:tcPr>
            <w:tcW w:w="58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17.9159</w:t>
            </w:r>
            <w:r>
              <w:rPr>
                <w:rFonts w:ascii="Arial" w:cs="Arial" w:eastAsia="Arial" w:hAnsi="Arial"/>
                <w:sz w:val="22"/>
                <w:szCs w:val="22"/>
                <w:color w:val="008000"/>
                <w:w w:val="85"/>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right"/>
              <w:ind w:right="516"/>
              <w:spacing w:after="0"/>
              <w:rPr>
                <w:sz w:val="20"/>
                <w:szCs w:val="20"/>
                <w:color w:val="auto"/>
              </w:rPr>
            </w:pPr>
            <w:r>
              <w:rPr>
                <w:rFonts w:ascii="Arial" w:cs="Arial" w:eastAsia="Arial" w:hAnsi="Arial"/>
                <w:sz w:val="18"/>
                <w:szCs w:val="18"/>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9"/>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580" w:type="dxa"/>
            <w:vAlign w:val="bottom"/>
          </w:tcPr>
          <w:p>
            <w:pPr>
              <w:spacing w:after="0"/>
              <w:rPr>
                <w:sz w:val="11"/>
                <w:szCs w:val="11"/>
                <w:color w:val="auto"/>
              </w:rPr>
            </w:pPr>
          </w:p>
        </w:tc>
        <w:tc>
          <w:tcPr>
            <w:tcW w:w="7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Employee</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(3)</w:t>
            </w:r>
          </w:p>
        </w:tc>
        <w:tc>
          <w:tcPr>
            <w:tcW w:w="800" w:type="dxa"/>
            <w:vAlign w:val="bottom"/>
          </w:tcPr>
          <w:p>
            <w:pPr>
              <w:spacing w:after="0"/>
              <w:rPr>
                <w:sz w:val="12"/>
                <w:szCs w:val="12"/>
                <w:color w:val="auto"/>
              </w:rPr>
            </w:pPr>
          </w:p>
        </w:tc>
        <w:tc>
          <w:tcPr>
            <w:tcW w:w="580" w:type="dxa"/>
            <w:vAlign w:val="bottom"/>
            <w:vMerge w:val="restart"/>
          </w:tcPr>
          <w:p>
            <w:pPr>
              <w:ind w:left="80"/>
              <w:spacing w:after="0"/>
              <w:rPr>
                <w:sz w:val="20"/>
                <w:szCs w:val="20"/>
                <w:color w:val="auto"/>
              </w:rPr>
            </w:pPr>
            <w:r>
              <w:rPr>
                <w:rFonts w:ascii="Arial" w:cs="Arial" w:eastAsia="Arial" w:hAnsi="Arial"/>
                <w:sz w:val="14"/>
                <w:szCs w:val="14"/>
                <w:color w:val="0000FF"/>
                <w:w w:val="84"/>
              </w:rPr>
              <w:t>Common</w:t>
            </w:r>
          </w:p>
        </w:tc>
        <w:tc>
          <w:tcPr>
            <w:tcW w:w="680" w:type="dxa"/>
            <w:vAlign w:val="bottom"/>
            <w:vMerge w:val="restart"/>
          </w:tcPr>
          <w:p>
            <w:pPr>
              <w:ind w:left="180"/>
              <w:spacing w:after="0"/>
              <w:rPr>
                <w:sz w:val="20"/>
                <w:szCs w:val="20"/>
                <w:color w:val="auto"/>
              </w:rPr>
            </w:pPr>
            <w:r>
              <w:rPr>
                <w:rFonts w:ascii="Arial" w:cs="Arial" w:eastAsia="Arial" w:hAnsi="Arial"/>
                <w:sz w:val="18"/>
                <w:szCs w:val="18"/>
                <w:color w:val="0000FF"/>
              </w:rPr>
              <w:t>3,500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Option</w:t>
            </w:r>
          </w:p>
        </w:tc>
        <w:tc>
          <w:tcPr>
            <w:tcW w:w="82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4.4461</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05/06/2013</w:t>
            </w:r>
          </w:p>
        </w:tc>
        <w:tc>
          <w:tcPr>
            <w:tcW w:w="1140" w:type="dxa"/>
            <w:vAlign w:val="bottom"/>
          </w:tcPr>
          <w:p>
            <w:pPr>
              <w:spacing w:after="0"/>
              <w:rPr>
                <w:sz w:val="5"/>
                <w:szCs w:val="5"/>
                <w:color w:val="auto"/>
              </w:rPr>
            </w:pPr>
          </w:p>
        </w:tc>
        <w:tc>
          <w:tcPr>
            <w:tcW w:w="4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40" w:type="dxa"/>
            <w:vAlign w:val="bottom"/>
          </w:tcPr>
          <w:p>
            <w:pPr>
              <w:spacing w:after="0"/>
              <w:rPr>
                <w:sz w:val="5"/>
                <w:szCs w:val="5"/>
                <w:color w:val="auto"/>
              </w:rPr>
            </w:pPr>
          </w:p>
        </w:tc>
        <w:tc>
          <w:tcPr>
            <w:tcW w:w="70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1"/>
              </w:rPr>
              <w:t>3,500</w:t>
            </w:r>
          </w:p>
        </w:tc>
        <w:tc>
          <w:tcPr>
            <w:tcW w:w="820" w:type="dxa"/>
            <w:vAlign w:val="bottom"/>
            <w:vMerge w:val="continue"/>
          </w:tcPr>
          <w:p>
            <w:pPr>
              <w:spacing w:after="0"/>
              <w:rPr>
                <w:sz w:val="5"/>
                <w:szCs w:val="5"/>
                <w:color w:val="auto"/>
              </w:rPr>
            </w:pPr>
          </w:p>
        </w:tc>
        <w:tc>
          <w:tcPr>
            <w:tcW w:w="800" w:type="dxa"/>
            <w:vAlign w:val="bottom"/>
            <w:vMerge w:val="restart"/>
          </w:tcPr>
          <w:p>
            <w:pPr>
              <w:ind w:left="120"/>
              <w:spacing w:after="0" w:line="149" w:lineRule="exact"/>
              <w:rPr>
                <w:sz w:val="20"/>
                <w:szCs w:val="20"/>
                <w:color w:val="auto"/>
              </w:rPr>
            </w:pPr>
            <w:r>
              <w:rPr>
                <w:rFonts w:ascii="Arial" w:cs="Arial" w:eastAsia="Arial" w:hAnsi="Arial"/>
                <w:sz w:val="14"/>
                <w:szCs w:val="14"/>
                <w:color w:val="0000FF"/>
                <w:w w:val="94"/>
              </w:rPr>
              <w:t>05/07/2017</w:t>
            </w:r>
          </w:p>
        </w:tc>
        <w:tc>
          <w:tcPr>
            <w:tcW w:w="58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w w:val="96"/>
              </w:rPr>
              <w:t>6,819</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vMerge w:val="continue"/>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6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Pr>
          <w:p>
            <w:pPr>
              <w:spacing w:after="0"/>
              <w:rPr>
                <w:sz w:val="6"/>
                <w:szCs w:val="6"/>
                <w:color w:val="auto"/>
              </w:rPr>
            </w:pPr>
          </w:p>
        </w:tc>
        <w:tc>
          <w:tcPr>
            <w:tcW w:w="800" w:type="dxa"/>
            <w:vAlign w:val="bottom"/>
          </w:tcPr>
          <w:p>
            <w:pPr>
              <w:spacing w:after="0"/>
              <w:rPr>
                <w:sz w:val="6"/>
                <w:szCs w:val="6"/>
                <w:color w:val="auto"/>
              </w:rPr>
            </w:pPr>
          </w:p>
        </w:tc>
        <w:tc>
          <w:tcPr>
            <w:tcW w:w="5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by Mr. Jones were effected pursuant to a Rule 10b5-1 trading plan adopted on March 13, 2013.</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"Amount" and "Price" reported in this Column 4 reflect the aggregate number and weighted-average price, respectively, of shares sold. These shares were sold in multiple transactions at prices ranging from $17.77 to $18.03,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shares subject to the Option fully vested on May 1, 2010.</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4"/>
              </w:rPr>
              <w:t>/s/ Valerie Barnett, Attorney-</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05/08/2013</w:t>
            </w: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in-fact</w:t>
            </w:r>
          </w:p>
        </w:tc>
        <w:tc>
          <w:tcPr>
            <w:tcW w:w="12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4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642"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2019-12-17T16:31:16Z</dcterms:created>
  <dcterms:modified xsi:type="dcterms:W3CDTF">2019-12-17T16:31:16Z</dcterms:modified>
</cp:coreProperties>
</file>