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DOCUMENT TYPE SC 13G/A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 1</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Fluidigm Corp</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34385P108</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9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219,589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2,889,082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219,589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2,890,975 See Exhibit A</w:t>
      </w:r>
    </w:p>
    <w:p>
      <w:pPr>
        <w:spacing w:after="0" w:line="19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3,110,564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12.5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 NAME OF ISSUER: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Fluidigm Corp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 ADDRESS OF ISSUER'S EXECUTIVE OFFICES: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7000 Shoreline Court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Suite 100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South San Francisco, California 94080</w:t>
      </w: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 NAME OF PERSON FILING:</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34385P108</w:t>
      </w:r>
    </w:p>
    <w:p>
      <w:pPr>
        <w:spacing w:after="0" w:line="197" w:lineRule="exact"/>
        <w:rPr>
          <w:sz w:val="24"/>
          <w:szCs w:val="24"/>
          <w:color w:val="auto"/>
        </w:rPr>
      </w:pPr>
    </w:p>
    <w:p>
      <w:pPr>
        <w:ind w:right="3299"/>
        <w:spacing w:after="0" w:line="251"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ind w:right="7399" w:firstLine="8"/>
        <w:spacing w:after="0" w:line="251" w:lineRule="auto"/>
        <w:tabs>
          <w:tab w:leader="none" w:pos="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Beneficially Owned: 3,110,564 See Exhibit A</w:t>
      </w:r>
    </w:p>
    <w:p>
      <w:pPr>
        <w:sectPr>
          <w:pgSz w:w="11900" w:h="16899" w:orient="portrait"/>
          <w:cols w:equalWidth="0" w:num="1">
            <w:col w:w="10219"/>
          </w:cols>
          <w:pgMar w:left="240" w:top="24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 Percent of Class: 12.5</w:t>
      </w:r>
    </w:p>
    <w:p>
      <w:pPr>
        <w:sectPr>
          <w:pgSz w:w="11900" w:h="16838" w:orient="portrait"/>
          <w:cols w:equalWidth="0" w:num="1">
            <w:col w:w="10219"/>
          </w:cols>
          <w:pgMar w:left="240" w:top="329" w:right="1440" w:bottom="287"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38" w:orient="portrait"/>
          <w:cols w:equalWidth="0" w:num="2">
            <w:col w:w="1820" w:space="720"/>
            <w:col w:w="7679"/>
          </w:cols>
          <w:pgMar w:left="240" w:top="329" w:right="1440" w:bottom="287"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38" w:orient="portrait"/>
          <w:cols w:equalWidth="0" w:num="2">
            <w:col w:w="1720" w:space="720"/>
            <w:col w:w="7779"/>
          </w:cols>
          <w:pgMar w:left="240" w:top="329" w:right="1440" w:bottom="28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219,589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060" w:space="380"/>
            <w:col w:w="680" w:space="200"/>
            <w:col w:w="6899"/>
          </w:cols>
          <w:pgMar w:left="240" w:top="329" w:right="1440" w:bottom="28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329" w:right="1440" w:bottom="287"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2,889,082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329" w:right="1440" w:bottom="28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329" w:right="1440" w:bottom="287" w:gutter="0" w:footer="0" w:header="0"/>
          <w:type w:val="continuous"/>
        </w:sectPr>
      </w:pPr>
    </w:p>
    <w:p>
      <w:pPr>
        <w:spacing w:after="0" w:line="197"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219,589 See 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38" w:orient="portrait"/>
          <w:cols w:equalWidth="0" w:num="1">
            <w:col w:w="10219"/>
          </w:cols>
          <w:pgMar w:left="240" w:top="329" w:right="1440" w:bottom="287"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2,890,975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8" w:lineRule="exact"/>
        <w:rPr>
          <w:sz w:val="20"/>
          <w:szCs w:val="20"/>
          <w:color w:val="auto"/>
        </w:rPr>
      </w:pPr>
    </w:p>
    <w:p>
      <w:pPr>
        <w:sectPr>
          <w:pgSz w:w="11900" w:h="16838" w:orient="portrait"/>
          <w:cols w:equalWidth="0" w:num="3">
            <w:col w:w="2240" w:space="300"/>
            <w:col w:w="880" w:space="180"/>
            <w:col w:w="6619"/>
          </w:cols>
          <w:pgMar w:left="240" w:top="329" w:right="1440" w:bottom="287"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38" w:orient="portrait"/>
          <w:cols w:equalWidth="0" w:num="1">
            <w:col w:w="10219"/>
          </w:cols>
          <w:pgMar w:left="240" w:top="329" w:right="1440" w:bottom="287" w:gutter="0" w:footer="0" w:header="0"/>
          <w:type w:val="continuous"/>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70"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Our clients may have the right to receive or the power to direct the receipt of dividends from, or the proceeds from the sale of, such securities which are the subject of this filing.</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jc w:val="both"/>
        <w:ind w:right="2539"/>
        <w:spacing w:after="0" w:line="25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spacing w:after="0" w:line="1" w:lineRule="exact"/>
        <w:rPr>
          <w:sz w:val="20"/>
          <w:szCs w:val="20"/>
          <w:color w:val="auto"/>
        </w:rPr>
      </w:pPr>
    </w:p>
    <w:p>
      <w:pPr>
        <w:ind w:right="2719"/>
        <w:spacing w:after="0" w:line="250"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315" w:lineRule="exact"/>
        <w:rPr>
          <w:sz w:val="20"/>
          <w:szCs w:val="20"/>
          <w:color w:val="auto"/>
        </w:rPr>
      </w:pPr>
    </w:p>
    <w:p>
      <w:pPr>
        <w:ind w:right="2239"/>
        <w:spacing w:after="0" w:line="251"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2919"/>
        <w:spacing w:after="0" w:line="251"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02/11/2013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12/31/2012</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ectPr>
          <w:pgSz w:w="11900" w:h="16838" w:orient="portrait"/>
          <w:cols w:equalWidth="0" w:num="1">
            <w:col w:w="10219"/>
          </w:cols>
          <w:pgMar w:left="240" w:top="329" w:right="1440" w:bottom="287" w:gutter="0" w:footer="0" w:header="0"/>
          <w:type w:val="continuous"/>
        </w:sectPr>
      </w:pPr>
    </w:p>
    <w:bookmarkStart w:id="2" w:name="page3"/>
    <w:bookmarkEnd w:id="2"/>
    <w:p>
      <w:pPr>
        <w:ind w:right="2719"/>
        <w:spacing w:after="0" w:line="251"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 subsidiaries and may have direct or indirect voting and/or investment discretion over 3,110,564 shares.</w:t>
      </w:r>
    </w:p>
    <w:p>
      <w:pPr>
        <w:spacing w:after="0" w:line="187" w:lineRule="exact"/>
        <w:rPr>
          <w:sz w:val="20"/>
          <w:szCs w:val="20"/>
          <w:color w:val="auto"/>
        </w:rPr>
      </w:pPr>
    </w:p>
    <w:p>
      <w:pPr>
        <w:ind w:right="2539"/>
        <w:spacing w:after="0" w:line="25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359" w:lineRule="exact"/>
        <w:rPr>
          <w:sz w:val="20"/>
          <w:szCs w:val="20"/>
          <w:color w:val="auto"/>
        </w:rPr>
      </w:pPr>
    </w:p>
    <w:p>
      <w:pPr>
        <w:jc w:val="both"/>
        <w:ind w:right="2539"/>
        <w:spacing w:after="0" w:line="251"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8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Number of</w:t>
            </w:r>
          </w:p>
        </w:tc>
        <w:tc>
          <w:tcPr>
            <w:tcW w:w="1060" w:type="dxa"/>
            <w:vAlign w:val="bottom"/>
          </w:tcPr>
          <w:p>
            <w:pPr>
              <w:ind w:left="80"/>
              <w:spacing w:after="0"/>
              <w:rPr>
                <w:sz w:val="20"/>
                <w:szCs w:val="20"/>
                <w:color w:val="auto"/>
              </w:rPr>
            </w:pPr>
            <w:r>
              <w:rPr>
                <w:rFonts w:ascii="Courier New" w:cs="Courier New" w:eastAsia="Courier New" w:hAnsi="Courier New"/>
                <w:sz w:val="16"/>
                <w:szCs w:val="16"/>
                <w:color w:val="auto"/>
                <w:w w:val="99"/>
              </w:rPr>
              <w:t>Percentage</w:t>
            </w:r>
          </w:p>
        </w:tc>
      </w:tr>
      <w:tr>
        <w:trPr>
          <w:trHeight w:val="189"/>
        </w:trPr>
        <w:tc>
          <w:tcPr>
            <w:tcW w:w="4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Shares</w:t>
            </w:r>
          </w:p>
        </w:tc>
        <w:tc>
          <w:tcPr>
            <w:tcW w:w="1060" w:type="dxa"/>
            <w:vAlign w:val="bottom"/>
          </w:tcPr>
          <w:p>
            <w:pPr>
              <w:spacing w:after="0"/>
              <w:rPr>
                <w:sz w:val="16"/>
                <w:szCs w:val="16"/>
                <w:color w:val="auto"/>
              </w:rPr>
            </w:pP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8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IC, IA</w:t>
            </w:r>
          </w:p>
        </w:tc>
        <w:tc>
          <w:tcPr>
            <w:tcW w:w="106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8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06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3,108,104</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12.44%</w:t>
            </w: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Prudential Investment Management, Inc.</w:t>
            </w:r>
          </w:p>
        </w:tc>
        <w:tc>
          <w:tcPr>
            <w:tcW w:w="8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06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w:t>
            </w:r>
          </w:p>
        </w:tc>
      </w:tr>
      <w:tr>
        <w:trPr>
          <w:trHeight w:val="243"/>
        </w:trPr>
        <w:tc>
          <w:tcPr>
            <w:tcW w:w="4280" w:type="dxa"/>
            <w:vAlign w:val="bottom"/>
          </w:tcPr>
          <w:p>
            <w:pPr>
              <w:spacing w:after="0"/>
              <w:rPr>
                <w:sz w:val="20"/>
                <w:szCs w:val="20"/>
                <w:color w:val="auto"/>
              </w:rPr>
            </w:pPr>
            <w:r>
              <w:rPr>
                <w:rFonts w:ascii="Courier New" w:cs="Courier New" w:eastAsia="Courier New" w:hAnsi="Courier New"/>
                <w:sz w:val="16"/>
                <w:szCs w:val="16"/>
                <w:b w:val="1"/>
                <w:bCs w:val="1"/>
                <w:color w:val="auto"/>
              </w:rPr>
              <w:t>Quantitative Management Associates LLC</w:t>
            </w:r>
          </w:p>
        </w:tc>
        <w:tc>
          <w:tcPr>
            <w:tcW w:w="82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IA</w:t>
            </w:r>
          </w:p>
        </w:tc>
        <w:tc>
          <w:tcPr>
            <w:tcW w:w="106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9"/>
              </w:rPr>
              <w:t>2,460</w:t>
            </w:r>
          </w:p>
        </w:tc>
        <w:tc>
          <w:tcPr>
            <w:tcW w:w="106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rPr>
              <w:t>.01%</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2019-12-07T03:53:52Z</dcterms:created>
  <dcterms:modified xsi:type="dcterms:W3CDTF">2019-12-07T03:53:52Z</dcterms:modified>
</cp:coreProperties>
</file>