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left="2180" w:right="2040"/>
        <w:spacing w:after="0" w:line="264" w:lineRule="auto"/>
        <w:rPr>
          <w:sz w:val="20"/>
          <w:szCs w:val="20"/>
          <w:color w:val="auto"/>
        </w:rPr>
      </w:pPr>
      <w:r>
        <w:rPr>
          <w:rFonts w:ascii="Arial" w:cs="Arial" w:eastAsia="Arial" w:hAnsi="Arial"/>
          <w:sz w:val="24"/>
          <w:szCs w:val="24"/>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83185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56" w:lineRule="exact"/>
        <w:rPr>
          <w:sz w:val="24"/>
          <w:szCs w:val="24"/>
          <w:color w:val="auto"/>
        </w:rPr>
      </w:pPr>
    </w:p>
    <w:p>
      <w:pPr>
        <w:sectPr>
          <w:pgSz w:w="11900" w:h="16838" w:orient="portrait"/>
          <w:cols w:equalWidth="0" w:num="2">
            <w:col w:w="7540" w:space="720"/>
            <w:col w:w="3040"/>
          </w:cols>
          <w:pgMar w:left="240" w:top="314" w:right="359" w:bottom="1440" w:gutter="0" w:footer="0" w:header="0"/>
          <w:type w:val="continuous"/>
        </w:sectPr>
      </w:pPr>
    </w:p>
    <w:p>
      <w:pPr>
        <w:jc w:val="center"/>
        <w:ind w:right="1720"/>
        <w:spacing w:after="0"/>
        <w:rPr>
          <w:sz w:val="20"/>
          <w:szCs w:val="20"/>
          <w:color w:val="auto"/>
        </w:rPr>
      </w:pPr>
      <w:r>
        <w:rPr>
          <w:rFonts w:ascii="Arial" w:cs="Arial" w:eastAsia="Arial" w:hAnsi="Arial"/>
          <w:sz w:val="12"/>
          <w:szCs w:val="12"/>
          <w:b w:val="1"/>
          <w:bCs w:val="1"/>
          <w:color w:val="auto"/>
        </w:rPr>
        <w:t>(State of incorporation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2">
            <w:col w:w="7440" w:space="720"/>
            <w:col w:w="3140"/>
          </w:cols>
          <w:pgMar w:left="240" w:top="314"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type w:val="continuous"/>
        </w:sect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01"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402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1060" w:type="dxa"/>
            <w:vAlign w:val="bottom"/>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to be so registered</w:t>
            </w:r>
          </w:p>
        </w:tc>
        <w:tc>
          <w:tcPr>
            <w:tcW w:w="2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each class is to be registered</w:t>
            </w:r>
          </w:p>
        </w:tc>
        <w:tc>
          <w:tcPr>
            <w:tcW w:w="420" w:type="dxa"/>
            <w:vAlign w:val="bottom"/>
          </w:tcPr>
          <w:p>
            <w:pPr>
              <w:spacing w:after="0"/>
              <w:rPr>
                <w:sz w:val="14"/>
                <w:szCs w:val="14"/>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2"/>
              </w:rPr>
              <w:t>Common Stock, $0.001 par</w:t>
            </w:r>
          </w:p>
        </w:tc>
        <w:tc>
          <w:tcPr>
            <w:tcW w:w="252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4020" w:type="dxa"/>
            <w:vAlign w:val="bottom"/>
            <w:gridSpan w:val="3"/>
          </w:tcPr>
          <w:p>
            <w:pPr>
              <w:jc w:val="center"/>
              <w:ind w:left="1382"/>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333-170965</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Fluidigm Corporation (the “Registrant”) hereby incorporates by reference the description of its common stock to be registered hereunder contained under the heading “Description of Capital Stock” in the Registrant’s Registration Statement on Form S-1 (File No. 333-170965), originally filed with the Securities and Exchange Commission (the “Commission”) on December 3, 2010,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6140" w:val="left"/>
          <w:tab w:leader="none" w:pos="8080" w:val="left"/>
        </w:tabs>
        <w:rPr>
          <w:sz w:val="20"/>
          <w:szCs w:val="20"/>
          <w:color w:val="auto"/>
        </w:rPr>
      </w:pPr>
      <w:r>
        <w:rPr>
          <w:rFonts w:ascii="Arial" w:cs="Arial" w:eastAsia="Arial" w:hAnsi="Arial"/>
          <w:sz w:val="18"/>
          <w:szCs w:val="18"/>
          <w:color w:val="auto"/>
        </w:rPr>
        <w:t>Date: February 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Gajus V. Worthington</w:t>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President and Chief Executive Officer</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2019-12-10T21:27:12Z</dcterms:created>
  <dcterms:modified xsi:type="dcterms:W3CDTF">2019-12-10T21:27:12Z</dcterms:modified>
</cp:coreProperties>
</file>