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Yow Mai Chan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04/17/2015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4,700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15.49</w:t>
            </w:r>
          </w:p>
        </w:tc>
        <w:tc>
          <w:tcPr>
            <w:tcW w:w="20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6,216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04/17/2015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4,700</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44.0399</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1,516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4,700</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15.49</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04/17/2015</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4,700</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02/17/2022</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00"/>
              <w:spacing w:after="0" w:line="133" w:lineRule="exact"/>
              <w:rPr>
                <w:sz w:val="20"/>
                <w:szCs w:val="20"/>
                <w:color w:val="auto"/>
              </w:rPr>
            </w:pPr>
            <w:r>
              <w:rPr>
                <w:rFonts w:ascii="Arial" w:cs="Arial" w:eastAsia="Arial" w:hAnsi="Arial"/>
                <w:sz w:val="14"/>
                <w:szCs w:val="14"/>
                <w:color w:val="0000FF"/>
                <w:w w:val="88"/>
              </w:rPr>
              <w:t>33,159</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Ms. Yow were effected pursuant to a Rule 10b5-1 trading plan adopted on March 3, 2015.</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$44.00 to $44.355,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1/48th of the shares subject to the Option vested on February 17, 2012 and 1/48th of the shares subject to the Option vested on March 1, 2012 and each month thereafter, such that the Option will be fully vested on January 1,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VP, WORLDWIDE MANUFACTURING &amp; MANAGING DIRECTOR - SINGAPORE</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04/21/2015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7"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2019-12-07T23:30:47Z</dcterms:created>
  <dcterms:modified xsi:type="dcterms:W3CDTF">2019-12-07T23:30:47Z</dcterms:modified>
</cp:coreProperties>
</file>