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0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November 21,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FLUIDIGM CORPORATION</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001-34180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77-0513190</w:t>
      </w:r>
    </w:p>
    <w:p>
      <w:pPr>
        <w:spacing w:after="0" w:line="31" w:lineRule="exact"/>
        <w:rPr>
          <w:sz w:val="24"/>
          <w:szCs w:val="24"/>
          <w:color w:val="auto"/>
        </w:rPr>
      </w:pPr>
    </w:p>
    <w:p>
      <w:pPr>
        <w:sectPr>
          <w:pgSz w:w="11900" w:h="16838" w:orient="portrait"/>
          <w:cols w:equalWidth="0" w:num="3">
            <w:col w:w="4740" w:space="720"/>
            <w:col w:w="2980" w:space="720"/>
            <w:col w:w="2140"/>
          </w:cols>
          <w:pgMar w:left="240" w:top="368" w:right="35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03"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jc w:val="center"/>
        <w:ind w:right="-139"/>
        <w:spacing w:after="0"/>
        <w:rPr>
          <w:sz w:val="20"/>
          <w:szCs w:val="20"/>
          <w:color w:val="auto"/>
        </w:rPr>
      </w:pPr>
      <w:r>
        <w:rPr>
          <w:rFonts w:ascii="Arial" w:cs="Arial" w:eastAsia="Arial" w:hAnsi="Arial"/>
          <w:sz w:val="18"/>
          <w:szCs w:val="18"/>
          <w:b w:val="1"/>
          <w:bCs w:val="1"/>
          <w:color w:val="auto"/>
        </w:rPr>
        <w:t>7000 Shoreline Court, Suite 100</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South San Francisco, California 94080</w:t>
      </w:r>
    </w:p>
    <w:p>
      <w:pPr>
        <w:spacing w:after="0" w:line="2" w:lineRule="exact"/>
        <w:rPr>
          <w:sz w:val="24"/>
          <w:szCs w:val="24"/>
          <w:color w:val="auto"/>
        </w:rPr>
      </w:pPr>
    </w:p>
    <w:p>
      <w:pPr>
        <w:jc w:val="center"/>
        <w:ind w:right="-139"/>
        <w:spacing w:after="0"/>
        <w:rPr>
          <w:sz w:val="20"/>
          <w:szCs w:val="20"/>
          <w:color w:val="auto"/>
        </w:rPr>
      </w:pPr>
      <w:r>
        <w:rPr>
          <w:rFonts w:ascii="Arial" w:cs="Arial" w:eastAsia="Arial" w:hAnsi="Arial"/>
          <w:sz w:val="13"/>
          <w:szCs w:val="13"/>
          <w:b w:val="1"/>
          <w:bCs w:val="1"/>
          <w:color w:val="auto"/>
        </w:rPr>
        <w:t>(Address of principal executive offices, including zip code)</w:t>
      </w:r>
    </w:p>
    <w:p>
      <w:pPr>
        <w:spacing w:after="0" w:line="20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(650) 266-6000</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0" w:lineRule="exact"/>
        <w:rPr>
          <w:sz w:val="24"/>
          <w:szCs w:val="24"/>
          <w:color w:val="auto"/>
        </w:rPr>
      </w:pPr>
    </w:p>
    <w:p>
      <w:pPr>
        <w:spacing w:after="0" w:line="231" w:lineRule="exact"/>
        <w:rPr>
          <w:sz w:val="24"/>
          <w:szCs w:val="24"/>
          <w:color w:val="auto"/>
        </w:rPr>
      </w:pPr>
    </w:p>
    <w:p>
      <w:pPr>
        <w:jc w:val="center"/>
        <w:ind w:right="-139"/>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252730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November 21, 2016, the Board of Directors (the “Board”) of Fluidigm Corporation (the “Company”) authorized and declared a dividend distribution of one right (a “Right”) for each outstanding share of common stock, par value $0.001 per share (the “Common Shares”), of the Company to stockholders of record as of the close of business on December 1, 2016 (the “Record Date”). Each Right entitles the registered holder to purchase from the Company one one-thousandth of a share of Series A Participating Preferred Stock, par value $0.001 per share (the “Preferred Shares”), of the Company at an exercise price of $35.00 (the “Exercise Price”) per one one-thousandth of a Preferred Share, subject to adjustment. The complete terms of the Rights are set forth in a Tax Benefit Preservation Plan (the “Plan”), dated as of November 21, 2016, between the Company and Computershare Inc., as rights agent. The Company expects to submit the Plan to a stockholder vote at the Company’s 2017 Annual Meeting of Stockholders.</w:t>
      </w:r>
    </w:p>
    <w:p>
      <w:pPr>
        <w:spacing w:after="0" w:line="17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By adopting the Plan, the Board is seeking to protect the Company’s ability to use its net operating losses, any loss or deduction attributable to a “net unrealized built-in loss” and other tax attributes (collectively, “Tax Benefits”). The Company views its Tax Benefits as highly valuable assets of the Company that are likely to inure to the benefit of the Company and its stockholders. However, if the Company experiences an “ownership change,” as defined in Section 382 of the Internal Revenue Code (the “Code”), its ability to use the Tax Benefits could be substantially limited, and the timing of the usage of the Tax Benefits could be substantially delayed, which could significantly impair the value of the Tax Benefits. Generally, an “ownership change” occurs if the percentage of the Company’s stock owned by one or more “five percent stockholders” increases by more than 50 percentage points over the lowest percentage of stock owned by such stockholders at any time during the prior three-year period or, if sooner, since the last “ownership change” experienced by the Company. The Plan is intended to deter acquisitions of 4.99% or more of the outstanding Common Shares by any person without the approval of the Board. This would protect the Tax Benefits because changes in ownership by a person owning less than 4.99% of the Common Shares are not included in the calculation of “ownership change” for purposes of Section 382 of the Code. The Board believes that it is in the best interests of the Company and its stockholders that the Company provide for the protection of the Tax Benefits by adopting the Plan.</w:t>
      </w:r>
    </w:p>
    <w:p>
      <w:pPr>
        <w:spacing w:after="0" w:line="18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is a summary of the terms of the Plan. The summary does not purport to be complete and is qualified in its entirety by reference to the Plan, a copy of which is attached as Exhibit 4.1 and incorporated herein by reference.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 and Transfer of Rights; Rights Certificates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Board has declared a dividend of one Right for each outstanding Common Share. Prior to the Distribution Date referred to below:</w:t>
      </w:r>
    </w:p>
    <w:p>
      <w:pPr>
        <w:spacing w:after="0" w:line="131" w:lineRule="exact"/>
        <w:rPr>
          <w:sz w:val="20"/>
          <w:szCs w:val="20"/>
          <w:color w:val="auto"/>
        </w:rPr>
      </w:pPr>
    </w:p>
    <w:p>
      <w:pPr>
        <w:ind w:left="900" w:right="34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Rights will be evidenced by and trade with the certificates for the Common Shares (or, with respect to any uncertificated Common Shares registered in book entry form, by notation in book entry), and no separate rights certificates will be distributed;</w:t>
      </w:r>
    </w:p>
    <w:p>
      <w:pPr>
        <w:spacing w:after="0" w:line="75" w:lineRule="exact"/>
        <w:rPr>
          <w:rFonts w:ascii="Arial" w:cs="Arial" w:eastAsia="Arial" w:hAnsi="Arial"/>
          <w:sz w:val="18"/>
          <w:szCs w:val="18"/>
          <w:color w:val="auto"/>
        </w:rPr>
      </w:pPr>
    </w:p>
    <w:p>
      <w:pPr>
        <w:ind w:left="900" w:right="58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new Common Shares certificates issued after the Record Date will contain a legend incorporating the Plan by reference (for uncertificated Common Shares registered in book entry form, this legend will be contained in a notation in book entry); and</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surrender for transfer of any certificates for Common Shares (or the surrender for transfer of any uncertificated Common Shares registered in book entry form) will also constitute the transfer of the Rights associated with such Common Shares.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Rights will accompany any new Common Shares that are issued after the Record Date.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 Date</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Subject to certain exceptions specified in the Plan, the Rights will separate from the Common Shares and become exercisable following (1) the 10th business day (or such later date as may be determined by the Board) after the public announcement that a person or group of affiliated or associated persons (an “Acquiring Person”) has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20"/>
          </w:cols>
          <w:pgMar w:left="240" w:top="270" w:right="239" w:bottom="1440" w:gutter="0" w:footer="0" w:header="0"/>
        </w:sectPr>
      </w:pPr>
    </w:p>
    <w:bookmarkStart w:id="2" w:name="page3"/>
    <w:bookmarkEnd w:id="2"/>
    <w:p>
      <w:pPr>
        <w:jc w:val="both"/>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acquired beneficial ownership of 4.99% or more of the Common Shares or (2) the 10th business day (or such later date as may be determined by the Board) after a person or group has first published, sent, or given a tender or exchange offer that would result in ownership by a person or group of 4.99% or more of the Common Shares.</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Any person or group of affiliated or associated persons who beneficially owns 4.99% or more of the outstanding Common Shares as of the announcement of the Plan will not be an Acquiring Person, but only for so long as such person or group does not become the beneficial owner of additional Common Shares equal to 0.10% or more of the Common Shares then outstanding.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date on which the Rights separate from the Common Shares and become exercisable is referred to as the “Distribution Date.”</w:t>
      </w:r>
    </w:p>
    <w:p>
      <w:pPr>
        <w:spacing w:after="0" w:line="225"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After the Distribution Date, the Company will mail Rights certificates to the Company’s stockholders as of the close of business on the Distribution Date and the Rights will become transferable apart from the Common Shares. Thereafter, such Rights certificates alone will represent the Rights.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Shares Purchasable Upon Exercise of Rights</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After the Distribution Date, each Right will entitle the holder to purchase, for the Exercise Price, one one-thousandth of a Preferred Share having economic and other terms similar to that of one Common Share. This portion of a Preferred Share is intended to give the stockholder approximately the same dividend, voting and liquidation rights as would one Common Share, and should approximate the value of one Common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More specifically, each one one-thousandth of a Preferred Share, if issued, will:</w:t>
      </w:r>
    </w:p>
    <w:p>
      <w:pPr>
        <w:spacing w:after="0" w:line="131"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not be redeemable;</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entitle holders to quarterly dividend payments of $0.001 per share, or an amount equal to the dividend paid on one Common Share, whichever is greater;</w:t>
      </w:r>
    </w:p>
    <w:p>
      <w:pPr>
        <w:spacing w:after="0" w:line="75"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entitle holders upon liquidation either to receive $1.00 per share or an amount equal to the payment made on one Common Share, whichever is greater;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have the same voting power as one Common Share; and</w:t>
      </w:r>
    </w:p>
    <w:p>
      <w:pPr>
        <w:spacing w:after="0" w:line="130" w:lineRule="exact"/>
        <w:rPr>
          <w:rFonts w:ascii="Arial" w:cs="Arial" w:eastAsia="Arial" w:hAnsi="Arial"/>
          <w:sz w:val="18"/>
          <w:szCs w:val="18"/>
          <w:color w:val="auto"/>
        </w:rPr>
      </w:pPr>
    </w:p>
    <w:p>
      <w:pPr>
        <w:ind w:left="900" w:right="52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entitle holders to a per share payment equal to the payment made on one Common Share if the Common Shares are exchanged via merger, consolidation or a similar transaction.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Flip-In Trigger</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If an Acquiring Person obtains beneficial ownership of 4.99% or more of the Common Shares, except pursuant to an offer for all outstanding Common Shares that the independent members of the Board determine to be fair and not inadequate and to otherwise be in the best interests of the Company and its stockholders after receiving advice from one or more investment banking firms, </w:t>
      </w:r>
      <w:r>
        <w:rPr>
          <w:rFonts w:ascii="Arial" w:cs="Arial" w:eastAsia="Arial" w:hAnsi="Arial"/>
          <w:sz w:val="18"/>
          <w:szCs w:val="18"/>
          <w:i w:val="1"/>
          <w:iCs w:val="1"/>
          <w:color w:val="auto"/>
        </w:rPr>
        <w:t>then</w:t>
      </w:r>
      <w:r>
        <w:rPr>
          <w:rFonts w:ascii="Arial" w:cs="Arial" w:eastAsia="Arial" w:hAnsi="Arial"/>
          <w:sz w:val="18"/>
          <w:szCs w:val="18"/>
          <w:color w:val="auto"/>
        </w:rPr>
        <w:t xml:space="preserve"> each Right will entitle the holder thereof to purchase, for the Exercise Price, a number of Common Shares (or, in certain circumstances, cash, property or other securities of the Company) having a then-current market value of twice the Exercise Price. However, the Rights are not exercisable following the occurrence of the foregoing event until such time as the Rights are no longer redeemable by the Company, as further described below.</w:t>
      </w:r>
    </w:p>
    <w:p>
      <w:pPr>
        <w:spacing w:after="0" w:line="193"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Following the occurrence of an event set forth in preceding paragraph, all Rights that are or, under certain circumstances specified in the Plan, were beneficially owned by an Acquiring Person or certain of its transferees will be null and void.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Flip-Over Trigger</w:t>
      </w:r>
    </w:p>
    <w:p>
      <w:pPr>
        <w:spacing w:after="0" w:line="11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 xml:space="preserve">If, after an Acquiring Person obtains 4.99% or more of the Common Shares, (1) the Company merges into another entity, (2) an acquiring entity merges into the Company or (3) the Company sells or transfers more than 50% of its assets, cash flow or earning power, </w:t>
      </w:r>
      <w:r>
        <w:rPr>
          <w:rFonts w:ascii="Arial" w:cs="Arial" w:eastAsia="Arial" w:hAnsi="Arial"/>
          <w:sz w:val="17"/>
          <w:szCs w:val="17"/>
          <w:i w:val="1"/>
          <w:iCs w:val="1"/>
          <w:color w:val="auto"/>
        </w:rPr>
        <w:t>then</w:t>
      </w:r>
      <w:r>
        <w:rPr>
          <w:rFonts w:ascii="Arial" w:cs="Arial" w:eastAsia="Arial" w:hAnsi="Arial"/>
          <w:sz w:val="17"/>
          <w:szCs w:val="17"/>
          <w:color w:val="auto"/>
        </w:rPr>
        <w:t xml:space="preserve"> each Right (except for Rights that have previously been voided as set forth above) will entitle the holder thereof to purchase, for the Exercise Price, a number of shares of common stock of the person engaging in the transaction having a then-current market value of twice the Exercise Price.</w:t>
      </w:r>
    </w:p>
    <w:p>
      <w:pPr>
        <w:sectPr>
          <w:pgSz w:w="11900" w:h="16838" w:orient="portrait"/>
          <w:cols w:equalWidth="0" w:num="1">
            <w:col w:w="11400"/>
          </w:cols>
          <w:pgMar w:left="240" w:top="274"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Redemption of the Rights</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Rights will be redeemable at the Company’s option for $0.01 per Right (payable in cash, Common Shares or other consideration deemed appropriate by the Board) at any time on or prior to the 10th business day (or such later date as may be determined by the Board) after the public announcement that an Acquiring Person has acquired beneficial ownership of 4.99% or more of the Common Shares. Immediately upon the action of the Board ordering redemption, the Rights will terminate and the only right of the holders of the Rights will be to receive the $0.01 redemption price. The redemption price will be adjusted if the Company undertakes a stock dividend or a stock split.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Provision</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At any time after the date on which an Acquiring Person beneficially owns 4.99% or more of the Common Shares and prior to the acquisition by the Acquiring Person of 50% of the Common Shares, the Board may exchange the Rights (except for Rights that have previously been voided as set forth above), in whole or in part, for Common Shares at an exchange ratio of one Common Share per Right (subject to adjustment). In certain circumstances, the Company may elect to exchange the Rights for cash or other securities of the Company having a value approximately equal to one Common Share.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Expiration of the Rights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Rights expire on the earliest of (1) 5:00 p.m., New York City time, on November 21, 2019 (unless such date is extended); (2) the redemption or exchange of the Rights as described above; (3) following (a) the first annual meeting of the stockholders of the Company after the adoption of the Plan if stockholders do not approve the Plan or (b) the first anniversary of the adoption of the Plan if the stockholders have not otherwise approved the Plan; (4) the repeal of Section 382 of the Code or any other change if the Board determines that the Plan is no longer necessary or desirable for the preservation of the Tax Benefits;</w:t>
      </w:r>
    </w:p>
    <w:p>
      <w:pPr>
        <w:spacing w:after="0" w:line="2" w:lineRule="exact"/>
        <w:rPr>
          <w:sz w:val="20"/>
          <w:szCs w:val="20"/>
          <w:color w:val="auto"/>
        </w:rPr>
      </w:pPr>
    </w:p>
    <w:p>
      <w:pPr>
        <w:ind w:right="160" w:firstLine="8"/>
        <w:spacing w:after="0" w:line="273" w:lineRule="auto"/>
        <w:tabs>
          <w:tab w:leader="none" w:pos="255"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time at which the Board determines that the Tax Benefits are fully utilized or no longer available pursuant to Section 382 of the Code or that an ownership change pursuant to Section 382 of the Code would not adversely impact in any material respect the time period in which the Company could use the Tax Benefits, or materially impair the amount of the Tax Benefits that could be used by the Company in any particular time period for applicable tax purposes; or (6) a determination by the Board that the Plan is no longer in the best interests of the Company and its stockholders.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of Terms of the Plan and the Rights</w:t>
      </w:r>
    </w:p>
    <w:p>
      <w:pPr>
        <w:spacing w:after="0" w:line="11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terms of the Rights and the Plan may be amended in any respect without the consent of the holders of the Rights on or prior to the Distribution Date. Thereafter, the terms of the Rights and the Plan may be amended without the consent of the holders of Rights in order to (1) cure any ambiguities, (2) shorten or lengthen any time period pursuant to the Plan or (3) make changes that do not adversely affect the interests of holders of the Rights.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 Other Stockholder Rights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Rights will not have any voting rights. Until a Right is exercised, the holder thereof, as such, will have no separate rights as stockholder of the Company.</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Anti-Dilution Provisions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Board may adjust the Exercise Price, the number of Preferred Shares issuable and the number of outstanding Rights to prevent dilution that may occur from a stock dividend, a stock split or a reclassification of the Preferred Shares or Common Shares.</w:t>
      </w:r>
    </w:p>
    <w:p>
      <w:pPr>
        <w:spacing w:after="0" w:line="170" w:lineRule="exact"/>
        <w:rPr>
          <w:sz w:val="20"/>
          <w:szCs w:val="20"/>
          <w:color w:val="auto"/>
        </w:rPr>
      </w:pPr>
    </w:p>
    <w:p>
      <w:pPr>
        <w:jc w:val="both"/>
        <w:ind w:right="140"/>
        <w:spacing w:after="0" w:line="342" w:lineRule="auto"/>
        <w:rPr>
          <w:sz w:val="20"/>
          <w:szCs w:val="20"/>
          <w:color w:val="auto"/>
        </w:rPr>
      </w:pPr>
      <w:r>
        <w:rPr>
          <w:rFonts w:ascii="Arial" w:cs="Arial" w:eastAsia="Arial" w:hAnsi="Arial"/>
          <w:sz w:val="16"/>
          <w:szCs w:val="16"/>
          <w:color w:val="auto"/>
        </w:rPr>
        <w:t>With certain exceptions, no adjustments to the Exercise Price will be made until the cumulative adjustments amount to at least 1% of the Exercise Price. No fractional Preferred Shares will be issued and, in lieu thereof, an adjustment in cash will be made based on the current market price of the Preferred Shares.</w:t>
      </w:r>
    </w:p>
    <w:p>
      <w:pPr>
        <w:sectPr>
          <w:pgSz w:w="11900" w:h="16838" w:orient="portrait"/>
          <w:cols w:equalWidth="0" w:num="1">
            <w:col w:w="11380"/>
          </w:cols>
          <w:pgMar w:left="240" w:top="274" w:right="27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Taxes</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distribution of Rights should not be taxable for federal income tax purposes. However, following an event that renders the Rights exercisable or upon redemption of the Rights, stockholders may recognize taxable income.</w:t>
      </w:r>
    </w:p>
    <w:p>
      <w:pPr>
        <w:spacing w:after="0" w:line="31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3.03</w:t>
      </w:r>
      <w:r>
        <w:rPr>
          <w:sz w:val="20"/>
          <w:szCs w:val="20"/>
          <w:color w:val="auto"/>
        </w:rPr>
        <w:tab/>
      </w:r>
      <w:r>
        <w:rPr>
          <w:rFonts w:ascii="Arial" w:cs="Arial" w:eastAsia="Arial" w:hAnsi="Arial"/>
          <w:sz w:val="16"/>
          <w:szCs w:val="16"/>
          <w:b w:val="1"/>
          <w:bCs w:val="1"/>
          <w:color w:val="auto"/>
        </w:rPr>
        <w:t>Material Modification to Rights of Security 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included in Item 1.01 and Item 5.03 of this Current Report on Form 8-K is incorporated by reference into this Item 3.03.</w:t>
      </w:r>
    </w:p>
    <w:p>
      <w:pPr>
        <w:spacing w:after="0" w:line="37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12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 connection with the adoption of the Plan, on November 21, 2016, the Company filed a Certificate of Designation of Rights, Preferences and Privileges of Series A Participating Preferred Stock (the “Certificate of Designation”) with the Secretary of State of the State of Delaware. The Certificate of Designation sets forth the rights, powers and preferences of the Preferred Shares.</w:t>
      </w:r>
    </w:p>
    <w:p>
      <w:pPr>
        <w:spacing w:after="0" w:line="181"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 summary of the rights, powers and preferences of the Preferred Shares as set forth in Item 1.01 of this Current Report on Form 8-K is incorporated by reference into this Item 5.03. A copy of the Certificate of Designation is attached as Exhibit 3.1 and is incorporated herein by reference.</w:t>
      </w:r>
    </w:p>
    <w:p>
      <w:pPr>
        <w:spacing w:after="0" w:line="268"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On November 22, 2016, the Company also issued a press release announcing the adoption of the Plan and the declaration of the dividend of the Rights. A copy of the press release is attached as Exhibit 99.1 and incorporated herein by reference.</w:t>
      </w:r>
    </w:p>
    <w:p>
      <w:pPr>
        <w:spacing w:after="0" w:line="31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400" w:type="dxa"/>
            <w:vAlign w:val="bottom"/>
            <w:vMerge w:val="restart"/>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8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No.</w:t>
            </w:r>
          </w:p>
        </w:tc>
        <w:tc>
          <w:tcPr>
            <w:tcW w:w="5400" w:type="dxa"/>
            <w:vAlign w:val="bottom"/>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460" w:type="dxa"/>
            <w:vAlign w:val="bottom"/>
          </w:tcPr>
          <w:p>
            <w:pPr>
              <w:jc w:val="right"/>
              <w:ind w:right="57"/>
              <w:spacing w:after="0"/>
              <w:rPr>
                <w:sz w:val="20"/>
                <w:szCs w:val="20"/>
                <w:color w:val="auto"/>
              </w:rPr>
            </w:pPr>
            <w:r>
              <w:rPr>
                <w:rFonts w:ascii="Arial" w:cs="Arial" w:eastAsia="Arial" w:hAnsi="Arial"/>
                <w:sz w:val="18"/>
                <w:szCs w:val="18"/>
                <w:color w:val="auto"/>
              </w:rPr>
              <w:t>3.1</w:t>
            </w: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rPr>
              <w:t>Certificate of Designation of Rights, Preferences and Privileges of Series A Participating Preferred Stock</w:t>
            </w:r>
          </w:p>
        </w:tc>
        <w:tc>
          <w:tcPr>
            <w:tcW w:w="0" w:type="dxa"/>
            <w:vAlign w:val="bottom"/>
          </w:tcPr>
          <w:p>
            <w:pPr>
              <w:spacing w:after="0"/>
              <w:rPr>
                <w:sz w:val="1"/>
                <w:szCs w:val="1"/>
                <w:color w:val="auto"/>
              </w:rPr>
            </w:pPr>
          </w:p>
        </w:tc>
      </w:tr>
      <w:tr>
        <w:trPr>
          <w:trHeight w:val="324"/>
        </w:trPr>
        <w:tc>
          <w:tcPr>
            <w:tcW w:w="460" w:type="dxa"/>
            <w:vAlign w:val="bottom"/>
          </w:tcPr>
          <w:p>
            <w:pPr>
              <w:jc w:val="right"/>
              <w:ind w:right="57"/>
              <w:spacing w:after="0"/>
              <w:rPr>
                <w:sz w:val="20"/>
                <w:szCs w:val="20"/>
                <w:color w:val="auto"/>
              </w:rPr>
            </w:pPr>
            <w:r>
              <w:rPr>
                <w:rFonts w:ascii="Arial" w:cs="Arial" w:eastAsia="Arial" w:hAnsi="Arial"/>
                <w:sz w:val="18"/>
                <w:szCs w:val="18"/>
                <w:color w:val="auto"/>
              </w:rPr>
              <w:t>4.1</w:t>
            </w: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w w:val="90"/>
              </w:rPr>
              <w:t>Tax Benefit Preservation Plan, dated as of November 21, 2016, by and between Fluidigm Corporation and Computershare Inc., as Rights Agent</w:t>
            </w:r>
          </w:p>
        </w:tc>
        <w:tc>
          <w:tcPr>
            <w:tcW w:w="0" w:type="dxa"/>
            <w:vAlign w:val="bottom"/>
          </w:tcPr>
          <w:p>
            <w:pPr>
              <w:spacing w:after="0"/>
              <w:rPr>
                <w:sz w:val="1"/>
                <w:szCs w:val="1"/>
                <w:color w:val="auto"/>
              </w:rPr>
            </w:pPr>
          </w:p>
        </w:tc>
      </w:tr>
      <w:tr>
        <w:trPr>
          <w:trHeight w:val="324"/>
        </w:trPr>
        <w:tc>
          <w:tcPr>
            <w:tcW w:w="460" w:type="dxa"/>
            <w:vAlign w:val="bottom"/>
          </w:tcPr>
          <w:p>
            <w:pPr>
              <w:jc w:val="right"/>
              <w:ind w:right="57"/>
              <w:spacing w:after="0"/>
              <w:rPr>
                <w:sz w:val="20"/>
                <w:szCs w:val="20"/>
                <w:color w:val="auto"/>
              </w:rPr>
            </w:pPr>
            <w:r>
              <w:rPr>
                <w:rFonts w:ascii="Arial" w:cs="Arial" w:eastAsia="Arial" w:hAnsi="Arial"/>
                <w:sz w:val="18"/>
                <w:szCs w:val="18"/>
                <w:color w:val="auto"/>
                <w:w w:val="85"/>
              </w:rPr>
              <w:t>99.1</w:t>
            </w: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rPr>
              <w:t>Press Release of Fluidigm Corporation, dated November 22, 2016</w:t>
            </w:r>
          </w:p>
        </w:tc>
        <w:tc>
          <w:tcPr>
            <w:tcW w:w="0" w:type="dxa"/>
            <w:vAlign w:val="bottom"/>
          </w:tcPr>
          <w:p>
            <w:pPr>
              <w:spacing w:after="0"/>
              <w:rPr>
                <w:sz w:val="1"/>
                <w:szCs w:val="1"/>
                <w:color w:val="auto"/>
              </w:rPr>
            </w:pPr>
          </w:p>
        </w:tc>
      </w:tr>
    </w:tbl>
    <w:p>
      <w:pPr>
        <w:sectPr>
          <w:pgSz w:w="11900" w:h="16838" w:orient="portrait"/>
          <w:cols w:equalWidth="0" w:num="1">
            <w:col w:w="11380"/>
          </w:cols>
          <w:pgMar w:left="240" w:top="274" w:right="279" w:bottom="1440" w:gutter="0" w:footer="0" w:header="0"/>
        </w:sectPr>
      </w:pPr>
    </w:p>
    <w:bookmarkStart w:id="5" w:name="page6"/>
    <w:bookmarkEnd w:id="5"/>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FLUIDIGM CORPORATION</w:t>
      </w:r>
    </w:p>
    <w:p>
      <w:pPr>
        <w:spacing w:after="0" w:line="229"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November 22, 2016</w:t>
      </w:r>
      <w:r>
        <w:rPr>
          <w:sz w:val="20"/>
          <w:szCs w:val="20"/>
          <w:color w:val="auto"/>
        </w:rPr>
        <w:tab/>
      </w:r>
      <w:r>
        <w:rPr>
          <w:rFonts w:ascii="Arial" w:cs="Arial" w:eastAsia="Arial" w:hAnsi="Arial"/>
          <w:sz w:val="16"/>
          <w:szCs w:val="16"/>
          <w:color w:val="auto"/>
        </w:rPr>
        <w:t>By:  /s/ Nicholas Khadder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Nicholas Khadder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Senior Vice President, Legal Affairs, General Counsel, Chief</w:t>
      </w:r>
    </w:p>
    <w:p>
      <w:pPr>
        <w:spacing w:after="0" w:line="3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Compliance Officer and Secretary</w:t>
      </w:r>
    </w:p>
    <w:p>
      <w:pPr>
        <w:sectPr>
          <w:pgSz w:w="11900" w:h="16838" w:orient="portrait"/>
          <w:cols w:equalWidth="0" w:num="1">
            <w:col w:w="10740"/>
          </w:cols>
          <w:pgMar w:left="240" w:top="270" w:right="9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6000" w:type="dxa"/>
            <w:vAlign w:val="bottom"/>
            <w:gridSpan w:val="2"/>
          </w:tcPr>
          <w:p>
            <w:pPr>
              <w:ind w:left="45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280" w:type="dxa"/>
            <w:vAlign w:val="bottom"/>
          </w:tcPr>
          <w:p>
            <w:pPr>
              <w:spacing w:after="0"/>
              <w:rPr>
                <w:sz w:val="24"/>
                <w:szCs w:val="24"/>
                <w:color w:val="auto"/>
              </w:rPr>
            </w:pPr>
          </w:p>
        </w:tc>
        <w:tc>
          <w:tcPr>
            <w:tcW w:w="72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8"/>
              </w:rPr>
              <w:t>Description</w:t>
            </w: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528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100"/>
        <w:spacing w:after="0"/>
        <w:tabs>
          <w:tab w:leader="none" w:pos="7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Certificate of Designation of Rights, Preferences and Privileges of Series A Participating Preferred Stock</w:t>
      </w:r>
    </w:p>
    <w:p>
      <w:pPr>
        <w:spacing w:after="0" w:line="117"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Tax Benefit Preservation Plan, dated as of November 21, 2016, by and between Fluidigm Corporation and Computershare Inc., as Rights Agent</w:t>
      </w:r>
    </w:p>
    <w:p>
      <w:pPr>
        <w:spacing w:after="0" w:line="11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of Fluidigm Corporation, dated November 22, 2016</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140"/>
          </w:cols>
          <w:pgMar w:left="240" w:top="270" w:right="51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ind w:left="260" w:right="2260"/>
        <w:spacing w:after="0" w:line="266" w:lineRule="auto"/>
        <w:rPr>
          <w:sz w:val="20"/>
          <w:szCs w:val="20"/>
          <w:color w:val="auto"/>
        </w:rPr>
      </w:pPr>
      <w:r>
        <w:rPr>
          <w:rFonts w:ascii="Arial" w:cs="Arial" w:eastAsia="Arial" w:hAnsi="Arial"/>
          <w:sz w:val="18"/>
          <w:szCs w:val="18"/>
          <w:b w:val="1"/>
          <w:bCs w:val="1"/>
          <w:color w:val="auto"/>
        </w:rPr>
        <w:t>CERTIFICATE OF DESIGNATION OF RIGHTS, PREFERENCES AND PRIVILEGES OF SERIES A PARTICIPATING PREFERRED STOCK OF FLUIDIGM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209550</wp:posOffset>
            </wp:positionV>
            <wp:extent cx="30441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151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Corporation Law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237490</wp:posOffset>
            </wp:positionV>
            <wp:extent cx="30441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jc w:val="both"/>
        <w:ind w:right="60" w:firstLine="456"/>
        <w:spacing w:after="0" w:line="282" w:lineRule="auto"/>
        <w:rPr>
          <w:sz w:val="20"/>
          <w:szCs w:val="20"/>
          <w:color w:val="auto"/>
        </w:rPr>
      </w:pPr>
      <w:r>
        <w:rPr>
          <w:rFonts w:ascii="Arial" w:cs="Arial" w:eastAsia="Arial" w:hAnsi="Arial"/>
          <w:sz w:val="18"/>
          <w:szCs w:val="18"/>
          <w:color w:val="auto"/>
        </w:rPr>
        <w:t>FLUIDIGM CORPORATION, a corporation organized and existing under the General Corporation Law of the State of Delaware (the “</w:t>
      </w:r>
      <w:r>
        <w:rPr>
          <w:rFonts w:ascii="Arial" w:cs="Arial" w:eastAsia="Arial" w:hAnsi="Arial"/>
          <w:sz w:val="18"/>
          <w:szCs w:val="18"/>
          <w:b w:val="1"/>
          <w:bCs w:val="1"/>
          <w:color w:val="auto"/>
        </w:rPr>
        <w:t>Corporation</w:t>
      </w:r>
      <w:r>
        <w:rPr>
          <w:rFonts w:ascii="Arial" w:cs="Arial" w:eastAsia="Arial" w:hAnsi="Arial"/>
          <w:sz w:val="18"/>
          <w:szCs w:val="18"/>
          <w:color w:val="auto"/>
        </w:rPr>
        <w:t>”), in accordance with the provisions of Section 103 thereof, does hereby certify:</w:t>
      </w:r>
    </w:p>
    <w:p>
      <w:pPr>
        <w:spacing w:after="0" w:line="162" w:lineRule="exact"/>
        <w:rPr>
          <w:sz w:val="20"/>
          <w:szCs w:val="20"/>
          <w:color w:val="auto"/>
        </w:rPr>
      </w:pPr>
    </w:p>
    <w:p>
      <w:pPr>
        <w:jc w:val="both"/>
        <w:ind w:right="40" w:firstLine="456"/>
        <w:spacing w:after="0" w:line="266" w:lineRule="auto"/>
        <w:rPr>
          <w:sz w:val="20"/>
          <w:szCs w:val="20"/>
          <w:color w:val="auto"/>
        </w:rPr>
      </w:pPr>
      <w:r>
        <w:rPr>
          <w:rFonts w:ascii="Arial" w:cs="Arial" w:eastAsia="Arial" w:hAnsi="Arial"/>
          <w:sz w:val="18"/>
          <w:szCs w:val="18"/>
          <w:color w:val="auto"/>
        </w:rPr>
        <w:t>That pursuant to the authority conferred upon the Board of Directors of the Corporation (the “</w:t>
      </w:r>
      <w:r>
        <w:rPr>
          <w:rFonts w:ascii="Arial" w:cs="Arial" w:eastAsia="Arial" w:hAnsi="Arial"/>
          <w:sz w:val="18"/>
          <w:szCs w:val="18"/>
          <w:b w:val="1"/>
          <w:bCs w:val="1"/>
          <w:color w:val="auto"/>
        </w:rPr>
        <w:t>Board</w:t>
      </w:r>
      <w:r>
        <w:rPr>
          <w:rFonts w:ascii="Arial" w:cs="Arial" w:eastAsia="Arial" w:hAnsi="Arial"/>
          <w:sz w:val="18"/>
          <w:szCs w:val="18"/>
          <w:color w:val="auto"/>
        </w:rPr>
        <w:t>”) by the Eighth Amended and Restated Certificate of Incorporation of the Corporation, on November 21, 2016, the Board adopted the following resolutions creating a series of preferred stock, par value $0.001 per share (“</w:t>
      </w:r>
      <w:r>
        <w:rPr>
          <w:rFonts w:ascii="Arial" w:cs="Arial" w:eastAsia="Arial" w:hAnsi="Arial"/>
          <w:sz w:val="18"/>
          <w:szCs w:val="18"/>
          <w:b w:val="1"/>
          <w:bCs w:val="1"/>
          <w:color w:val="auto"/>
        </w:rPr>
        <w:t>Preferred Stock</w:t>
      </w:r>
      <w:r>
        <w:rPr>
          <w:rFonts w:ascii="Arial" w:cs="Arial" w:eastAsia="Arial" w:hAnsi="Arial"/>
          <w:sz w:val="18"/>
          <w:szCs w:val="18"/>
          <w:color w:val="auto"/>
        </w:rPr>
        <w:t>”), of the Corporation designated as Series A Participating Preferred Stock:</w:t>
      </w:r>
    </w:p>
    <w:p>
      <w:pPr>
        <w:spacing w:after="0" w:line="176" w:lineRule="exact"/>
        <w:rPr>
          <w:sz w:val="20"/>
          <w:szCs w:val="20"/>
          <w:color w:val="auto"/>
        </w:rPr>
      </w:pPr>
    </w:p>
    <w:p>
      <w:pPr>
        <w:ind w:right="180" w:firstLine="456"/>
        <w:spacing w:after="0" w:line="261"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pursuant to the authority vested in the Board by the Eighth Amended and Restated Certificate of Incorporation of the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color w:val="auto"/>
        </w:rPr>
        <w:t>Charter</w:t>
      </w:r>
      <w:r>
        <w:rPr>
          <w:rFonts w:ascii="Arial" w:cs="Arial" w:eastAsia="Arial" w:hAnsi="Arial"/>
          <w:sz w:val="18"/>
          <w:szCs w:val="18"/>
          <w:color w:val="auto"/>
        </w:rPr>
        <w:t>”), the Board does hereby provide for the issuance of a series of Preferred Stock of the Corporation and does hereby fix and herein state and express the designations, powers, preferences and relative and other special rights, and the qualifications, limitations and restrictions, of such series of Preferred Stock as follows:</w:t>
      </w:r>
    </w:p>
    <w:p>
      <w:pPr>
        <w:spacing w:after="0" w:line="180" w:lineRule="exact"/>
        <w:rPr>
          <w:sz w:val="20"/>
          <w:szCs w:val="20"/>
          <w:color w:val="auto"/>
        </w:rPr>
      </w:pPr>
    </w:p>
    <w:p>
      <w:pPr>
        <w:ind w:firstLine="456"/>
        <w:spacing w:after="0" w:line="274"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i w:val="1"/>
          <w:iCs w:val="1"/>
          <w:color w:val="auto"/>
        </w:rPr>
        <w:t>Designation and Amount</w:t>
      </w:r>
      <w:r>
        <w:rPr>
          <w:rFonts w:ascii="Arial" w:cs="Arial" w:eastAsia="Arial" w:hAnsi="Arial"/>
          <w:sz w:val="17"/>
          <w:szCs w:val="17"/>
          <w:color w:val="auto"/>
        </w:rPr>
        <w:t>. The shares of such series shall be designated as “</w:t>
      </w:r>
      <w:r>
        <w:rPr>
          <w:rFonts w:ascii="Arial" w:cs="Arial" w:eastAsia="Arial" w:hAnsi="Arial"/>
          <w:sz w:val="17"/>
          <w:szCs w:val="17"/>
          <w:b w:val="1"/>
          <w:bCs w:val="1"/>
          <w:color w:val="auto"/>
        </w:rPr>
        <w:t>Series A Participating Preferred Stock</w:t>
      </w:r>
      <w:r>
        <w:rPr>
          <w:rFonts w:ascii="Arial" w:cs="Arial" w:eastAsia="Arial" w:hAnsi="Arial"/>
          <w:sz w:val="17"/>
          <w:szCs w:val="17"/>
          <w:color w:val="auto"/>
        </w:rPr>
        <w:t xml:space="preserve">.” The Series A Participating Preferred Stock shall have a par value of $0.001 per share, and the number of shares constituting such series shall be 50,000. Such number of shares may be increased or decreased by resolution of the Board;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decrease shall reduce the number of shares of Series A Participating Preferred Stock to a number less than the number of shares then outstanding plus the number of shares reserved for issuance upon the exercise of outstanding options, rights or warrants or upon the exercise of any options, rights or warrants issuable upon conversion of any outstanding securities issued by the Corporation convertible into Series A Participating Preferred Stock.</w:t>
      </w:r>
    </w:p>
    <w:p>
      <w:pPr>
        <w:spacing w:after="0" w:line="178"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i w:val="1"/>
          <w:iCs w:val="1"/>
          <w:color w:val="auto"/>
        </w:rPr>
        <w:t>Proportional Adjustment</w:t>
      </w:r>
      <w:r>
        <w:rPr>
          <w:rFonts w:ascii="Arial" w:cs="Arial" w:eastAsia="Arial" w:hAnsi="Arial"/>
          <w:sz w:val="16"/>
          <w:szCs w:val="16"/>
          <w:color w:val="auto"/>
        </w:rPr>
        <w:t>. In the event that the Corporation shall at any time after the issuance of any share or shares of Series A Participating Preferred Stock (the “</w:t>
      </w:r>
      <w:r>
        <w:rPr>
          <w:rFonts w:ascii="Arial" w:cs="Arial" w:eastAsia="Arial" w:hAnsi="Arial"/>
          <w:sz w:val="16"/>
          <w:szCs w:val="16"/>
          <w:b w:val="1"/>
          <w:bCs w:val="1"/>
          <w:color w:val="auto"/>
        </w:rPr>
        <w:t>Rights Declaration Date</w:t>
      </w:r>
      <w:r>
        <w:rPr>
          <w:rFonts w:ascii="Arial" w:cs="Arial" w:eastAsia="Arial" w:hAnsi="Arial"/>
          <w:sz w:val="16"/>
          <w:szCs w:val="16"/>
          <w:color w:val="auto"/>
        </w:rPr>
        <w:t>”) (a) declare any dividend on the common stock of the Corporation, par value $0.001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payable in shares of Common Stock, (b) subdivide the outstanding Common Stock or (c) combine the outstanding Common Stock into a smaller number of shares, then in each such case the Corporation shall simultaneously effect a proportional adjustment to the number of outstanding shares of Series A Participating Preferred Stock by an amount the numerator of which is the number of shares of Common Stock outstanding immediately after such event and the denominator of which is the number of shares of Common Stock that were outstanding immediately prior to such event.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8" w:name="page9"/>
    <w:bookmarkEnd w:id="8"/>
    <w:p>
      <w:pPr>
        <w:ind w:left="460"/>
        <w:spacing w:after="0"/>
        <w:tabs>
          <w:tab w:leader="none" w:pos="13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3.</w:t>
      </w:r>
      <w:r>
        <w:rPr>
          <w:sz w:val="20"/>
          <w:szCs w:val="20"/>
          <w:color w:val="auto"/>
        </w:rPr>
        <w:tab/>
      </w:r>
      <w:r>
        <w:rPr>
          <w:rFonts w:ascii="Arial" w:cs="Arial" w:eastAsia="Arial" w:hAnsi="Arial"/>
          <w:sz w:val="16"/>
          <w:szCs w:val="16"/>
          <w:i w:val="1"/>
          <w:iCs w:val="1"/>
          <w:color w:val="auto"/>
        </w:rPr>
        <w:t>Dividends and Distributions</w:t>
      </w:r>
      <w:r>
        <w:rPr>
          <w:rFonts w:ascii="Arial" w:cs="Arial" w:eastAsia="Arial" w:hAnsi="Arial"/>
          <w:sz w:val="16"/>
          <w:szCs w:val="16"/>
          <w:color w:val="auto"/>
        </w:rPr>
        <w:t>.</w:t>
      </w:r>
    </w:p>
    <w:p>
      <w:pPr>
        <w:spacing w:after="0" w:line="117" w:lineRule="exact"/>
        <w:rPr>
          <w:sz w:val="20"/>
          <w:szCs w:val="20"/>
          <w:color w:val="auto"/>
        </w:rPr>
      </w:pPr>
    </w:p>
    <w:p>
      <w:pPr>
        <w:ind w:firstLine="921"/>
        <w:spacing w:after="0" w:line="270" w:lineRule="auto"/>
        <w:tabs>
          <w:tab w:leader="none" w:pos="1293" w:val="left"/>
        </w:tabs>
        <w:numPr>
          <w:ilvl w:val="0"/>
          <w:numId w:val="6"/>
        </w:numPr>
        <w:rPr>
          <w:rFonts w:ascii="Arial" w:cs="Arial" w:eastAsia="Arial" w:hAnsi="Arial"/>
          <w:sz w:val="17"/>
          <w:szCs w:val="17"/>
          <w:color w:val="auto"/>
        </w:rPr>
      </w:pPr>
      <w:r>
        <w:rPr>
          <w:rFonts w:ascii="Arial" w:cs="Arial" w:eastAsia="Arial" w:hAnsi="Arial"/>
          <w:sz w:val="17"/>
          <w:szCs w:val="17"/>
          <w:color w:val="auto"/>
        </w:rPr>
        <w:t>Subject to Section 2 and to the prior and superior rights of the holders of any shares of any series of Preferred Stock ranking prior and superior to the shares of Series A Participating Preferred Stock with respect to dividends, the holders of shares of Series A Participating Preferred Stock shall be entitled to receive, when, as and if declared by the Board out of funds legally available for the purpose, quarterly dividends payable in cash on the last day of October, January, April and July in each year (each such date being referred to herein as a “</w:t>
      </w:r>
      <w:r>
        <w:rPr>
          <w:rFonts w:ascii="Arial" w:cs="Arial" w:eastAsia="Arial" w:hAnsi="Arial"/>
          <w:sz w:val="17"/>
          <w:szCs w:val="17"/>
          <w:b w:val="1"/>
          <w:bCs w:val="1"/>
          <w:color w:val="auto"/>
        </w:rPr>
        <w:t>Quarterly Dividend Payment Date</w:t>
      </w:r>
      <w:r>
        <w:rPr>
          <w:rFonts w:ascii="Arial" w:cs="Arial" w:eastAsia="Arial" w:hAnsi="Arial"/>
          <w:sz w:val="17"/>
          <w:szCs w:val="17"/>
          <w:color w:val="auto"/>
        </w:rPr>
        <w:t>”), commencing on the first Quarterly Dividend Payment Date after the first issuance of a share or fraction of a share of Series A Participating Preferred Stock, in an amount per share (rounded to the nearest cent) equal to the greater of (i) $1.00 and (ii) subject to Section 2, 1,000 times the aggregate per share amount of all cash dividends, and 1,000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 Participating Preferred Stock.</w:t>
      </w:r>
    </w:p>
    <w:p>
      <w:pPr>
        <w:spacing w:after="0" w:line="177" w:lineRule="exact"/>
        <w:rPr>
          <w:rFonts w:ascii="Arial" w:cs="Arial" w:eastAsia="Arial" w:hAnsi="Arial"/>
          <w:sz w:val="17"/>
          <w:szCs w:val="17"/>
          <w:color w:val="auto"/>
        </w:rPr>
      </w:pPr>
    </w:p>
    <w:p>
      <w:pPr>
        <w:ind w:right="20" w:firstLine="921"/>
        <w:spacing w:after="0" w:line="25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Corporation shall declare a dividend or distribution on the Series A Participating Preferred Stock as provided in paragraph (a) above immediately after it declares a dividend or distribution on the Common Stock (other than a dividend payable in shares of Common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the event that no dividend or distribution shall have been declared on the Common Stock during the period between any Quarterly Dividend Payment Date and the next subsequent Quarterly Dividend Payment Date, a dividend of $1.00 per share on the Series A Participating Preferred Stock shall nevertheless be payable on such subsequent Quarterly Dividend Payment Date.</w:t>
      </w:r>
    </w:p>
    <w:p>
      <w:pPr>
        <w:spacing w:after="0" w:line="188" w:lineRule="exact"/>
        <w:rPr>
          <w:rFonts w:ascii="Arial" w:cs="Arial" w:eastAsia="Arial" w:hAnsi="Arial"/>
          <w:sz w:val="18"/>
          <w:szCs w:val="18"/>
          <w:color w:val="auto"/>
        </w:rPr>
      </w:pPr>
    </w:p>
    <w:p>
      <w:pPr>
        <w:ind w:firstLine="921"/>
        <w:spacing w:after="0" w:line="270" w:lineRule="auto"/>
        <w:tabs>
          <w:tab w:leader="none" w:pos="1293" w:val="left"/>
        </w:tabs>
        <w:numPr>
          <w:ilvl w:val="0"/>
          <w:numId w:val="6"/>
        </w:numPr>
        <w:rPr>
          <w:rFonts w:ascii="Arial" w:cs="Arial" w:eastAsia="Arial" w:hAnsi="Arial"/>
          <w:sz w:val="17"/>
          <w:szCs w:val="17"/>
          <w:color w:val="auto"/>
        </w:rPr>
      </w:pPr>
      <w:r>
        <w:rPr>
          <w:rFonts w:ascii="Arial" w:cs="Arial" w:eastAsia="Arial" w:hAnsi="Arial"/>
          <w:sz w:val="17"/>
          <w:szCs w:val="17"/>
          <w:color w:val="auto"/>
        </w:rPr>
        <w:t>Dividends shall begin to accrue and be cumulative on outstanding shares of Series A Participating Preferred Stock from the Quarterly Dividend Payment Date next preceding the date of issue of such shares of Series A Participating Preferred Stock,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 Participating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A Participating Preferred Stock in an amount less than the total amount of such dividends at the time accrued and payable on such shares shall be allocated pro rata on a share-by-share basis among all such shares at the time outstanding. The Board may fix a record date for the determination of holders of shares of Series A Participating Preferred Stock entitled to receive payment of a dividend or distribution declared thereon, which record date shall be no more than 60 days prior to the date fixed for the payment thereof.</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9" w:name="page10"/>
    <w:bookmarkEnd w:id="9"/>
    <w:p>
      <w:pPr>
        <w:ind w:left="452"/>
        <w:spacing w:after="0"/>
        <w:tabs>
          <w:tab w:leader="none" w:pos="133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4.</w:t>
      </w:r>
      <w:r>
        <w:rPr>
          <w:sz w:val="20"/>
          <w:szCs w:val="20"/>
          <w:color w:val="auto"/>
        </w:rPr>
        <w:tab/>
      </w:r>
      <w:r>
        <w:rPr>
          <w:rFonts w:ascii="Arial" w:cs="Arial" w:eastAsia="Arial" w:hAnsi="Arial"/>
          <w:sz w:val="16"/>
          <w:szCs w:val="16"/>
          <w:i w:val="1"/>
          <w:iCs w:val="1"/>
          <w:color w:val="auto"/>
        </w:rPr>
        <w:t>Voting Rights</w:t>
      </w:r>
      <w:r>
        <w:rPr>
          <w:rFonts w:ascii="Arial" w:cs="Arial" w:eastAsia="Arial" w:hAnsi="Arial"/>
          <w:sz w:val="16"/>
          <w:szCs w:val="16"/>
          <w:color w:val="auto"/>
        </w:rPr>
        <w:t>. The holders of shares of Series A Participating Preferred Stock shall have the following voting rights:</w:t>
      </w:r>
    </w:p>
    <w:p>
      <w:pPr>
        <w:spacing w:after="0" w:line="225" w:lineRule="exact"/>
        <w:rPr>
          <w:sz w:val="20"/>
          <w:szCs w:val="20"/>
          <w:color w:val="auto"/>
        </w:rPr>
      </w:pPr>
    </w:p>
    <w:p>
      <w:pPr>
        <w:ind w:left="-8" w:right="280" w:firstLine="921"/>
        <w:spacing w:after="0" w:line="288" w:lineRule="auto"/>
        <w:tabs>
          <w:tab w:leader="none" w:pos="1285" w:val="left"/>
        </w:tabs>
        <w:numPr>
          <w:ilvl w:val="1"/>
          <w:numId w:val="7"/>
        </w:numPr>
        <w:rPr>
          <w:rFonts w:ascii="Arial" w:cs="Arial" w:eastAsia="Arial" w:hAnsi="Arial"/>
          <w:sz w:val="16"/>
          <w:szCs w:val="16"/>
          <w:color w:val="auto"/>
        </w:rPr>
      </w:pPr>
      <w:r>
        <w:rPr>
          <w:rFonts w:ascii="Arial" w:cs="Arial" w:eastAsia="Arial" w:hAnsi="Arial"/>
          <w:sz w:val="16"/>
          <w:szCs w:val="16"/>
          <w:color w:val="auto"/>
        </w:rPr>
        <w:t>Subject to the provision for adjustment hereinafter set forth, each share of Series A Participating Preferred Stock shall entitle the holder thereof to 1,000 votes on all matters submitted to a vote of the stockholders of the Corporation. In the event that the Corporation shall at any time after the Rights Declaration Date (i) declare any dividend on Common Stock payable in shares of Common Stock, (ii) subdivide the outstanding Common Stock or</w:t>
      </w:r>
    </w:p>
    <w:p>
      <w:pPr>
        <w:ind w:left="-8" w:right="20" w:firstLine="8"/>
        <w:spacing w:after="0" w:line="254" w:lineRule="auto"/>
        <w:tabs>
          <w:tab w:leader="none" w:pos="307"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combine the outstanding Common Stock into a smaller number of shares, then in each such case the number of votes per share to which holders of shares of Series A Participating Preferred Stock were entitled immediately prior to such event shall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89" w:lineRule="exact"/>
        <w:rPr>
          <w:rFonts w:ascii="Arial" w:cs="Arial" w:eastAsia="Arial" w:hAnsi="Arial"/>
          <w:sz w:val="18"/>
          <w:szCs w:val="18"/>
          <w:color w:val="auto"/>
        </w:rPr>
      </w:pPr>
    </w:p>
    <w:p>
      <w:pPr>
        <w:jc w:val="both"/>
        <w:ind w:left="-8" w:right="260" w:firstLine="921"/>
        <w:spacing w:after="0" w:line="312" w:lineRule="auto"/>
        <w:tabs>
          <w:tab w:leader="none" w:pos="1295" w:val="left"/>
        </w:tabs>
        <w:numPr>
          <w:ilvl w:val="1"/>
          <w:numId w:val="8"/>
        </w:numPr>
        <w:rPr>
          <w:rFonts w:ascii="Arial" w:cs="Arial" w:eastAsia="Arial" w:hAnsi="Arial"/>
          <w:sz w:val="16"/>
          <w:szCs w:val="16"/>
          <w:color w:val="auto"/>
        </w:rPr>
      </w:pPr>
      <w:r>
        <w:rPr>
          <w:rFonts w:ascii="Arial" w:cs="Arial" w:eastAsia="Arial" w:hAnsi="Arial"/>
          <w:sz w:val="16"/>
          <w:szCs w:val="16"/>
          <w:color w:val="auto"/>
        </w:rPr>
        <w:t>Except as otherwise provided herein, in any other Certificate of Designation creating a series of Preferred Stock or any similar stock, the Charter or the Amended and Restated Bylaws of the Corporation (the “</w:t>
      </w:r>
      <w:r>
        <w:rPr>
          <w:rFonts w:ascii="Arial" w:cs="Arial" w:eastAsia="Arial" w:hAnsi="Arial"/>
          <w:sz w:val="16"/>
          <w:szCs w:val="16"/>
          <w:b w:val="1"/>
          <w:bCs w:val="1"/>
          <w:color w:val="auto"/>
        </w:rPr>
        <w:t>Bylaws</w:t>
      </w:r>
      <w:r>
        <w:rPr>
          <w:rFonts w:ascii="Arial" w:cs="Arial" w:eastAsia="Arial" w:hAnsi="Arial"/>
          <w:sz w:val="16"/>
          <w:szCs w:val="16"/>
          <w:color w:val="auto"/>
        </w:rPr>
        <w:t>”), or by law, the holders of shares of Series A Participating Preferred Stock and the holders of shares of Common Stock shall vote together as one class on all matters submitted to a vote of stockholders of the Corporation.</w:t>
      </w:r>
    </w:p>
    <w:p>
      <w:pPr>
        <w:spacing w:after="0" w:line="146" w:lineRule="exact"/>
        <w:rPr>
          <w:rFonts w:ascii="Arial" w:cs="Arial" w:eastAsia="Arial" w:hAnsi="Arial"/>
          <w:sz w:val="16"/>
          <w:szCs w:val="16"/>
          <w:color w:val="auto"/>
        </w:rPr>
      </w:pPr>
    </w:p>
    <w:p>
      <w:pPr>
        <w:ind w:left="-8" w:right="40" w:firstLine="921"/>
        <w:spacing w:after="0" w:line="264" w:lineRule="auto"/>
        <w:tabs>
          <w:tab w:leader="none" w:pos="1285" w:val="left"/>
        </w:tabs>
        <w:numPr>
          <w:ilvl w:val="1"/>
          <w:numId w:val="8"/>
        </w:numPr>
        <w:rPr>
          <w:rFonts w:ascii="Arial" w:cs="Arial" w:eastAsia="Arial" w:hAnsi="Arial"/>
          <w:sz w:val="18"/>
          <w:szCs w:val="18"/>
          <w:color w:val="auto"/>
        </w:rPr>
      </w:pPr>
      <w:r>
        <w:rPr>
          <w:rFonts w:ascii="Arial" w:cs="Arial" w:eastAsia="Arial" w:hAnsi="Arial"/>
          <w:sz w:val="18"/>
          <w:szCs w:val="18"/>
          <w:color w:val="auto"/>
        </w:rPr>
        <w:t>Except as set forth herein or as required by law, the holders of Series A Participating Preferred Stock shall have no special voting rights and their consent shall not be required (except to the extent that they are entitled to vote with holders of Common Stock as set forth herein) for taking any corporate action.</w:t>
      </w:r>
    </w:p>
    <w:p>
      <w:pPr>
        <w:spacing w:after="0" w:line="181" w:lineRule="exact"/>
        <w:rPr>
          <w:rFonts w:ascii="Arial" w:cs="Arial" w:eastAsia="Arial" w:hAnsi="Arial"/>
          <w:sz w:val="18"/>
          <w:szCs w:val="18"/>
          <w:color w:val="auto"/>
        </w:rPr>
      </w:pPr>
    </w:p>
    <w:p>
      <w:pPr>
        <w:ind w:left="-8" w:firstLine="921"/>
        <w:spacing w:after="0" w:line="255" w:lineRule="auto"/>
        <w:tabs>
          <w:tab w:leader="none" w:pos="1295" w:val="left"/>
        </w:tabs>
        <w:numPr>
          <w:ilvl w:val="1"/>
          <w:numId w:val="8"/>
        </w:numPr>
        <w:rPr>
          <w:rFonts w:ascii="Arial" w:cs="Arial" w:eastAsia="Arial" w:hAnsi="Arial"/>
          <w:sz w:val="18"/>
          <w:szCs w:val="18"/>
          <w:color w:val="auto"/>
        </w:rPr>
      </w:pPr>
      <w:r>
        <w:rPr>
          <w:rFonts w:ascii="Arial" w:cs="Arial" w:eastAsia="Arial" w:hAnsi="Arial"/>
          <w:sz w:val="18"/>
          <w:szCs w:val="18"/>
          <w:color w:val="auto"/>
        </w:rPr>
        <w:t>(i) If at any time dividends on any Series A Participating Preferred Stock shall be in arrears in an amount equal to six quarterly dividends thereon, then the occurrence of such contingency shall mark the beginning of a period (herein called a “</w:t>
      </w:r>
      <w:r>
        <w:rPr>
          <w:rFonts w:ascii="Arial" w:cs="Arial" w:eastAsia="Arial" w:hAnsi="Arial"/>
          <w:sz w:val="18"/>
          <w:szCs w:val="18"/>
          <w:b w:val="1"/>
          <w:bCs w:val="1"/>
          <w:color w:val="auto"/>
        </w:rPr>
        <w:t>default period</w:t>
      </w:r>
      <w:r>
        <w:rPr>
          <w:rFonts w:ascii="Arial" w:cs="Arial" w:eastAsia="Arial" w:hAnsi="Arial"/>
          <w:sz w:val="18"/>
          <w:szCs w:val="18"/>
          <w:color w:val="auto"/>
        </w:rPr>
        <w:t>”) that shall extend until such time as all accrued and unpaid dividends for all previous quarterly dividend periods and for the current quarterly dividend period on all shares of Series A Participating Preferred Stock then outstanding shall have been declared and paid or set apart for payment. During each default period, all holders of Preferred Stock (including holders of Series A Participating Preferred Stock) with dividends in arrears in an amount equal to six quarterly dividends thereon, voting as a class, irrespective of series, shall have the right to elect two directors.</w:t>
      </w:r>
    </w:p>
    <w:p>
      <w:pPr>
        <w:spacing w:after="0" w:line="193" w:lineRule="exact"/>
        <w:rPr>
          <w:rFonts w:ascii="Arial" w:cs="Arial" w:eastAsia="Arial" w:hAnsi="Arial"/>
          <w:sz w:val="18"/>
          <w:szCs w:val="18"/>
          <w:color w:val="auto"/>
        </w:rPr>
      </w:pPr>
    </w:p>
    <w:p>
      <w:pPr>
        <w:ind w:left="-8" w:right="120" w:firstLine="1492"/>
        <w:spacing w:after="0" w:line="257" w:lineRule="auto"/>
        <w:tabs>
          <w:tab w:leader="none" w:pos="1875" w:val="left"/>
        </w:tabs>
        <w:numPr>
          <w:ilvl w:val="2"/>
          <w:numId w:val="8"/>
        </w:numPr>
        <w:rPr>
          <w:rFonts w:ascii="Arial" w:cs="Arial" w:eastAsia="Arial" w:hAnsi="Arial"/>
          <w:sz w:val="18"/>
          <w:szCs w:val="18"/>
          <w:color w:val="auto"/>
        </w:rPr>
      </w:pPr>
      <w:r>
        <w:rPr>
          <w:rFonts w:ascii="Arial" w:cs="Arial" w:eastAsia="Arial" w:hAnsi="Arial"/>
          <w:sz w:val="18"/>
          <w:szCs w:val="18"/>
          <w:color w:val="auto"/>
        </w:rPr>
        <w:t xml:space="preserve">During any default period, such voting right of the holders of Series A Participating Preferred Stock may be exercised initially at a special meeting called pursuant to subparagraph (iii) of this Section 4(d) or at any annual meeting of stockholders, and thereafter at annual meetings of stockholders;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voting right shall not be exercised unless the holders of at least one-third in number of shares of Preferred Stock outstanding shall be present in person or by proxy. The absence of a quorum of the holders of Common Stock shall not affect the exercise by the holders of Preferred Stock of such voting right. At any meeting at which</w:t>
      </w:r>
    </w:p>
    <w:p>
      <w:pPr>
        <w:spacing w:after="0" w:line="12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92"/>
          </w:cols>
          <w:pgMar w:left="248" w:top="274" w:right="259" w:bottom="1440" w:gutter="0" w:footer="0" w:header="0"/>
        </w:sectPr>
      </w:pPr>
    </w:p>
    <w:bookmarkStart w:id="10" w:name="page11"/>
    <w:bookmarkEnd w:id="10"/>
    <w:p>
      <w:pPr>
        <w:ind w:right="10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holders of Preferred Stock shall exercise such voting right initially during an existing default period, they shall have the right, voting as a class, to elect directors to fill such vacancies, if any, in the Board as may then exist up to two directors or, if such right is exercised at an annual meeting of stockholders, to elect two directors. If the number that may be so elected at any special meeting does not amount to the required number, the holders of Preferred Stock shall have the right to make such increase in the number of directors as shall be necessary to permit the election by them of the required number. After the holders of Preferred Stock shall have exercised their right to elect directors in any default period and during the continuance of such period, the number of directors shall not be increased or decreased except by vote of the holders of Preferred Stock as herein provided or pursuant to the rights of any equity securities ranking senior to or pari passu with the Series A Participating Preferred Stock.</w:t>
      </w:r>
    </w:p>
    <w:p>
      <w:pPr>
        <w:spacing w:after="0" w:line="178" w:lineRule="exact"/>
        <w:rPr>
          <w:sz w:val="20"/>
          <w:szCs w:val="20"/>
          <w:color w:val="auto"/>
        </w:rPr>
      </w:pPr>
    </w:p>
    <w:p>
      <w:pPr>
        <w:ind w:firstLine="1492"/>
        <w:spacing w:after="0" w:line="269" w:lineRule="auto"/>
        <w:tabs>
          <w:tab w:leader="none" w:pos="1933" w:val="left"/>
        </w:tabs>
        <w:numPr>
          <w:ilvl w:val="0"/>
          <w:numId w:val="9"/>
        </w:numPr>
        <w:rPr>
          <w:rFonts w:ascii="Arial" w:cs="Arial" w:eastAsia="Arial" w:hAnsi="Arial"/>
          <w:sz w:val="17"/>
          <w:szCs w:val="17"/>
          <w:color w:val="auto"/>
        </w:rPr>
      </w:pPr>
      <w:r>
        <w:rPr>
          <w:rFonts w:ascii="Arial" w:cs="Arial" w:eastAsia="Arial" w:hAnsi="Arial"/>
          <w:sz w:val="17"/>
          <w:szCs w:val="17"/>
          <w:color w:val="auto"/>
        </w:rPr>
        <w:t>Unless the holders of Preferred Stock shall, during an existing default period, have previously exercised their right to elect directors, the Board may order, or any stockholder or stockholders owning in the aggregate not less than 10% of the total number of shares of Preferred Stock outstanding, irrespective of series, may request, the calling of a special meeting of the holders of Preferred Stock, which meeting shall thereupon be called by the Chairman of the Board, Chief Executive Officer, President, Chief Financial Officer, Secretary, Assistant Secretary or any Senior Vice President of the Corporation. Notice of such meeting and of any annual meeting at which holders of Preferred Stock are entitled to vote pursuant to this paragraph (d)(iii) shall be given to each holder of record of Preferred Stock by mailing a copy of such notice to such holder at such holder’s last address as the same appears on the books of the Corporation. Such meeting shall be called for a time not earlier than 20 days and not later than 60 days after such order or request, or in default of the calling of such meeting within 60 days after such order or request, such meeting may be called on similar notice by any stockholder or stockholders owning in the aggregate not less than 10% of the total number of shares of Preferred Stock outstanding. Notwithstanding the provisions of this paragraph (d) (iii), no such special meeting shall be called during the period within 60 days immediately preceding the date fixed for the next annual meeting of the stockholders.</w:t>
      </w:r>
    </w:p>
    <w:p>
      <w:pPr>
        <w:spacing w:after="0" w:line="182" w:lineRule="exact"/>
        <w:rPr>
          <w:rFonts w:ascii="Arial" w:cs="Arial" w:eastAsia="Arial" w:hAnsi="Arial"/>
          <w:sz w:val="17"/>
          <w:szCs w:val="17"/>
          <w:color w:val="auto"/>
        </w:rPr>
      </w:pPr>
    </w:p>
    <w:p>
      <w:pPr>
        <w:ind w:right="60" w:firstLine="1492"/>
        <w:spacing w:after="0" w:line="272" w:lineRule="auto"/>
        <w:tabs>
          <w:tab w:leader="none" w:pos="1923"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any default period, the holders of Common Stock and other classes of stock of the Corporation, if applicable, shall continue to be entitled to elect the whole number of directors until the holders of Preferred Stock shall have exercised their right to elect two directors voting as a class, after the exercise of which right (A) the directors so elected by the holders of Preferred Stock shall continue in office until their successors shall have been elected by such holders or until the expiration of the default period, and (B) any vacancy in the Board may (except as provided in subparagraph (ii) of this Section 4(d)) be filled by vote of a majority of the remaining directors theretofore elected by the holders of the class of stock that elected the director whose office shall have become vacant. References in this Section 4(d) to directors elected by the holders of a particular class of stock shall include directors elected by such directors to fill vacancies as provided in clause (B) of the foregoing sentence.</w:t>
      </w:r>
    </w:p>
    <w:p>
      <w:pPr>
        <w:spacing w:after="0" w:line="177" w:lineRule="exact"/>
        <w:rPr>
          <w:rFonts w:ascii="Arial" w:cs="Arial" w:eastAsia="Arial" w:hAnsi="Arial"/>
          <w:sz w:val="17"/>
          <w:szCs w:val="17"/>
          <w:color w:val="auto"/>
        </w:rPr>
      </w:pPr>
    </w:p>
    <w:p>
      <w:pPr>
        <w:ind w:right="80" w:firstLine="1492"/>
        <w:spacing w:after="0" w:line="259" w:lineRule="auto"/>
        <w:tabs>
          <w:tab w:leader="none" w:pos="1873" w:val="left"/>
        </w:tabs>
        <w:numPr>
          <w:ilvl w:val="0"/>
          <w:numId w:val="9"/>
        </w:numPr>
        <w:rPr>
          <w:rFonts w:ascii="Arial" w:cs="Arial" w:eastAsia="Arial" w:hAnsi="Arial"/>
          <w:sz w:val="18"/>
          <w:szCs w:val="18"/>
          <w:color w:val="auto"/>
        </w:rPr>
      </w:pPr>
      <w:r>
        <w:rPr>
          <w:rFonts w:ascii="Arial" w:cs="Arial" w:eastAsia="Arial" w:hAnsi="Arial"/>
          <w:sz w:val="18"/>
          <w:szCs w:val="18"/>
          <w:color w:val="auto"/>
        </w:rPr>
        <w:t>Immediately upon the expiration of a default period, (A) the right of the holders of Preferred Stock as a class to elect directors shall cease, (B) the term of any directors elected by the holders of Preferred Stock as a class shall terminate and (C) the number of directors shall be such number as may be provided for in the Charter or the Bylaws irrespective of any increase made pursuant to the provisions of subparagraph (ii) of this Section 4(d) (such number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1" w:name="page12"/>
    <w:bookmarkEnd w:id="11"/>
    <w:p>
      <w:pPr>
        <w:ind w:right="6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being subject, however, to change thereafter in any manner provided by law or in the Charter or Bylaws). Any vacancies in the Board effected by the provisions of clauses (B) and (C) in the preceding sentence may be filled by a majority of the remaining directors.</w:t>
      </w:r>
    </w:p>
    <w:p>
      <w:pPr>
        <w:spacing w:after="0" w:line="279"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6"/>
          <w:szCs w:val="16"/>
          <w:i w:val="1"/>
          <w:iCs w:val="1"/>
          <w:color w:val="auto"/>
        </w:rPr>
        <w:t>Certain Restrictions</w:t>
      </w:r>
      <w:r>
        <w:rPr>
          <w:rFonts w:ascii="Arial" w:cs="Arial" w:eastAsia="Arial" w:hAnsi="Arial"/>
          <w:sz w:val="16"/>
          <w:szCs w:val="16"/>
          <w:color w:val="auto"/>
        </w:rPr>
        <w:t>.</w:t>
      </w:r>
    </w:p>
    <w:p>
      <w:pPr>
        <w:spacing w:after="0" w:line="117" w:lineRule="exact"/>
        <w:rPr>
          <w:sz w:val="20"/>
          <w:szCs w:val="20"/>
          <w:color w:val="auto"/>
        </w:rPr>
      </w:pPr>
    </w:p>
    <w:p>
      <w:pPr>
        <w:ind w:right="60" w:firstLine="921"/>
        <w:spacing w:after="0" w:line="264" w:lineRule="auto"/>
        <w:tabs>
          <w:tab w:leader="none" w:pos="128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Corporation shall not declare any dividend on, make any distribution on, or redeem or purchase or otherwise acquire for consideration any shares of Common Stock after the first issuance of a share or fraction of a share of Series A Participating Preferred Stock unless concurrently therewith it shall declare a dividend on the Series A Participating Preferred Stock as required by Section 3 hereof.</w:t>
      </w:r>
    </w:p>
    <w:p>
      <w:pPr>
        <w:spacing w:after="0" w:line="181" w:lineRule="exact"/>
        <w:rPr>
          <w:rFonts w:ascii="Arial" w:cs="Arial" w:eastAsia="Arial" w:hAnsi="Arial"/>
          <w:sz w:val="18"/>
          <w:szCs w:val="18"/>
          <w:color w:val="auto"/>
        </w:rPr>
      </w:pPr>
    </w:p>
    <w:p>
      <w:pPr>
        <w:ind w:right="480" w:firstLine="921"/>
        <w:spacing w:after="0" w:line="264"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Whenever quarterly dividends or other dividends or distributions payable on the Series A Participating Preferred Stock as provided in Section 3 hereof are in arrears, thereafter and until all accrued and unpaid dividends and distributions, whether or not declared, on shares of Series A Participating Preferred Stock outstanding shall have been paid in full, the Corporation shall not:</w:t>
      </w:r>
    </w:p>
    <w:p>
      <w:pPr>
        <w:spacing w:after="0" w:line="181" w:lineRule="exact"/>
        <w:rPr>
          <w:rFonts w:ascii="Arial" w:cs="Arial" w:eastAsia="Arial" w:hAnsi="Arial"/>
          <w:sz w:val="18"/>
          <w:szCs w:val="18"/>
          <w:color w:val="auto"/>
        </w:rPr>
      </w:pPr>
    </w:p>
    <w:p>
      <w:pPr>
        <w:ind w:right="420" w:firstLine="1492"/>
        <w:spacing w:after="0" w:line="342" w:lineRule="auto"/>
        <w:tabs>
          <w:tab w:leader="none" w:pos="1833" w:val="left"/>
        </w:tabs>
        <w:numPr>
          <w:ilvl w:val="1"/>
          <w:numId w:val="10"/>
        </w:numPr>
        <w:rPr>
          <w:rFonts w:ascii="Arial" w:cs="Arial" w:eastAsia="Arial" w:hAnsi="Arial"/>
          <w:sz w:val="16"/>
          <w:szCs w:val="16"/>
          <w:color w:val="auto"/>
        </w:rPr>
      </w:pPr>
      <w:r>
        <w:rPr>
          <w:rFonts w:ascii="Arial" w:cs="Arial" w:eastAsia="Arial" w:hAnsi="Arial"/>
          <w:sz w:val="16"/>
          <w:szCs w:val="16"/>
          <w:color w:val="auto"/>
        </w:rPr>
        <w:t>declare or pay dividends on, make any other distributions on, or redeem or purchase or otherwise acquire for consideration any shares of stock ranking junior (either as to dividends or upon liquidation, dissolution or winding up) to the Series A Participating Preferred Stock;</w:t>
      </w:r>
    </w:p>
    <w:p>
      <w:pPr>
        <w:spacing w:after="0" w:line="123" w:lineRule="exact"/>
        <w:rPr>
          <w:rFonts w:ascii="Arial" w:cs="Arial" w:eastAsia="Arial" w:hAnsi="Arial"/>
          <w:sz w:val="16"/>
          <w:szCs w:val="16"/>
          <w:color w:val="auto"/>
        </w:rPr>
      </w:pPr>
    </w:p>
    <w:p>
      <w:pPr>
        <w:ind w:right="60" w:firstLine="1492"/>
        <w:spacing w:after="0" w:line="259" w:lineRule="auto"/>
        <w:tabs>
          <w:tab w:leader="none" w:pos="1883"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declare or pay dividends, or make any other distributions, on any shares of stock ranking on a parity (either as to dividends or upon liquidation, dissolution or winding up) with the Series A Participating Preferred Stock, except dividends paid ratably on the Series A Participating Preferred Stock and all such parity stock on which dividends are payable or in arrears in proportion to the total amounts to which the holders of all such shares are then entitled;</w:t>
      </w:r>
    </w:p>
    <w:p>
      <w:pPr>
        <w:spacing w:after="0" w:line="186" w:lineRule="exact"/>
        <w:rPr>
          <w:rFonts w:ascii="Arial" w:cs="Arial" w:eastAsia="Arial" w:hAnsi="Arial"/>
          <w:sz w:val="18"/>
          <w:szCs w:val="18"/>
          <w:color w:val="auto"/>
        </w:rPr>
      </w:pPr>
    </w:p>
    <w:p>
      <w:pPr>
        <w:ind w:right="120" w:firstLine="1492"/>
        <w:spacing w:after="0" w:line="279" w:lineRule="auto"/>
        <w:tabs>
          <w:tab w:leader="none" w:pos="1933" w:val="left"/>
        </w:tabs>
        <w:numPr>
          <w:ilvl w:val="1"/>
          <w:numId w:val="10"/>
        </w:numPr>
        <w:rPr>
          <w:rFonts w:ascii="Arial" w:cs="Arial" w:eastAsia="Arial" w:hAnsi="Arial"/>
          <w:sz w:val="17"/>
          <w:szCs w:val="17"/>
          <w:color w:val="auto"/>
        </w:rPr>
      </w:pPr>
      <w:r>
        <w:rPr>
          <w:rFonts w:ascii="Arial" w:cs="Arial" w:eastAsia="Arial" w:hAnsi="Arial"/>
          <w:sz w:val="17"/>
          <w:szCs w:val="17"/>
          <w:color w:val="auto"/>
        </w:rPr>
        <w:t xml:space="preserve">redeem or purchase or otherwise acquire for consideration shares of any stock ranking on a parity (either as to dividends or upon liquidation, dissolution or winding up) with the Series A Participating Preferred Stock;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Corporation may at any time redeem, purchase or otherwise acquire shares of any such parity stock in exchange for shares of any stock of the Corporation ranking junior (either as to dividends or upon dissolution, liquidation or winding up) to the Series A Participating Preferred Stock; or</w:t>
      </w:r>
    </w:p>
    <w:p>
      <w:pPr>
        <w:spacing w:after="0" w:line="171" w:lineRule="exact"/>
        <w:rPr>
          <w:rFonts w:ascii="Arial" w:cs="Arial" w:eastAsia="Arial" w:hAnsi="Arial"/>
          <w:sz w:val="17"/>
          <w:szCs w:val="17"/>
          <w:color w:val="auto"/>
        </w:rPr>
      </w:pPr>
    </w:p>
    <w:p>
      <w:pPr>
        <w:ind w:right="260" w:firstLine="1492"/>
        <w:spacing w:after="0" w:line="257" w:lineRule="auto"/>
        <w:tabs>
          <w:tab w:leader="none" w:pos="1923" w:val="left"/>
        </w:tabs>
        <w:numPr>
          <w:ilvl w:val="1"/>
          <w:numId w:val="10"/>
        </w:numPr>
        <w:rPr>
          <w:rFonts w:ascii="Arial" w:cs="Arial" w:eastAsia="Arial" w:hAnsi="Arial"/>
          <w:sz w:val="18"/>
          <w:szCs w:val="18"/>
          <w:color w:val="auto"/>
        </w:rPr>
      </w:pPr>
      <w:r>
        <w:rPr>
          <w:rFonts w:ascii="Arial" w:cs="Arial" w:eastAsia="Arial" w:hAnsi="Arial"/>
          <w:sz w:val="18"/>
          <w:szCs w:val="18"/>
          <w:color w:val="auto"/>
        </w:rPr>
        <w:t>redeem or purchase or otherwise acquire for consideration any shares of Series A Participating Preferred Stock, or any shares of stock ranking on a parity with the Series A Participating Preferred Stock, except in accordance with a purchase offer made in writing or by publication (as determined by the Board) to all holders of such shares upon such terms as the Board,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188" w:lineRule="exact"/>
        <w:rPr>
          <w:rFonts w:ascii="Arial" w:cs="Arial" w:eastAsia="Arial" w:hAnsi="Arial"/>
          <w:sz w:val="18"/>
          <w:szCs w:val="18"/>
          <w:color w:val="auto"/>
        </w:rPr>
      </w:pPr>
    </w:p>
    <w:p>
      <w:pPr>
        <w:ind w:firstLine="921"/>
        <w:spacing w:after="0" w:line="264" w:lineRule="auto"/>
        <w:tabs>
          <w:tab w:leader="none" w:pos="128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Corporation shall not permit any subsidiary of the Corporation to purchase or otherwise acquire for consideration any shares of stock of the Corporation unless the Corporation could, pursuant to paragraph (a) of this Section 5, purchase or otherwise acquire such shares at such time and in such manner.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12" w:name="page13"/>
    <w:bookmarkEnd w:id="12"/>
    <w:p>
      <w:pPr>
        <w:ind w:right="180"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 </w:t>
      </w:r>
      <w:r>
        <w:rPr>
          <w:rFonts w:ascii="Arial" w:cs="Arial" w:eastAsia="Arial" w:hAnsi="Arial"/>
          <w:sz w:val="18"/>
          <w:szCs w:val="18"/>
          <w:i w:val="1"/>
          <w:iCs w:val="1"/>
          <w:color w:val="auto"/>
        </w:rPr>
        <w:t>Reacquired Shares</w:t>
      </w:r>
      <w:r>
        <w:rPr>
          <w:rFonts w:ascii="Arial" w:cs="Arial" w:eastAsia="Arial" w:hAnsi="Arial"/>
          <w:sz w:val="18"/>
          <w:szCs w:val="18"/>
          <w:color w:val="auto"/>
        </w:rPr>
        <w:t>. Any shares of Series A Participating Preferred Stock purchased or otherwise acquired by the Corporation in any manner whatsoever shall be retired and cancelled promptly after the acquisition thereof. All such shares shall upon their cancellation become authorized but unissued shares of Preferred Stock and may be reissued as part of a new series of Preferred Stock to be created by resolution or resolutions of the Board, subject to the conditions and restrictions on issuance set forth herein, in the Charter or in any other Certificate of Designation creating a series of Preferred Stock or any similar stock or as otherwise required by law.</w:t>
      </w:r>
    </w:p>
    <w:p>
      <w:pPr>
        <w:spacing w:after="0" w:line="296"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7"/>
          <w:szCs w:val="17"/>
          <w:i w:val="1"/>
          <w:iCs w:val="1"/>
          <w:color w:val="auto"/>
        </w:rPr>
        <w:t>Liquidation, Dissolution or Winding Up</w:t>
      </w:r>
      <w:r>
        <w:rPr>
          <w:rFonts w:ascii="Arial" w:cs="Arial" w:eastAsia="Arial" w:hAnsi="Arial"/>
          <w:sz w:val="17"/>
          <w:szCs w:val="17"/>
          <w:color w:val="auto"/>
        </w:rPr>
        <w:t>.</w:t>
      </w:r>
    </w:p>
    <w:p>
      <w:pPr>
        <w:spacing w:after="0" w:line="117" w:lineRule="exact"/>
        <w:rPr>
          <w:sz w:val="20"/>
          <w:szCs w:val="20"/>
          <w:color w:val="auto"/>
        </w:rPr>
      </w:pPr>
    </w:p>
    <w:p>
      <w:pPr>
        <w:ind w:firstLine="921"/>
        <w:spacing w:after="0" w:line="269" w:lineRule="auto"/>
        <w:tabs>
          <w:tab w:leader="none" w:pos="1293" w:val="left"/>
        </w:tabs>
        <w:numPr>
          <w:ilvl w:val="0"/>
          <w:numId w:val="11"/>
        </w:numPr>
        <w:rPr>
          <w:rFonts w:ascii="Arial" w:cs="Arial" w:eastAsia="Arial" w:hAnsi="Arial"/>
          <w:sz w:val="17"/>
          <w:szCs w:val="17"/>
          <w:color w:val="auto"/>
        </w:rPr>
      </w:pPr>
      <w:r>
        <w:rPr>
          <w:rFonts w:ascii="Arial" w:cs="Arial" w:eastAsia="Arial" w:hAnsi="Arial"/>
          <w:sz w:val="17"/>
          <w:szCs w:val="17"/>
          <w:color w:val="auto"/>
        </w:rPr>
        <w:t>Upon any liquidation (voluntary or otherwise), dissolution or winding up of the Corporation, no distribution shall be made to the holders of shares of stock ranking junior (either as to dividends or upon liquidation, dissolution or winding up) to the Series A Participating Preferred Stock unless, prior thereto, the holders of shares of Series A Participating Preferred Stock shall have received an amount equal to $1,000 per share of Series A Participating Preferred Stock, plus an amount equal to accrued and unpaid dividends and distributions thereon, whether or not declared, to the date of such payment (the “</w:t>
      </w:r>
      <w:r>
        <w:rPr>
          <w:rFonts w:ascii="Arial" w:cs="Arial" w:eastAsia="Arial" w:hAnsi="Arial"/>
          <w:sz w:val="17"/>
          <w:szCs w:val="17"/>
          <w:b w:val="1"/>
          <w:bCs w:val="1"/>
          <w:color w:val="auto"/>
        </w:rPr>
        <w:t>Series A Liquidation Preference</w:t>
      </w:r>
      <w:r>
        <w:rPr>
          <w:rFonts w:ascii="Arial" w:cs="Arial" w:eastAsia="Arial" w:hAnsi="Arial"/>
          <w:sz w:val="17"/>
          <w:szCs w:val="17"/>
          <w:color w:val="auto"/>
        </w:rPr>
        <w:t>”). Following the payment of the full amount of the Series A Liquidation Preference, no additional distributions shall be made to the holders of shares of Series A Participating Preferred Stock unless, prior thereto, the holders of shares of Common Stock shall have received an amount per share (the “</w:t>
      </w:r>
      <w:r>
        <w:rPr>
          <w:rFonts w:ascii="Arial" w:cs="Arial" w:eastAsia="Arial" w:hAnsi="Arial"/>
          <w:sz w:val="17"/>
          <w:szCs w:val="17"/>
          <w:b w:val="1"/>
          <w:bCs w:val="1"/>
          <w:color w:val="auto"/>
        </w:rPr>
        <w:t>Common Adjustment</w:t>
      </w:r>
      <w:r>
        <w:rPr>
          <w:rFonts w:ascii="Arial" w:cs="Arial" w:eastAsia="Arial" w:hAnsi="Arial"/>
          <w:sz w:val="17"/>
          <w:szCs w:val="17"/>
          <w:color w:val="auto"/>
        </w:rPr>
        <w:t>”) equal to the quotient obtained by dividing (i) the Series A Liquidation Preference by (ii) 1,000 (as appropriately adjusted to reflect events as stock splits, stock dividends and recapitalizations with respect to the Common Stock) (such number in clause (ii), the “</w:t>
      </w:r>
      <w:r>
        <w:rPr>
          <w:rFonts w:ascii="Arial" w:cs="Arial" w:eastAsia="Arial" w:hAnsi="Arial"/>
          <w:sz w:val="17"/>
          <w:szCs w:val="17"/>
          <w:b w:val="1"/>
          <w:bCs w:val="1"/>
          <w:color w:val="auto"/>
        </w:rPr>
        <w:t>Adjustment Number</w:t>
      </w:r>
      <w:r>
        <w:rPr>
          <w:rFonts w:ascii="Arial" w:cs="Arial" w:eastAsia="Arial" w:hAnsi="Arial"/>
          <w:sz w:val="17"/>
          <w:szCs w:val="17"/>
          <w:color w:val="auto"/>
        </w:rPr>
        <w:t>”). Following the payment of the full amount of the Series A Liquidation Preference and the Common Adjustment in respect of all outstanding shares of Series A Participating Preferred Stock and Common Stock, respectively, holders of Series A Participating Preferred Stock and holders of shares of Common Stock shall receive their ratable and proportionate share of the remaining assets to be distributed in the ratio of the Adjustment Number to one with respect to such Preferred Stock and Common Stock, on a per share basis, respectively.</w:t>
      </w:r>
    </w:p>
    <w:p>
      <w:pPr>
        <w:spacing w:after="0" w:line="179" w:lineRule="exact"/>
        <w:rPr>
          <w:rFonts w:ascii="Arial" w:cs="Arial" w:eastAsia="Arial" w:hAnsi="Arial"/>
          <w:sz w:val="17"/>
          <w:szCs w:val="17"/>
          <w:color w:val="auto"/>
        </w:rPr>
      </w:pPr>
    </w:p>
    <w:p>
      <w:pPr>
        <w:ind w:right="40" w:firstLine="921"/>
        <w:spacing w:after="0" w:line="257" w:lineRule="auto"/>
        <w:tabs>
          <w:tab w:leader="none" w:pos="1303"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event, however, that there are not sufficient assets available to permit payment in full of the Series A Liquidation Preference and the liquidation preferences of all other series of Preferred Stock, if any, that rank on a parity with the Series A Participating Preferred Stock, then such remaining assets shall be distributed ratably to the holders of such parity shares in proportion to their respective liquidation preferences. In the event, however, that there are not sufficient assets available to permit payment in full of the Common Adjustment, then such remaining assets shall be distributed ratably to the holders of Common Stock.</w:t>
      </w:r>
    </w:p>
    <w:p>
      <w:pPr>
        <w:spacing w:after="0" w:line="188" w:lineRule="exact"/>
        <w:rPr>
          <w:rFonts w:ascii="Arial" w:cs="Arial" w:eastAsia="Arial" w:hAnsi="Arial"/>
          <w:sz w:val="18"/>
          <w:szCs w:val="18"/>
          <w:color w:val="auto"/>
        </w:rPr>
      </w:pPr>
    </w:p>
    <w:p>
      <w:pPr>
        <w:ind w:right="100" w:firstLine="921"/>
        <w:spacing w:after="0" w:line="259" w:lineRule="auto"/>
        <w:tabs>
          <w:tab w:leader="none" w:pos="1293"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event that the Corporation shall at any time after the Rights Declaration Date (i) declare any dividend on the Common Stock payable in shares of Common Stock, (ii) subdivide the outstanding Common Stock or (iii) combine the outstanding Common Stock into a smaller number of shares, then in each such case the Corporation shall simultaneously effect a proportional adjustment to the Adjustment Number in effect immediately prior to such event by an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3" w:name="page14"/>
    <w:bookmarkEnd w:id="13"/>
    <w:p>
      <w:pPr>
        <w:ind w:right="3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amount the numerator of which is the number of shares of Common Stock outstanding immediately after such event and the denominator of which is the number of shares of Common Stock that were outstanding immediately prior to such event.</w:t>
      </w:r>
    </w:p>
    <w:p>
      <w:pPr>
        <w:spacing w:after="0" w:line="1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i w:val="1"/>
          <w:iCs w:val="1"/>
          <w:color w:val="auto"/>
        </w:rPr>
        <w:t>Consolidation, Merger, etc</w:t>
      </w:r>
      <w:r>
        <w:rPr>
          <w:rFonts w:ascii="Arial" w:cs="Arial" w:eastAsia="Arial" w:hAnsi="Arial"/>
          <w:sz w:val="17"/>
          <w:szCs w:val="17"/>
          <w:color w:val="auto"/>
        </w:rPr>
        <w:t>. In the event that the Corporation shall enter into any consolidation, merger, combination, conversion, share exchange or other transaction in which the shares of Common Stock are exchanged for or changed into other stock, securities, cash and/or any other property (payable in kind), then in any such case the shares of Series A Participating Preferred Stock shall at the same time be similarly exchanged or changed in an amount per share (subject to Section 2) equal to 1,000 times the aggregate amount of stock, securities, cash and/or any other property (payable in kind), as the case may be, into which or for which each share of Common Stock is changed or exchanged.</w:t>
      </w:r>
    </w:p>
    <w:p>
      <w:pPr>
        <w:spacing w:after="0" w:line="173"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6"/>
          <w:szCs w:val="16"/>
          <w:i w:val="1"/>
          <w:iCs w:val="1"/>
          <w:color w:val="auto"/>
        </w:rPr>
        <w:t>No Redemption</w:t>
      </w:r>
      <w:r>
        <w:rPr>
          <w:rFonts w:ascii="Arial" w:cs="Arial" w:eastAsia="Arial" w:hAnsi="Arial"/>
          <w:sz w:val="16"/>
          <w:szCs w:val="16"/>
          <w:color w:val="auto"/>
        </w:rPr>
        <w:t>. The shares of Series A Participating Preferred Stock shall not be redeemable.</w:t>
      </w:r>
    </w:p>
    <w:p>
      <w:pPr>
        <w:spacing w:after="0" w:line="225"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i w:val="1"/>
          <w:iCs w:val="1"/>
          <w:color w:val="auto"/>
        </w:rPr>
        <w:t>Ranking</w:t>
      </w:r>
      <w:r>
        <w:rPr>
          <w:rFonts w:ascii="Arial" w:cs="Arial" w:eastAsia="Arial" w:hAnsi="Arial"/>
          <w:sz w:val="18"/>
          <w:szCs w:val="18"/>
          <w:color w:val="auto"/>
        </w:rPr>
        <w:t>. The Series A Participating Preferred Stock shall rank junior to all other series of the Preferred Stock as to the payment of dividends and the distribution of assets, unless the terms of any such series shall provide otherwise.</w:t>
      </w:r>
    </w:p>
    <w:p>
      <w:pPr>
        <w:spacing w:after="0" w:line="170"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i w:val="1"/>
          <w:iCs w:val="1"/>
          <w:color w:val="auto"/>
        </w:rPr>
        <w:t>Amendment</w:t>
      </w:r>
      <w:r>
        <w:rPr>
          <w:rFonts w:ascii="Arial" w:cs="Arial" w:eastAsia="Arial" w:hAnsi="Arial"/>
          <w:sz w:val="18"/>
          <w:szCs w:val="18"/>
          <w:color w:val="auto"/>
        </w:rPr>
        <w:t>. At any time when any shares of Series A Participating Preferred Stock are outstanding, neither the Charter nor this Certificate of Designation shall be amended in any manner that would materially alter or change the powers, preferences or special rights of the Series A Participating Preferred Stock so as to affect them adversely without the affirmative vote of the holders of at least two-thirds of the outstanding shares of Series A Participating Preferred Stock, voting separately as a class.</w:t>
      </w:r>
    </w:p>
    <w:p>
      <w:pPr>
        <w:spacing w:after="0" w:line="187"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i w:val="1"/>
          <w:iCs w:val="1"/>
          <w:color w:val="auto"/>
        </w:rPr>
        <w:t>Fractional Shares</w:t>
      </w:r>
      <w:r>
        <w:rPr>
          <w:rFonts w:ascii="Arial" w:cs="Arial" w:eastAsia="Arial" w:hAnsi="Arial"/>
          <w:sz w:val="18"/>
          <w:szCs w:val="18"/>
          <w:color w:val="auto"/>
        </w:rPr>
        <w:t>. Series A Participating Preferred Stock may be issued in fractions of a share that shall entitle the holder, in proportion to such holder’s fractional shares, to exercise voting rights, receive dividends, participate in distributions and to have the benefit of all other rights of holders of Series A Participating Preferred Stock.</w:t>
      </w:r>
    </w:p>
    <w:p>
      <w:pPr>
        <w:spacing w:after="0" w:line="181" w:lineRule="exact"/>
        <w:rPr>
          <w:sz w:val="20"/>
          <w:szCs w:val="20"/>
          <w:color w:val="auto"/>
        </w:rPr>
      </w:pPr>
    </w:p>
    <w:p>
      <w:pPr>
        <w:ind w:left="5200"/>
        <w:spacing w:after="0"/>
        <w:tabs>
          <w:tab w:leader="none" w:pos="5620" w:val="left"/>
          <w:tab w:leader="none" w:pos="6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undersigned has executed this Certificate as of the 21st day of November, 2016.</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FLUIDIGM CORPORATION</w:t>
      </w:r>
    </w:p>
    <w:p>
      <w:pPr>
        <w:spacing w:after="0" w:line="229"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Christopher Linthwaite</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Stephen Christopher Linthwaite</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13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700" w:top="274" w:right="2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206375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TAX BENEFIT PRESERVATION PLAN</w:t>
      </w:r>
    </w:p>
    <w:p>
      <w:pPr>
        <w:spacing w:after="0" w:line="3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Dated as of November 21, 2016</w:t>
      </w:r>
    </w:p>
    <w:p>
      <w:pPr>
        <w:spacing w:after="0" w:line="20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FLUIDIGM CORPORATION</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COMPUTERSHARE INC.,</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Rights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194310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10440" w:type="dxa"/>
            <w:vAlign w:val="bottom"/>
          </w:tcPr>
          <w:p>
            <w:pPr>
              <w:ind w:left="4760"/>
              <w:spacing w:after="0"/>
              <w:rPr>
                <w:sz w:val="20"/>
                <w:szCs w:val="20"/>
                <w:color w:val="auto"/>
              </w:rPr>
            </w:pPr>
            <w:r>
              <w:rPr>
                <w:rFonts w:ascii="Arial" w:cs="Arial" w:eastAsia="Arial" w:hAnsi="Arial"/>
                <w:sz w:val="18"/>
                <w:szCs w:val="18"/>
                <w:b w:val="1"/>
                <w:bCs w:val="1"/>
                <w:color w:val="auto"/>
              </w:rPr>
              <w:t>TABLE OF CONTENTS</w:t>
            </w:r>
          </w:p>
        </w:tc>
        <w:tc>
          <w:tcPr>
            <w:tcW w:w="880" w:type="dxa"/>
            <w:vAlign w:val="bottom"/>
          </w:tcPr>
          <w:p>
            <w:pPr>
              <w:spacing w:after="0"/>
              <w:rPr>
                <w:sz w:val="20"/>
                <w:szCs w:val="20"/>
                <w:color w:val="auto"/>
              </w:rPr>
            </w:pPr>
          </w:p>
        </w:tc>
      </w:tr>
      <w:tr>
        <w:trPr>
          <w:trHeight w:val="377"/>
        </w:trPr>
        <w:tc>
          <w:tcPr>
            <w:tcW w:w="10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10440" w:type="dxa"/>
            <w:vAlign w:val="bottom"/>
          </w:tcPr>
          <w:p>
            <w:pPr>
              <w:spacing w:after="0"/>
              <w:rPr>
                <w:sz w:val="20"/>
                <w:szCs w:val="20"/>
                <w:color w:val="auto"/>
              </w:rPr>
            </w:pPr>
            <w:r>
              <w:rPr>
                <w:rFonts w:ascii="Arial" w:cs="Arial" w:eastAsia="Arial" w:hAnsi="Arial"/>
                <w:sz w:val="18"/>
                <w:szCs w:val="18"/>
                <w:color w:val="auto"/>
              </w:rPr>
              <w:t>Section 1. Certain Definitions</w:t>
            </w: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440" w:type="dxa"/>
            <w:vAlign w:val="bottom"/>
          </w:tcPr>
          <w:p>
            <w:pPr>
              <w:spacing w:after="0"/>
              <w:rPr>
                <w:sz w:val="20"/>
                <w:szCs w:val="20"/>
                <w:color w:val="auto"/>
              </w:rPr>
            </w:pPr>
            <w:r>
              <w:rPr>
                <w:rFonts w:ascii="Arial" w:cs="Arial" w:eastAsia="Arial" w:hAnsi="Arial"/>
                <w:sz w:val="18"/>
                <w:szCs w:val="18"/>
                <w:color w:val="auto"/>
              </w:rPr>
              <w:t>Section 2. Appointment of Rights Agent</w:t>
            </w: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0440" w:type="dxa"/>
            <w:vAlign w:val="bottom"/>
          </w:tcPr>
          <w:p>
            <w:pPr>
              <w:spacing w:after="0"/>
              <w:rPr>
                <w:sz w:val="20"/>
                <w:szCs w:val="20"/>
                <w:color w:val="auto"/>
              </w:rPr>
            </w:pPr>
            <w:r>
              <w:rPr>
                <w:rFonts w:ascii="Arial" w:cs="Arial" w:eastAsia="Arial" w:hAnsi="Arial"/>
                <w:sz w:val="18"/>
                <w:szCs w:val="18"/>
                <w:color w:val="auto"/>
              </w:rPr>
              <w:t>Section 3. Issuance of Rights Certificates</w:t>
            </w: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0440" w:type="dxa"/>
            <w:vAlign w:val="bottom"/>
          </w:tcPr>
          <w:p>
            <w:pPr>
              <w:spacing w:after="0"/>
              <w:rPr>
                <w:sz w:val="20"/>
                <w:szCs w:val="20"/>
                <w:color w:val="auto"/>
              </w:rPr>
            </w:pPr>
            <w:r>
              <w:rPr>
                <w:rFonts w:ascii="Arial" w:cs="Arial" w:eastAsia="Arial" w:hAnsi="Arial"/>
                <w:sz w:val="18"/>
                <w:szCs w:val="18"/>
                <w:color w:val="auto"/>
              </w:rPr>
              <w:t>Section 4. Form of Rights Certificates</w:t>
            </w: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0440" w:type="dxa"/>
            <w:vAlign w:val="bottom"/>
          </w:tcPr>
          <w:p>
            <w:pPr>
              <w:spacing w:after="0"/>
              <w:rPr>
                <w:sz w:val="20"/>
                <w:szCs w:val="20"/>
                <w:color w:val="auto"/>
              </w:rPr>
            </w:pPr>
            <w:r>
              <w:rPr>
                <w:rFonts w:ascii="Arial" w:cs="Arial" w:eastAsia="Arial" w:hAnsi="Arial"/>
                <w:sz w:val="18"/>
                <w:szCs w:val="18"/>
                <w:color w:val="auto"/>
              </w:rPr>
              <w:t>Section 5. Countersignature and Registration</w:t>
            </w: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0440" w:type="dxa"/>
            <w:vAlign w:val="bottom"/>
          </w:tcPr>
          <w:p>
            <w:pPr>
              <w:spacing w:after="0"/>
              <w:rPr>
                <w:sz w:val="20"/>
                <w:szCs w:val="20"/>
                <w:color w:val="auto"/>
              </w:rPr>
            </w:pPr>
            <w:r>
              <w:rPr>
                <w:rFonts w:ascii="Arial" w:cs="Arial" w:eastAsia="Arial" w:hAnsi="Arial"/>
                <w:sz w:val="18"/>
                <w:szCs w:val="18"/>
                <w:color w:val="auto"/>
                <w:w w:val="96"/>
              </w:rPr>
              <w:t>Section 6. Transfer, Split Up, Combination and Exchange of Rights Certificates; Mutilated, Destroyed, Lost or Stolen Rights Certificates</w:t>
            </w: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0440" w:type="dxa"/>
            <w:vAlign w:val="bottom"/>
          </w:tcPr>
          <w:p>
            <w:pPr>
              <w:spacing w:after="0"/>
              <w:rPr>
                <w:sz w:val="20"/>
                <w:szCs w:val="20"/>
                <w:color w:val="auto"/>
              </w:rPr>
            </w:pPr>
            <w:r>
              <w:rPr>
                <w:rFonts w:ascii="Arial" w:cs="Arial" w:eastAsia="Arial" w:hAnsi="Arial"/>
                <w:sz w:val="18"/>
                <w:szCs w:val="18"/>
                <w:color w:val="auto"/>
              </w:rPr>
              <w:t>Section 7. Exercise of Rights; Exercise Price; Expiration Date of Rights</w:t>
            </w: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0440" w:type="dxa"/>
            <w:vAlign w:val="bottom"/>
          </w:tcPr>
          <w:p>
            <w:pPr>
              <w:spacing w:after="0"/>
              <w:rPr>
                <w:sz w:val="20"/>
                <w:szCs w:val="20"/>
                <w:color w:val="auto"/>
              </w:rPr>
            </w:pPr>
            <w:r>
              <w:rPr>
                <w:rFonts w:ascii="Arial" w:cs="Arial" w:eastAsia="Arial" w:hAnsi="Arial"/>
                <w:sz w:val="18"/>
                <w:szCs w:val="18"/>
                <w:color w:val="auto"/>
              </w:rPr>
              <w:t>Section 8. Cancellation and Destruction of Rights Certificates</w:t>
            </w: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0440" w:type="dxa"/>
            <w:vAlign w:val="bottom"/>
          </w:tcPr>
          <w:p>
            <w:pPr>
              <w:spacing w:after="0"/>
              <w:rPr>
                <w:sz w:val="20"/>
                <w:szCs w:val="20"/>
                <w:color w:val="auto"/>
              </w:rPr>
            </w:pPr>
            <w:r>
              <w:rPr>
                <w:rFonts w:ascii="Arial" w:cs="Arial" w:eastAsia="Arial" w:hAnsi="Arial"/>
                <w:sz w:val="18"/>
                <w:szCs w:val="18"/>
                <w:color w:val="auto"/>
              </w:rPr>
              <w:t>Section 9. Reservation and Availability of Preferred Shares</w:t>
            </w: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0440" w:type="dxa"/>
            <w:vAlign w:val="bottom"/>
          </w:tcPr>
          <w:p>
            <w:pPr>
              <w:spacing w:after="0"/>
              <w:rPr>
                <w:sz w:val="20"/>
                <w:szCs w:val="20"/>
                <w:color w:val="auto"/>
              </w:rPr>
            </w:pPr>
            <w:r>
              <w:rPr>
                <w:rFonts w:ascii="Arial" w:cs="Arial" w:eastAsia="Arial" w:hAnsi="Arial"/>
                <w:sz w:val="18"/>
                <w:szCs w:val="18"/>
                <w:color w:val="auto"/>
              </w:rPr>
              <w:t>Section 10. Record Date for Securities Issued</w:t>
            </w: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0440" w:type="dxa"/>
            <w:vAlign w:val="bottom"/>
          </w:tcPr>
          <w:p>
            <w:pPr>
              <w:spacing w:after="0"/>
              <w:rPr>
                <w:sz w:val="20"/>
                <w:szCs w:val="20"/>
                <w:color w:val="auto"/>
              </w:rPr>
            </w:pPr>
            <w:r>
              <w:rPr>
                <w:rFonts w:ascii="Arial" w:cs="Arial" w:eastAsia="Arial" w:hAnsi="Arial"/>
                <w:sz w:val="18"/>
                <w:szCs w:val="18"/>
                <w:color w:val="auto"/>
              </w:rPr>
              <w:t>Section 11. Adjustment of Exercise Price, Number and Kind of Shares or Number of Rights</w:t>
            </w: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0440" w:type="dxa"/>
            <w:vAlign w:val="bottom"/>
          </w:tcPr>
          <w:p>
            <w:pPr>
              <w:spacing w:after="0"/>
              <w:rPr>
                <w:sz w:val="20"/>
                <w:szCs w:val="20"/>
                <w:color w:val="auto"/>
              </w:rPr>
            </w:pPr>
            <w:r>
              <w:rPr>
                <w:rFonts w:ascii="Arial" w:cs="Arial" w:eastAsia="Arial" w:hAnsi="Arial"/>
                <w:sz w:val="18"/>
                <w:szCs w:val="18"/>
                <w:color w:val="auto"/>
              </w:rPr>
              <w:t>Section 12. Certificate of Adjusted Exercise Price or Number of Shares</w:t>
            </w: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0440" w:type="dxa"/>
            <w:vAlign w:val="bottom"/>
          </w:tcPr>
          <w:p>
            <w:pPr>
              <w:spacing w:after="0"/>
              <w:rPr>
                <w:sz w:val="20"/>
                <w:szCs w:val="20"/>
                <w:color w:val="auto"/>
              </w:rPr>
            </w:pPr>
            <w:r>
              <w:rPr>
                <w:rFonts w:ascii="Arial" w:cs="Arial" w:eastAsia="Arial" w:hAnsi="Arial"/>
                <w:sz w:val="18"/>
                <w:szCs w:val="18"/>
                <w:color w:val="auto"/>
              </w:rPr>
              <w:t>Section 13. Consolidation, Merger or Sale or Transfer of Assets, Cash Flow or Earning Power</w:t>
            </w: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0440" w:type="dxa"/>
            <w:vAlign w:val="bottom"/>
          </w:tcPr>
          <w:p>
            <w:pPr>
              <w:spacing w:after="0"/>
              <w:rPr>
                <w:sz w:val="20"/>
                <w:szCs w:val="20"/>
                <w:color w:val="auto"/>
              </w:rPr>
            </w:pPr>
            <w:r>
              <w:rPr>
                <w:rFonts w:ascii="Arial" w:cs="Arial" w:eastAsia="Arial" w:hAnsi="Arial"/>
                <w:sz w:val="18"/>
                <w:szCs w:val="18"/>
                <w:color w:val="auto"/>
              </w:rPr>
              <w:t>Section 14. Fractional Rights and Fractional Shares</w:t>
            </w:r>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0440" w:type="dxa"/>
            <w:vAlign w:val="bottom"/>
          </w:tcPr>
          <w:p>
            <w:pPr>
              <w:spacing w:after="0"/>
              <w:rPr>
                <w:sz w:val="20"/>
                <w:szCs w:val="20"/>
                <w:color w:val="auto"/>
              </w:rPr>
            </w:pPr>
            <w:r>
              <w:rPr>
                <w:rFonts w:ascii="Arial" w:cs="Arial" w:eastAsia="Arial" w:hAnsi="Arial"/>
                <w:sz w:val="18"/>
                <w:szCs w:val="18"/>
                <w:color w:val="auto"/>
              </w:rPr>
              <w:t>Section 15. Rights of Action</w:t>
            </w:r>
          </w:p>
        </w:tc>
        <w:tc>
          <w:tcPr>
            <w:tcW w:w="8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440" w:type="dxa"/>
            <w:vAlign w:val="bottom"/>
          </w:tcPr>
          <w:p>
            <w:pPr>
              <w:spacing w:after="0"/>
              <w:rPr>
                <w:sz w:val="20"/>
                <w:szCs w:val="20"/>
                <w:color w:val="auto"/>
              </w:rPr>
            </w:pPr>
            <w:r>
              <w:rPr>
                <w:rFonts w:ascii="Arial" w:cs="Arial" w:eastAsia="Arial" w:hAnsi="Arial"/>
                <w:sz w:val="18"/>
                <w:szCs w:val="18"/>
                <w:color w:val="auto"/>
              </w:rPr>
              <w:t>Section 16. Agreement of Rights Holders</w:t>
            </w:r>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0440" w:type="dxa"/>
            <w:vAlign w:val="bottom"/>
          </w:tcPr>
          <w:p>
            <w:pPr>
              <w:spacing w:after="0"/>
              <w:rPr>
                <w:sz w:val="20"/>
                <w:szCs w:val="20"/>
                <w:color w:val="auto"/>
              </w:rPr>
            </w:pPr>
            <w:r>
              <w:rPr>
                <w:rFonts w:ascii="Arial" w:cs="Arial" w:eastAsia="Arial" w:hAnsi="Arial"/>
                <w:sz w:val="18"/>
                <w:szCs w:val="18"/>
                <w:color w:val="auto"/>
              </w:rPr>
              <w:t>Section 17. Holder of Rights Certificate Not Deemed to be a Stockholder</w:t>
            </w:r>
          </w:p>
        </w:tc>
        <w:tc>
          <w:tcPr>
            <w:tcW w:w="8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0440" w:type="dxa"/>
            <w:vAlign w:val="bottom"/>
          </w:tcPr>
          <w:p>
            <w:pPr>
              <w:spacing w:after="0"/>
              <w:rPr>
                <w:sz w:val="20"/>
                <w:szCs w:val="20"/>
                <w:color w:val="auto"/>
              </w:rPr>
            </w:pPr>
            <w:r>
              <w:rPr>
                <w:rFonts w:ascii="Arial" w:cs="Arial" w:eastAsia="Arial" w:hAnsi="Arial"/>
                <w:sz w:val="18"/>
                <w:szCs w:val="18"/>
                <w:color w:val="auto"/>
              </w:rPr>
              <w:t>Section 18. Concerning the Rights Agent</w:t>
            </w:r>
          </w:p>
        </w:tc>
        <w:tc>
          <w:tcPr>
            <w:tcW w:w="8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0440" w:type="dxa"/>
            <w:vAlign w:val="bottom"/>
          </w:tcPr>
          <w:p>
            <w:pPr>
              <w:spacing w:after="0"/>
              <w:rPr>
                <w:sz w:val="20"/>
                <w:szCs w:val="20"/>
                <w:color w:val="auto"/>
              </w:rPr>
            </w:pPr>
            <w:r>
              <w:rPr>
                <w:rFonts w:ascii="Arial" w:cs="Arial" w:eastAsia="Arial" w:hAnsi="Arial"/>
                <w:sz w:val="18"/>
                <w:szCs w:val="18"/>
                <w:color w:val="auto"/>
              </w:rPr>
              <w:t>Section 19. Merger, Consolidation or Change of Name of Rights Agent</w:t>
            </w:r>
          </w:p>
        </w:tc>
        <w:tc>
          <w:tcPr>
            <w:tcW w:w="8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0440" w:type="dxa"/>
            <w:vAlign w:val="bottom"/>
          </w:tcPr>
          <w:p>
            <w:pPr>
              <w:spacing w:after="0"/>
              <w:rPr>
                <w:sz w:val="20"/>
                <w:szCs w:val="20"/>
                <w:color w:val="auto"/>
              </w:rPr>
            </w:pPr>
            <w:r>
              <w:rPr>
                <w:rFonts w:ascii="Arial" w:cs="Arial" w:eastAsia="Arial" w:hAnsi="Arial"/>
                <w:sz w:val="18"/>
                <w:szCs w:val="18"/>
                <w:color w:val="auto"/>
              </w:rPr>
              <w:t>Section 20. Duties of Rights Agent</w:t>
            </w:r>
          </w:p>
        </w:tc>
        <w:tc>
          <w:tcPr>
            <w:tcW w:w="8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440" w:type="dxa"/>
            <w:vAlign w:val="bottom"/>
          </w:tcPr>
          <w:p>
            <w:pPr>
              <w:spacing w:after="0"/>
              <w:rPr>
                <w:sz w:val="20"/>
                <w:szCs w:val="20"/>
                <w:color w:val="auto"/>
              </w:rPr>
            </w:pPr>
            <w:r>
              <w:rPr>
                <w:rFonts w:ascii="Arial" w:cs="Arial" w:eastAsia="Arial" w:hAnsi="Arial"/>
                <w:sz w:val="18"/>
                <w:szCs w:val="18"/>
                <w:color w:val="auto"/>
              </w:rPr>
              <w:t>Section 21. Change of Rights Agent</w:t>
            </w:r>
          </w:p>
        </w:tc>
        <w:tc>
          <w:tcPr>
            <w:tcW w:w="8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0440" w:type="dxa"/>
            <w:vAlign w:val="bottom"/>
          </w:tcPr>
          <w:p>
            <w:pPr>
              <w:spacing w:after="0"/>
              <w:rPr>
                <w:sz w:val="20"/>
                <w:szCs w:val="20"/>
                <w:color w:val="auto"/>
              </w:rPr>
            </w:pPr>
            <w:r>
              <w:rPr>
                <w:rFonts w:ascii="Arial" w:cs="Arial" w:eastAsia="Arial" w:hAnsi="Arial"/>
                <w:sz w:val="18"/>
                <w:szCs w:val="18"/>
                <w:color w:val="auto"/>
              </w:rPr>
              <w:t>Section 22. Issuance of New Rights Certificates</w:t>
            </w:r>
          </w:p>
        </w:tc>
        <w:tc>
          <w:tcPr>
            <w:tcW w:w="8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0440" w:type="dxa"/>
            <w:vAlign w:val="bottom"/>
          </w:tcPr>
          <w:p>
            <w:pPr>
              <w:spacing w:after="0"/>
              <w:rPr>
                <w:sz w:val="20"/>
                <w:szCs w:val="20"/>
                <w:color w:val="auto"/>
              </w:rPr>
            </w:pPr>
            <w:r>
              <w:rPr>
                <w:rFonts w:ascii="Arial" w:cs="Arial" w:eastAsia="Arial" w:hAnsi="Arial"/>
                <w:sz w:val="18"/>
                <w:szCs w:val="18"/>
                <w:color w:val="auto"/>
              </w:rPr>
              <w:t>Section 23. Redemption</w:t>
            </w:r>
          </w:p>
        </w:tc>
        <w:tc>
          <w:tcPr>
            <w:tcW w:w="8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0440" w:type="dxa"/>
            <w:vAlign w:val="bottom"/>
          </w:tcPr>
          <w:p>
            <w:pPr>
              <w:spacing w:after="0"/>
              <w:rPr>
                <w:sz w:val="20"/>
                <w:szCs w:val="20"/>
                <w:color w:val="auto"/>
              </w:rPr>
            </w:pPr>
            <w:r>
              <w:rPr>
                <w:rFonts w:ascii="Arial" w:cs="Arial" w:eastAsia="Arial" w:hAnsi="Arial"/>
                <w:sz w:val="18"/>
                <w:szCs w:val="18"/>
                <w:color w:val="auto"/>
              </w:rPr>
              <w:t>Section 24. Exchange</w:t>
            </w:r>
          </w:p>
        </w:tc>
        <w:tc>
          <w:tcPr>
            <w:tcW w:w="8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0440" w:type="dxa"/>
            <w:vAlign w:val="bottom"/>
          </w:tcPr>
          <w:p>
            <w:pPr>
              <w:spacing w:after="0"/>
              <w:rPr>
                <w:sz w:val="20"/>
                <w:szCs w:val="20"/>
                <w:color w:val="auto"/>
              </w:rPr>
            </w:pPr>
            <w:r>
              <w:rPr>
                <w:rFonts w:ascii="Arial" w:cs="Arial" w:eastAsia="Arial" w:hAnsi="Arial"/>
                <w:sz w:val="18"/>
                <w:szCs w:val="18"/>
                <w:color w:val="auto"/>
              </w:rPr>
              <w:t>Section 25. Process to Seek Exemption Prior to Trigger Event</w:t>
            </w:r>
          </w:p>
        </w:tc>
        <w:tc>
          <w:tcPr>
            <w:tcW w:w="8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0440" w:type="dxa"/>
            <w:vAlign w:val="bottom"/>
          </w:tcPr>
          <w:p>
            <w:pPr>
              <w:spacing w:after="0"/>
              <w:rPr>
                <w:sz w:val="20"/>
                <w:szCs w:val="20"/>
                <w:color w:val="auto"/>
              </w:rPr>
            </w:pPr>
            <w:r>
              <w:rPr>
                <w:rFonts w:ascii="Arial" w:cs="Arial" w:eastAsia="Arial" w:hAnsi="Arial"/>
                <w:sz w:val="18"/>
                <w:szCs w:val="18"/>
                <w:color w:val="auto"/>
              </w:rPr>
              <w:t>Section 26. Notice of Certain Events</w:t>
            </w:r>
          </w:p>
        </w:tc>
        <w:tc>
          <w:tcPr>
            <w:tcW w:w="8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0440" w:type="dxa"/>
            <w:vAlign w:val="bottom"/>
          </w:tcPr>
          <w:p>
            <w:pPr>
              <w:spacing w:after="0"/>
              <w:rPr>
                <w:sz w:val="20"/>
                <w:szCs w:val="20"/>
                <w:color w:val="auto"/>
              </w:rPr>
            </w:pPr>
            <w:r>
              <w:rPr>
                <w:rFonts w:ascii="Arial" w:cs="Arial" w:eastAsia="Arial" w:hAnsi="Arial"/>
                <w:sz w:val="18"/>
                <w:szCs w:val="18"/>
                <w:color w:val="auto"/>
              </w:rPr>
              <w:t>Section 27. Notices</w:t>
            </w:r>
          </w:p>
        </w:tc>
        <w:tc>
          <w:tcPr>
            <w:tcW w:w="8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0440" w:type="dxa"/>
            <w:vAlign w:val="bottom"/>
          </w:tcPr>
          <w:p>
            <w:pPr>
              <w:spacing w:after="0"/>
              <w:rPr>
                <w:sz w:val="20"/>
                <w:szCs w:val="20"/>
                <w:color w:val="auto"/>
              </w:rPr>
            </w:pPr>
            <w:r>
              <w:rPr>
                <w:rFonts w:ascii="Arial" w:cs="Arial" w:eastAsia="Arial" w:hAnsi="Arial"/>
                <w:sz w:val="18"/>
                <w:szCs w:val="18"/>
                <w:color w:val="auto"/>
              </w:rPr>
              <w:t>Section 28. Supplements and Amendments</w:t>
            </w:r>
          </w:p>
        </w:tc>
        <w:tc>
          <w:tcPr>
            <w:tcW w:w="8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0440" w:type="dxa"/>
            <w:vAlign w:val="bottom"/>
          </w:tcPr>
          <w:p>
            <w:pPr>
              <w:spacing w:after="0"/>
              <w:rPr>
                <w:sz w:val="20"/>
                <w:szCs w:val="20"/>
                <w:color w:val="auto"/>
              </w:rPr>
            </w:pPr>
            <w:r>
              <w:rPr>
                <w:rFonts w:ascii="Arial" w:cs="Arial" w:eastAsia="Arial" w:hAnsi="Arial"/>
                <w:sz w:val="18"/>
                <w:szCs w:val="18"/>
                <w:color w:val="auto"/>
              </w:rPr>
              <w:t>Section 29. Successors</w:t>
            </w:r>
          </w:p>
        </w:tc>
        <w:tc>
          <w:tcPr>
            <w:tcW w:w="8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0440" w:type="dxa"/>
            <w:vAlign w:val="bottom"/>
          </w:tcPr>
          <w:p>
            <w:pPr>
              <w:spacing w:after="0"/>
              <w:rPr>
                <w:sz w:val="20"/>
                <w:szCs w:val="20"/>
                <w:color w:val="auto"/>
              </w:rPr>
            </w:pPr>
            <w:r>
              <w:rPr>
                <w:rFonts w:ascii="Arial" w:cs="Arial" w:eastAsia="Arial" w:hAnsi="Arial"/>
                <w:sz w:val="18"/>
                <w:szCs w:val="18"/>
                <w:color w:val="auto"/>
              </w:rPr>
              <w:t>Section 30. Determinations and Actions by the Board</w:t>
            </w:r>
          </w:p>
        </w:tc>
        <w:tc>
          <w:tcPr>
            <w:tcW w:w="8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0440" w:type="dxa"/>
            <w:vAlign w:val="bottom"/>
          </w:tcPr>
          <w:p>
            <w:pPr>
              <w:spacing w:after="0"/>
              <w:rPr>
                <w:sz w:val="20"/>
                <w:szCs w:val="20"/>
                <w:color w:val="auto"/>
              </w:rPr>
            </w:pPr>
            <w:r>
              <w:rPr>
                <w:rFonts w:ascii="Arial" w:cs="Arial" w:eastAsia="Arial" w:hAnsi="Arial"/>
                <w:sz w:val="18"/>
                <w:szCs w:val="18"/>
                <w:color w:val="auto"/>
              </w:rPr>
              <w:t>Section 31. Benefits of this Plan</w:t>
            </w:r>
          </w:p>
        </w:tc>
        <w:tc>
          <w:tcPr>
            <w:tcW w:w="8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0440" w:type="dxa"/>
            <w:vAlign w:val="bottom"/>
          </w:tcPr>
          <w:p>
            <w:pPr>
              <w:spacing w:after="0"/>
              <w:rPr>
                <w:sz w:val="20"/>
                <w:szCs w:val="20"/>
                <w:color w:val="auto"/>
              </w:rPr>
            </w:pPr>
            <w:r>
              <w:rPr>
                <w:rFonts w:ascii="Arial" w:cs="Arial" w:eastAsia="Arial" w:hAnsi="Arial"/>
                <w:sz w:val="18"/>
                <w:szCs w:val="18"/>
                <w:color w:val="auto"/>
              </w:rPr>
              <w:t>Section 32. Severability</w:t>
            </w:r>
          </w:p>
        </w:tc>
        <w:tc>
          <w:tcPr>
            <w:tcW w:w="8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0440" w:type="dxa"/>
            <w:vAlign w:val="bottom"/>
          </w:tcPr>
          <w:p>
            <w:pPr>
              <w:spacing w:after="0"/>
              <w:rPr>
                <w:sz w:val="20"/>
                <w:szCs w:val="20"/>
                <w:color w:val="auto"/>
              </w:rPr>
            </w:pPr>
            <w:r>
              <w:rPr>
                <w:rFonts w:ascii="Arial" w:cs="Arial" w:eastAsia="Arial" w:hAnsi="Arial"/>
                <w:sz w:val="18"/>
                <w:szCs w:val="18"/>
                <w:color w:val="auto"/>
              </w:rPr>
              <w:t>Section 33. Governing Law; Exclusive Jurisdiction</w:t>
            </w:r>
          </w:p>
        </w:tc>
        <w:tc>
          <w:tcPr>
            <w:tcW w:w="8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0440" w:type="dxa"/>
            <w:vAlign w:val="bottom"/>
          </w:tcPr>
          <w:p>
            <w:pPr>
              <w:spacing w:after="0"/>
              <w:rPr>
                <w:sz w:val="20"/>
                <w:szCs w:val="20"/>
                <w:color w:val="auto"/>
              </w:rPr>
            </w:pPr>
            <w:r>
              <w:rPr>
                <w:rFonts w:ascii="Arial" w:cs="Arial" w:eastAsia="Arial" w:hAnsi="Arial"/>
                <w:sz w:val="18"/>
                <w:szCs w:val="18"/>
                <w:color w:val="auto"/>
              </w:rPr>
              <w:t>Section 34. Counterparts</w:t>
            </w:r>
          </w:p>
        </w:tc>
        <w:tc>
          <w:tcPr>
            <w:tcW w:w="8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0440" w:type="dxa"/>
            <w:vAlign w:val="bottom"/>
          </w:tcPr>
          <w:p>
            <w:pPr>
              <w:spacing w:after="0"/>
              <w:rPr>
                <w:sz w:val="20"/>
                <w:szCs w:val="20"/>
                <w:color w:val="auto"/>
              </w:rPr>
            </w:pPr>
            <w:r>
              <w:rPr>
                <w:rFonts w:ascii="Arial" w:cs="Arial" w:eastAsia="Arial" w:hAnsi="Arial"/>
                <w:sz w:val="18"/>
                <w:szCs w:val="18"/>
                <w:color w:val="auto"/>
              </w:rPr>
              <w:t>Section 35. Descriptive Headings; Interpretation</w:t>
            </w:r>
          </w:p>
        </w:tc>
        <w:tc>
          <w:tcPr>
            <w:tcW w:w="8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0440" w:type="dxa"/>
            <w:vAlign w:val="bottom"/>
          </w:tcPr>
          <w:p>
            <w:pPr>
              <w:spacing w:after="0"/>
              <w:rPr>
                <w:sz w:val="20"/>
                <w:szCs w:val="20"/>
                <w:color w:val="auto"/>
              </w:rPr>
            </w:pPr>
            <w:r>
              <w:rPr>
                <w:rFonts w:ascii="Arial" w:cs="Arial" w:eastAsia="Arial" w:hAnsi="Arial"/>
                <w:sz w:val="18"/>
                <w:szCs w:val="18"/>
                <w:color w:val="auto"/>
              </w:rPr>
              <w:t>Section 36. Costs of Enforcement</w:t>
            </w:r>
          </w:p>
        </w:tc>
        <w:tc>
          <w:tcPr>
            <w:tcW w:w="8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0440" w:type="dxa"/>
            <w:vAlign w:val="bottom"/>
          </w:tcPr>
          <w:p>
            <w:pPr>
              <w:spacing w:after="0"/>
              <w:rPr>
                <w:sz w:val="20"/>
                <w:szCs w:val="20"/>
                <w:color w:val="auto"/>
              </w:rPr>
            </w:pPr>
            <w:r>
              <w:rPr>
                <w:rFonts w:ascii="Arial" w:cs="Arial" w:eastAsia="Arial" w:hAnsi="Arial"/>
                <w:sz w:val="18"/>
                <w:szCs w:val="18"/>
                <w:color w:val="auto"/>
              </w:rPr>
              <w:t>Section 37. Force Majeure</w:t>
            </w:r>
          </w:p>
        </w:tc>
        <w:tc>
          <w:tcPr>
            <w:tcW w:w="8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10440" w:type="dxa"/>
            <w:vAlign w:val="bottom"/>
          </w:tcPr>
          <w:p>
            <w:pPr>
              <w:spacing w:after="0"/>
              <w:rPr>
                <w:sz w:val="20"/>
                <w:szCs w:val="20"/>
                <w:color w:val="auto"/>
              </w:rPr>
            </w:pPr>
            <w:r>
              <w:rPr>
                <w:rFonts w:ascii="Arial" w:cs="Arial" w:eastAsia="Arial" w:hAnsi="Arial"/>
                <w:sz w:val="18"/>
                <w:szCs w:val="18"/>
                <w:color w:val="auto"/>
              </w:rPr>
              <w:t>Section 38. USA PATRIOT Act</w:t>
            </w:r>
          </w:p>
        </w:tc>
        <w:tc>
          <w:tcPr>
            <w:tcW w:w="880" w:type="dxa"/>
            <w:vAlign w:val="bottom"/>
          </w:tcPr>
          <w:p>
            <w:pPr>
              <w:jc w:val="right"/>
              <w:spacing w:after="0"/>
              <w:rPr>
                <w:sz w:val="20"/>
                <w:szCs w:val="20"/>
                <w:color w:val="auto"/>
              </w:rPr>
            </w:pPr>
            <w:r>
              <w:rPr>
                <w:rFonts w:ascii="Arial" w:cs="Arial" w:eastAsia="Arial" w:hAnsi="Arial"/>
                <w:sz w:val="18"/>
                <w:szCs w:val="18"/>
                <w:color w:val="auto"/>
              </w:rPr>
              <w:t>53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70"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4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Form of Certificate of Designation of Rights, Preferences and Privileges of Series A Participating Preferred Stock</w:t>
      </w:r>
    </w:p>
    <w:p>
      <w:pPr>
        <w:spacing w:after="0" w:line="11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6"/>
          <w:szCs w:val="16"/>
          <w:color w:val="auto"/>
        </w:rPr>
        <w:t>Form of Rights Certificate</w:t>
      </w:r>
    </w:p>
    <w:p>
      <w:pPr>
        <w:spacing w:after="0" w:line="11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C</w:t>
      </w:r>
      <w:r>
        <w:rPr>
          <w:sz w:val="20"/>
          <w:szCs w:val="20"/>
          <w:color w:val="auto"/>
        </w:rPr>
        <w:tab/>
      </w:r>
      <w:r>
        <w:rPr>
          <w:rFonts w:ascii="Arial" w:cs="Arial" w:eastAsia="Arial" w:hAnsi="Arial"/>
          <w:sz w:val="16"/>
          <w:szCs w:val="16"/>
          <w:color w:val="auto"/>
        </w:rPr>
        <w:t>Form of Summary of Rights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70" w:right="239" w:bottom="1440" w:gutter="0" w:footer="0" w:header="0"/>
        </w:sectPr>
      </w:pPr>
    </w:p>
    <w:bookmarkStart w:id="18" w:name="page19"/>
    <w:bookmarkEnd w:id="1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TAX BENEFIT PRESERVATION PLAN</w:t>
      </w:r>
    </w:p>
    <w:p>
      <w:pPr>
        <w:spacing w:after="0" w:line="225"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color w:val="auto"/>
        </w:rPr>
        <w:t>This TAX BENEFIT PRESERVATION PLAN (this “</w:t>
      </w:r>
      <w:r>
        <w:rPr>
          <w:rFonts w:ascii="Arial" w:cs="Arial" w:eastAsia="Arial" w:hAnsi="Arial"/>
          <w:sz w:val="18"/>
          <w:szCs w:val="18"/>
          <w:b w:val="1"/>
          <w:bCs w:val="1"/>
          <w:color w:val="auto"/>
        </w:rPr>
        <w:t>Plan</w:t>
      </w:r>
      <w:r>
        <w:rPr>
          <w:rFonts w:ascii="Arial" w:cs="Arial" w:eastAsia="Arial" w:hAnsi="Arial"/>
          <w:sz w:val="18"/>
          <w:szCs w:val="18"/>
          <w:color w:val="auto"/>
        </w:rPr>
        <w:t>”), dated as of November 21, 2016, is by and between FLUIDIGM CORPORATION,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Computershare Inc., a Delaware corporation, as rights agent (the “</w:t>
      </w:r>
      <w:r>
        <w:rPr>
          <w:rFonts w:ascii="Arial" w:cs="Arial" w:eastAsia="Arial" w:hAnsi="Arial"/>
          <w:sz w:val="18"/>
          <w:szCs w:val="18"/>
          <w:b w:val="1"/>
          <w:bCs w:val="1"/>
          <w:color w:val="auto"/>
        </w:rPr>
        <w:t>Rights Agent</w:t>
      </w:r>
      <w:r>
        <w:rPr>
          <w:rFonts w:ascii="Arial" w:cs="Arial" w:eastAsia="Arial" w:hAnsi="Arial"/>
          <w:sz w:val="18"/>
          <w:szCs w:val="18"/>
          <w:color w:val="auto"/>
        </w:rPr>
        <w:t>”). All capitalized terms used in this Plan have the meanings given thereto in Section 1.</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WHEREAS, on November 21, 2016 (the “</w:t>
      </w:r>
      <w:r>
        <w:rPr>
          <w:rFonts w:ascii="Arial" w:cs="Arial" w:eastAsia="Arial" w:hAnsi="Arial"/>
          <w:sz w:val="18"/>
          <w:szCs w:val="18"/>
          <w:b w:val="1"/>
          <w:bCs w:val="1"/>
          <w:color w:val="auto"/>
        </w:rPr>
        <w:t>Rights Dividend Declaration Date</w:t>
      </w:r>
      <w:r>
        <w:rPr>
          <w:rFonts w:ascii="Arial" w:cs="Arial" w:eastAsia="Arial" w:hAnsi="Arial"/>
          <w:sz w:val="18"/>
          <w:szCs w:val="18"/>
          <w:color w:val="auto"/>
        </w:rPr>
        <w:t>”), the Board of Directors of the Company (the “</w:t>
      </w:r>
      <w:r>
        <w:rPr>
          <w:rFonts w:ascii="Arial" w:cs="Arial" w:eastAsia="Arial" w:hAnsi="Arial"/>
          <w:sz w:val="18"/>
          <w:szCs w:val="18"/>
          <w:b w:val="1"/>
          <w:bCs w:val="1"/>
          <w:color w:val="auto"/>
        </w:rPr>
        <w:t>Board</w:t>
      </w:r>
      <w:r>
        <w:rPr>
          <w:rFonts w:ascii="Arial" w:cs="Arial" w:eastAsia="Arial" w:hAnsi="Arial"/>
          <w:sz w:val="18"/>
          <w:szCs w:val="18"/>
          <w:color w:val="auto"/>
        </w:rPr>
        <w:t>”) adopted this Plan and authorized and declared a dividend of one preferred share purchase right (a “</w:t>
      </w:r>
      <w:r>
        <w:rPr>
          <w:rFonts w:ascii="Arial" w:cs="Arial" w:eastAsia="Arial" w:hAnsi="Arial"/>
          <w:sz w:val="18"/>
          <w:szCs w:val="18"/>
          <w:b w:val="1"/>
          <w:bCs w:val="1"/>
          <w:color w:val="auto"/>
        </w:rPr>
        <w:t>Right</w:t>
      </w:r>
      <w:r>
        <w:rPr>
          <w:rFonts w:ascii="Arial" w:cs="Arial" w:eastAsia="Arial" w:hAnsi="Arial"/>
          <w:sz w:val="18"/>
          <w:szCs w:val="18"/>
          <w:color w:val="auto"/>
        </w:rPr>
        <w:t>”) for each Common Share outstanding as of the Close of Business on December 1, 2016 (the “</w:t>
      </w:r>
      <w:r>
        <w:rPr>
          <w:rFonts w:ascii="Arial" w:cs="Arial" w:eastAsia="Arial" w:hAnsi="Arial"/>
          <w:sz w:val="18"/>
          <w:szCs w:val="18"/>
          <w:b w:val="1"/>
          <w:bCs w:val="1"/>
          <w:color w:val="auto"/>
        </w:rPr>
        <w:t>Record Date</w:t>
      </w:r>
      <w:r>
        <w:rPr>
          <w:rFonts w:ascii="Arial" w:cs="Arial" w:eastAsia="Arial" w:hAnsi="Arial"/>
          <w:sz w:val="18"/>
          <w:szCs w:val="18"/>
          <w:color w:val="auto"/>
        </w:rPr>
        <w:t>”), each Right initially representing the right to purchase one one-thousandth of a Preferred Share (as such number may be adjusted pursuant to the provisions of this Plan) and having the rights, preferences and privileges set forth in the form of Certificate of Designation of Rights, Preferences and Privileges of Series A Participating Preferred Stock attached hereto as Exhibit A, upon the terms and subject to the conditions set forth herein;</w:t>
      </w:r>
    </w:p>
    <w:p>
      <w:pPr>
        <w:spacing w:after="0" w:line="192" w:lineRule="exact"/>
        <w:rPr>
          <w:sz w:val="20"/>
          <w:szCs w:val="20"/>
          <w:color w:val="auto"/>
        </w:rPr>
      </w:pPr>
    </w:p>
    <w:p>
      <w:pPr>
        <w:jc w:val="both"/>
        <w:ind w:right="240" w:firstLine="456"/>
        <w:spacing w:after="0" w:line="312" w:lineRule="auto"/>
        <w:rPr>
          <w:sz w:val="20"/>
          <w:szCs w:val="20"/>
          <w:color w:val="auto"/>
        </w:rPr>
      </w:pPr>
      <w:r>
        <w:rPr>
          <w:rFonts w:ascii="Arial" w:cs="Arial" w:eastAsia="Arial" w:hAnsi="Arial"/>
          <w:sz w:val="16"/>
          <w:szCs w:val="16"/>
          <w:color w:val="auto"/>
        </w:rPr>
        <w:t>WHEREAS, the Board further authorized and directed the issuance of one Right (as such number may be adjusted pursuant to the provisions of this Plan) with respect to each Common Share that becomes outstanding (whether as an original issuance or from the Company’s treasury) between the Record Date and the earlier of the (a) Distribution Date and (b) Expiration Date, and in certain circumstances after the Distribution Date;</w:t>
      </w:r>
    </w:p>
    <w:p>
      <w:pPr>
        <w:spacing w:after="0" w:line="147"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WHEREAS, if the Company experiences an “ownership change,” as defined in Section 382 of the Internal Revenue Code of 1986, as amended, or any successor statute (the “</w:t>
      </w:r>
      <w:r>
        <w:rPr>
          <w:rFonts w:ascii="Arial" w:cs="Arial" w:eastAsia="Arial" w:hAnsi="Arial"/>
          <w:sz w:val="16"/>
          <w:szCs w:val="16"/>
          <w:b w:val="1"/>
          <w:bCs w:val="1"/>
          <w:color w:val="auto"/>
        </w:rPr>
        <w:t>Code</w:t>
      </w:r>
      <w:r>
        <w:rPr>
          <w:rFonts w:ascii="Arial" w:cs="Arial" w:eastAsia="Arial" w:hAnsi="Arial"/>
          <w:sz w:val="16"/>
          <w:szCs w:val="16"/>
          <w:color w:val="auto"/>
        </w:rPr>
        <w:t>”), its ability to use Tax Benefits (as defined below) for income tax purposes could be substantially limited or lost altogether; and</w:t>
      </w:r>
    </w:p>
    <w:p>
      <w:pPr>
        <w:spacing w:after="0" w:line="124"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WHEREAS, the Company views the Tax Benefits as highly valuable assets of the Company that are likely to inure to the benefit of the Company and its stockholders, and the Company believes that it is in the best interests of the Company and its stockholders that the Company provide for the protection of the Tax Benefits on the terms and conditions set forth herein.</w:t>
      </w:r>
    </w:p>
    <w:p>
      <w:pPr>
        <w:sectPr>
          <w:pgSz w:w="11900" w:h="16838" w:orient="portrait"/>
          <w:cols w:equalWidth="0" w:num="1">
            <w:col w:w="11380"/>
          </w:cols>
          <w:pgMar w:left="240" w:top="270" w:right="27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NOW, THEREFORE, in consideration of the premises and the mutual agreements herein set forth, the parties hereby agree as follows:</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i w:val="1"/>
          <w:iCs w:val="1"/>
          <w:color w:val="auto"/>
        </w:rPr>
        <w:t>Certain Definitions</w:t>
      </w:r>
      <w:r>
        <w:rPr>
          <w:rFonts w:ascii="Arial" w:cs="Arial" w:eastAsia="Arial" w:hAnsi="Arial"/>
          <w:sz w:val="18"/>
          <w:szCs w:val="18"/>
          <w:color w:val="auto"/>
        </w:rPr>
        <w:t>. For purposes of this Plan, the following terms have the meanings indicated:</w:t>
      </w:r>
    </w:p>
    <w:p>
      <w:pPr>
        <w:spacing w:after="0" w:line="221" w:lineRule="exact"/>
        <w:rPr>
          <w:sz w:val="20"/>
          <w:szCs w:val="20"/>
          <w:color w:val="auto"/>
        </w:rPr>
      </w:pPr>
    </w:p>
    <w:p>
      <w:pPr>
        <w:ind w:left="-60" w:firstLine="921"/>
        <w:spacing w:after="0" w:line="284" w:lineRule="auto"/>
        <w:tabs>
          <w:tab w:leader="none" w:pos="1233" w:val="left"/>
        </w:tabs>
        <w:numPr>
          <w:ilvl w:val="0"/>
          <w:numId w:val="1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Acquiring Person</w:t>
      </w:r>
      <w:r>
        <w:rPr>
          <w:rFonts w:ascii="Arial" w:cs="Arial" w:eastAsia="Arial" w:hAnsi="Arial"/>
          <w:sz w:val="16"/>
          <w:szCs w:val="16"/>
          <w:color w:val="auto"/>
        </w:rPr>
        <w:t xml:space="preserve">” means any Person who or that, together with all Affiliates and Associates of such Person, is the Beneficial Owner of 4.99% or more of the Common Shares then outstanding, but not including (i) any Exempt Person; or (ii) any Existing Holder, unless and until such time as such Existing Holder becomes the Beneficial Owner of additional Common Shares equal to 0.10% or more of the Common Shares then outstanding (other than pursuant to a dividend or distribution paid or made by the Company on the outstanding Common Shares in Common Shares or pursuant to a split or subdivision of the outstanding Common Shares), unless upon becoming the Beneficial Owner of such additional Common Shares, such Existing Holder does not Beneficially Own 4.99% or more of the Common Shares then outstanding. Notwithstanding the foregoing, no Person will be deemed to be an Acquiring Person as the result of an acquisition of Common Shares by an Exempt Person that, by reducing the number of Common Shares then outstanding, increases the proportionate number of Common Shares that are Beneficially Owned by such Person to 4.99% or more of the Common Shares then outstanding;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if a Person becomes the Beneficial Owner of 4.99% or more of the Common Shares then outstanding solely as the result of a</w:t>
      </w:r>
      <w:r>
        <w:rPr>
          <w:rFonts w:ascii="Arial" w:cs="Arial" w:eastAsia="Arial" w:hAnsi="Arial"/>
          <w:sz w:val="16"/>
          <w:szCs w:val="16"/>
          <w:i w:val="1"/>
          <w:iCs w:val="1"/>
          <w:color w:val="auto"/>
        </w:rPr>
        <w:t xml:space="preserve"> </w:t>
      </w:r>
      <w:r>
        <w:rPr>
          <w:rFonts w:ascii="Arial" w:cs="Arial" w:eastAsia="Arial" w:hAnsi="Arial"/>
          <w:sz w:val="16"/>
          <w:szCs w:val="16"/>
          <w:color w:val="auto"/>
        </w:rPr>
        <w:t>reduction in the number of Common Shares then outstanding due to an acquisition of Common Shares by an Exempt Person and, after such acquisition by such Exempt Person, becomes the Beneficial Owner of additional Common Shares equal to 0.10% or more of the Common Shares then outstanding (other than pursuant to a dividend or distribution paid or made by the Company on the outstanding Common Shares in Common Shares or pursuant to a split or subdivision of the outstanding Common Shares), then such Person will be deemed to be an Acquiring Person unless, upon becoming the Beneficial Owner of such additional Common Shares, such Person does not Beneficially Own 4.99% or more of the Common Shares then outstanding. Notwithstanding the foregoing, if the Board determines in good faith that a Person who would otherwise be an Acquiring Person has become such inadvertently (including because (A) such Person was unaware that it Beneficially Owned a percentage of the Common Shares that would otherwise cause such Person to be an Acquiring Person or (B) such Person was aware of the extent of the Common Shares that it Beneficially Owned but had no actual knowledge of the consequences of such Beneficial Ownership pursuant to this Plan) and without any intention of changing or influencing control of the Company or negatively affecting the Tax Benefits of the Company, and if such Person divested or divests (including by entering into an agreement with the Company, which agreement is satisfactory to the Board in its sole discretion, to divest and subsequently divests in accordance with the terms of such agreement, without exercising or retaining any power, including voting power, with respect to such Common Shares) as promptly as practicable a sufficient number of Common Shares so that such Person would no longer be an Acquiring Person, then the Board may determine in its sole discretion that it would not be in the best interests of the Company for such Person to be deemed to be or to have become an Acquiring Person at any time for any purposes of this Plan. For all purposes of this Plan, any calculation of the number of Common Shares outstanding at any particular time, including for purposes of determining the particular percentage of the outstanding Common Shares of which any Person is the Beneficial Owner, will be calculated in accordance with Section 382 and the Treasury Regulations promulgated thereunder.</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00"/>
          </w:cols>
          <w:pgMar w:left="300" w:top="270" w:right="299" w:bottom="1440" w:gutter="0" w:footer="0" w:header="0"/>
        </w:sectPr>
      </w:pPr>
    </w:p>
    <w:bookmarkStart w:id="20" w:name="page21"/>
    <w:bookmarkEnd w:id="20"/>
    <w:p>
      <w:pPr>
        <w:ind w:left="1320" w:hanging="399"/>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Adjustment Shares</w:t>
      </w:r>
      <w:r>
        <w:rPr>
          <w:rFonts w:ascii="Arial" w:cs="Arial" w:eastAsia="Arial" w:hAnsi="Arial"/>
          <w:sz w:val="18"/>
          <w:szCs w:val="18"/>
          <w:color w:val="auto"/>
        </w:rPr>
        <w:t>” has the meaning set forth in Section 11(a)(ii).</w:t>
      </w:r>
    </w:p>
    <w:p>
      <w:pPr>
        <w:spacing w:after="0" w:line="225" w:lineRule="exact"/>
        <w:rPr>
          <w:rFonts w:ascii="Arial" w:cs="Arial" w:eastAsia="Arial" w:hAnsi="Arial"/>
          <w:sz w:val="18"/>
          <w:szCs w:val="18"/>
          <w:color w:val="auto"/>
        </w:rPr>
      </w:pPr>
    </w:p>
    <w:p>
      <w:pPr>
        <w:ind w:right="60" w:firstLine="921"/>
        <w:spacing w:after="0" w:line="292" w:lineRule="auto"/>
        <w:tabs>
          <w:tab w:leader="none" w:pos="1293" w:val="left"/>
        </w:tabs>
        <w:numPr>
          <w:ilvl w:val="0"/>
          <w:numId w:val="1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and “</w:t>
      </w:r>
      <w:r>
        <w:rPr>
          <w:rFonts w:ascii="Arial" w:cs="Arial" w:eastAsia="Arial" w:hAnsi="Arial"/>
          <w:sz w:val="16"/>
          <w:szCs w:val="16"/>
          <w:b w:val="1"/>
          <w:bCs w:val="1"/>
          <w:color w:val="auto"/>
        </w:rPr>
        <w:t>Associate</w:t>
      </w:r>
      <w:r>
        <w:rPr>
          <w:rFonts w:ascii="Arial" w:cs="Arial" w:eastAsia="Arial" w:hAnsi="Arial"/>
          <w:sz w:val="16"/>
          <w:szCs w:val="16"/>
          <w:color w:val="auto"/>
        </w:rPr>
        <w:t xml:space="preserve">” have the respective meanings ascribed to such terms in Rule 12b-2 of the General Rules and Regulations promulgated under the Exchange Act, as in effect on the Rights Dividend Declaration Date and, to the extent not included within the foregoing, will also include, with respect to any Person, any other Person (other than an Exempt Person or an Existing Holder) whose Stock or other securities (i) would be deemed owned constructively or indirectly by such first Person for purposes of Section 382; (ii) would be deemed owned by a single “entity” as defined in Treasury Regulations § 1.382-3(a)(1) in which both such first Person and such other Person are included; or (iii) otherwise would be deemed aggregated with the Stock or other securities owned by such first Person pursuant to the provisions of Section 382;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Person will not be deemed to be an Affiliate or Associate of another Person solely because either or both such Persons are or were directors of the Company.</w:t>
      </w:r>
    </w:p>
    <w:p>
      <w:pPr>
        <w:spacing w:after="0" w:line="161" w:lineRule="exact"/>
        <w:rPr>
          <w:rFonts w:ascii="Arial" w:cs="Arial" w:eastAsia="Arial" w:hAnsi="Arial"/>
          <w:sz w:val="16"/>
          <w:szCs w:val="16"/>
          <w:color w:val="auto"/>
        </w:rPr>
      </w:pPr>
    </w:p>
    <w:p>
      <w:pPr>
        <w:ind w:left="1300" w:hanging="379"/>
        <w:spacing w:after="0"/>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Person will be deemed to be the “</w:t>
      </w:r>
      <w:r>
        <w:rPr>
          <w:rFonts w:ascii="Arial" w:cs="Arial" w:eastAsia="Arial" w:hAnsi="Arial"/>
          <w:sz w:val="16"/>
          <w:szCs w:val="16"/>
          <w:b w:val="1"/>
          <w:bCs w:val="1"/>
          <w:color w:val="auto"/>
        </w:rPr>
        <w:t>Beneficial Owner</w:t>
      </w:r>
      <w:r>
        <w:rPr>
          <w:rFonts w:ascii="Arial" w:cs="Arial" w:eastAsia="Arial" w:hAnsi="Arial"/>
          <w:sz w:val="16"/>
          <w:szCs w:val="16"/>
          <w:color w:val="auto"/>
        </w:rPr>
        <w:t>” of, and will be deemed to “</w:t>
      </w:r>
      <w:r>
        <w:rPr>
          <w:rFonts w:ascii="Arial" w:cs="Arial" w:eastAsia="Arial" w:hAnsi="Arial"/>
          <w:sz w:val="16"/>
          <w:szCs w:val="16"/>
          <w:b w:val="1"/>
          <w:bCs w:val="1"/>
          <w:color w:val="auto"/>
        </w:rPr>
        <w:t>Beneficially Own</w:t>
      </w:r>
      <w:r>
        <w:rPr>
          <w:rFonts w:ascii="Arial" w:cs="Arial" w:eastAsia="Arial" w:hAnsi="Arial"/>
          <w:sz w:val="16"/>
          <w:szCs w:val="16"/>
          <w:color w:val="auto"/>
        </w:rPr>
        <w:t>” and have “</w:t>
      </w:r>
      <w:r>
        <w:rPr>
          <w:rFonts w:ascii="Arial" w:cs="Arial" w:eastAsia="Arial" w:hAnsi="Arial"/>
          <w:sz w:val="16"/>
          <w:szCs w:val="16"/>
          <w:b w:val="1"/>
          <w:bCs w:val="1"/>
          <w:color w:val="auto"/>
        </w:rPr>
        <w:t>Beneficial Ownership</w:t>
      </w:r>
      <w:r>
        <w:rPr>
          <w:rFonts w:ascii="Arial" w:cs="Arial" w:eastAsia="Arial" w:hAnsi="Arial"/>
          <w:sz w:val="16"/>
          <w:szCs w:val="16"/>
          <w:color w:val="auto"/>
        </w:rPr>
        <w:t>”</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any securities:</w:t>
      </w:r>
    </w:p>
    <w:p>
      <w:pPr>
        <w:spacing w:after="0" w:line="210" w:lineRule="exact"/>
        <w:rPr>
          <w:rFonts w:ascii="Arial" w:cs="Arial" w:eastAsia="Arial" w:hAnsi="Arial"/>
          <w:sz w:val="16"/>
          <w:szCs w:val="16"/>
          <w:color w:val="auto"/>
        </w:rPr>
      </w:pPr>
    </w:p>
    <w:p>
      <w:pPr>
        <w:ind w:firstLine="1492"/>
        <w:spacing w:after="0" w:line="267" w:lineRule="auto"/>
        <w:tabs>
          <w:tab w:leader="none" w:pos="1833" w:val="left"/>
        </w:tabs>
        <w:numPr>
          <w:ilvl w:val="1"/>
          <w:numId w:val="13"/>
        </w:numPr>
        <w:rPr>
          <w:rFonts w:ascii="Arial" w:cs="Arial" w:eastAsia="Arial" w:hAnsi="Arial"/>
          <w:sz w:val="17"/>
          <w:szCs w:val="17"/>
          <w:color w:val="auto"/>
        </w:rPr>
      </w:pPr>
      <w:r>
        <w:rPr>
          <w:rFonts w:ascii="Arial" w:cs="Arial" w:eastAsia="Arial" w:hAnsi="Arial"/>
          <w:sz w:val="17"/>
          <w:szCs w:val="17"/>
          <w:color w:val="auto"/>
        </w:rPr>
        <w:t xml:space="preserve">that such Person or any of such Person’s Affiliates or Associates, directly or indirectly, owns or has the legal, equitable or contractual right or obligation to acquire (whether directly or indirectly and whether exercisable immediately or only after the passage of time, compliance with regulatory requirements, satisfaction of one or more conditions (whether or not within the control of such Person) or otherwise) (A) pursuant to any agreement, arrangement or understanding whether or not in writing (other than customary agreements with and between underwriters and selling group members with respect to a bona fide public offering of securities); (B) upon the exercise of any conversion rights, exchange rights, rights (other than the Rights), warrants or options, or otherwise; (C) pursuant to the power to revoke a trust, discretionary account or similar arrangement; (D) pursuant to the power to terminate a repurchase or similar so-called “stock borrowing” agreement, arrangement or understanding; (E) pursuant to the automatic termination of a trust, discretionary account or similar arrangement; or (F) pursuant to any securities (including rights, options or warrants) that are convertible or exchangeable into, or exercisable for, Common Shares at such time as such securities are converted, exchanged or exercised, except to the extent that the acquisition or transfer of such securities (including rights, options or warrants) would be treated as exercised on the date of its acquisition or transfer pursuant to Treasury Regulations § 1.382-4(d);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 Person will not be deemed pursuant to this Section 1(d)(i) to be the Beneficial Owner of, or to Beneficially Own, securities (1) tendered pursuant to a tender or exchange offer made by or on behalf of such Person or any of such Person’s Affiliates or Associates until such tendered securities are accepted for purchase or exchange; (2) issuable upon the exercise of Rights at any time prior to the occurrence of a Triggering Event; (3) issuable upon the exercise of Rights from and after the occurrence of a Triggering Event if such Rights were acquired by such Person or any of such Person’s Affiliates or Associates prior to the Distribution Date or pursuant to Section 3(a) or Section 22 (the “</w:t>
      </w:r>
      <w:r>
        <w:rPr>
          <w:rFonts w:ascii="Arial" w:cs="Arial" w:eastAsia="Arial" w:hAnsi="Arial"/>
          <w:sz w:val="17"/>
          <w:szCs w:val="17"/>
          <w:b w:val="1"/>
          <w:bCs w:val="1"/>
          <w:color w:val="auto"/>
        </w:rPr>
        <w:t>Original Rights</w:t>
      </w:r>
      <w:r>
        <w:rPr>
          <w:rFonts w:ascii="Arial" w:cs="Arial" w:eastAsia="Arial" w:hAnsi="Arial"/>
          <w:sz w:val="17"/>
          <w:szCs w:val="17"/>
          <w:color w:val="auto"/>
        </w:rPr>
        <w:t>”) or pursuant to Section 11(g) in connection with an adjustment made with respect to any Original Rights; or (4) that a Person or any of such Person’s Affiliates or Associates may be deemed to have the right to acquire pursuant to any merger or other acquisition agreement between the Company and such Person (or one or more of its Affiliates or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0" w:right="259" w:bottom="1440" w:gutter="0" w:footer="0" w:header="0"/>
        </w:sectPr>
      </w:pPr>
    </w:p>
    <w:bookmarkStart w:id="21" w:name="page22"/>
    <w:bookmarkEnd w:id="21"/>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Associates), or any tender, voting or support agreement entered into by such Person (or one or more of its Affiliates or Associates) in connection therewith, if such agreement has been approved by the Board prior to there being an Acquiring Person;</w:t>
      </w:r>
    </w:p>
    <w:p>
      <w:pPr>
        <w:spacing w:after="0" w:line="170" w:lineRule="exact"/>
        <w:rPr>
          <w:sz w:val="20"/>
          <w:szCs w:val="20"/>
          <w:color w:val="auto"/>
        </w:rPr>
      </w:pPr>
    </w:p>
    <w:p>
      <w:pPr>
        <w:ind w:right="20" w:firstLine="1492"/>
        <w:spacing w:after="0" w:line="270" w:lineRule="auto"/>
        <w:tabs>
          <w:tab w:leader="none" w:pos="1883" w:val="left"/>
        </w:tabs>
        <w:numPr>
          <w:ilvl w:val="0"/>
          <w:numId w:val="14"/>
        </w:numPr>
        <w:rPr>
          <w:rFonts w:ascii="Arial" w:cs="Arial" w:eastAsia="Arial" w:hAnsi="Arial"/>
          <w:sz w:val="17"/>
          <w:szCs w:val="17"/>
          <w:color w:val="auto"/>
        </w:rPr>
      </w:pPr>
      <w:r>
        <w:rPr>
          <w:rFonts w:ascii="Arial" w:cs="Arial" w:eastAsia="Arial" w:hAnsi="Arial"/>
          <w:sz w:val="17"/>
          <w:szCs w:val="17"/>
          <w:color w:val="auto"/>
        </w:rPr>
        <w:t xml:space="preserve">that such Person or any of such Person’s Affiliates or Associates, directly or indirectly, has the right to vote (including the power to vote or to direct the voting of) or dispose (or direct the disposition) of or has “beneficial ownership” of (as determined pursuant to Rule 13d-3 of the General Rules and Regulations promulgated under the Exchange Act, as in effect on the Rights Dividend Declaration Date), including pursuant to any agreement, arrangement or understanding whether or not in writing, but only if the effect of such agreement, arrangement or understanding is to treat such Persons as an “entity” under Section 1.382-3(a)(1) of the Treasury Regulations;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 Person will not be deemed the Beneficial Owner of, or to Beneficially Own, any security pursuant to this Section 1(d)(ii) as a result of an agreement, arrangement or understanding whether or not in writing to vote such security if such agreement, arrangement or understanding (A) arises solely from a revocable proxy or consent given to such Person in response to a public proxy or consent solicitation made pursuant to, and in accordance with, the applicable provisions of the General Rules and Regulations promulgated under the Exchange Act; and (B) is not also then reportable by such Person on Schedule 13D pursuant to the Exchange Act (or any comparable or successor report); or</w:t>
      </w:r>
    </w:p>
    <w:p>
      <w:pPr>
        <w:spacing w:after="0" w:line="177" w:lineRule="exact"/>
        <w:rPr>
          <w:rFonts w:ascii="Arial" w:cs="Arial" w:eastAsia="Arial" w:hAnsi="Arial"/>
          <w:sz w:val="17"/>
          <w:szCs w:val="17"/>
          <w:color w:val="auto"/>
        </w:rPr>
      </w:pPr>
    </w:p>
    <w:p>
      <w:pPr>
        <w:ind w:firstLine="1492"/>
        <w:spacing w:after="0" w:line="287" w:lineRule="auto"/>
        <w:tabs>
          <w:tab w:leader="none" w:pos="1933"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that are Beneficially Owned, directly or indirectly, by any other Person (or any of such Person’s Affiliates or Associates) with which such first Person (or any of such first Person’s Affiliates or Associates) has any agreement, arrangement or understanding whether or not in writing (other than customary agreements with and between underwriters and selling group members with respect to a bona fide public offering of securities) for the purpose of acquiring, holding, voting (except pursuant to a revocable proxy to the extent contemplated by the proviso to Section 1(d)(ii)) or disposing of any securities of the Company, but only if the effect of such agreement, arrangement or understanding is to treat such Persons as an “entity” pursuant to Treasury Regulations § 1.382-3(a)(1);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no person who is an officer, director or employee of an Exempt Person will be deemed, solely by reason of such person’s status or authority as such, to be a Beneficial Owner of, to have Beneficial Ownership of or to Beneficially Own any securities of the Company that are Beneficially Owned (including in a fiduciary capacity) by an Exempt Person or by any other such officer, director or employee of an Exempt Person;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stockholder of the Company, together with any Affiliate, Associate or other person who may be deemed to be a representative of such stockholder then serving as a director of the Company, will not be deemed to be the Beneficial Owner of, to have Beneficial Ownership of or to Beneficially Own any securities of the Company held by any other Person as a result of any Person affiliated or otherwise associated with such stockholder serving as a director of the Company or taking any action in connection therewith.</w:t>
      </w:r>
    </w:p>
    <w:p>
      <w:pPr>
        <w:spacing w:after="0" w:line="16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Notwithstanding anything in this Plan to the contrary, to the extent not within the foregoing provisions of this Section 1(d), a Person will be deemed to be the Beneficial Owner of, and will be deemed to Beneficially Own or have Beneficial Ownership of, Stock held by any other Person that such Person would be deemed to own constructively or indirectly or otherwise would be aggregated with Stock owned by such Person pursuant to Section 382.</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274" w:right="319" w:bottom="1440" w:gutter="0" w:footer="0" w:header="0"/>
        </w:sectPr>
      </w:pPr>
    </w:p>
    <w:bookmarkStart w:id="22" w:name="page23"/>
    <w:bookmarkEnd w:id="22"/>
    <w:p>
      <w:pPr>
        <w:ind w:left="1280" w:hanging="379"/>
        <w:spacing w:after="0"/>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Board</w:t>
      </w:r>
      <w:r>
        <w:rPr>
          <w:rFonts w:ascii="Arial" w:cs="Arial" w:eastAsia="Arial" w:hAnsi="Arial"/>
          <w:sz w:val="18"/>
          <w:szCs w:val="18"/>
          <w:color w:val="auto"/>
        </w:rPr>
        <w:t>” has the meaning set forth in the recitals at the beginning of this Plan.</w:t>
      </w:r>
    </w:p>
    <w:p>
      <w:pPr>
        <w:spacing w:after="0" w:line="225" w:lineRule="exact"/>
        <w:rPr>
          <w:rFonts w:ascii="Arial" w:cs="Arial" w:eastAsia="Arial" w:hAnsi="Arial"/>
          <w:sz w:val="18"/>
          <w:szCs w:val="18"/>
          <w:color w:val="auto"/>
        </w:rPr>
      </w:pPr>
    </w:p>
    <w:p>
      <w:pPr>
        <w:ind w:left="1260" w:hanging="359"/>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Book Entry Shares</w:t>
      </w:r>
      <w:r>
        <w:rPr>
          <w:rFonts w:ascii="Arial" w:cs="Arial" w:eastAsia="Arial" w:hAnsi="Arial"/>
          <w:sz w:val="18"/>
          <w:szCs w:val="18"/>
          <w:color w:val="auto"/>
        </w:rPr>
        <w:t>” has the meaning set forth in Section 3(a)</w:t>
      </w:r>
    </w:p>
    <w:p>
      <w:pPr>
        <w:spacing w:after="0" w:line="225" w:lineRule="exact"/>
        <w:rPr>
          <w:rFonts w:ascii="Arial" w:cs="Arial" w:eastAsia="Arial" w:hAnsi="Arial"/>
          <w:sz w:val="18"/>
          <w:szCs w:val="18"/>
          <w:color w:val="auto"/>
        </w:rPr>
      </w:pPr>
    </w:p>
    <w:p>
      <w:pPr>
        <w:ind w:left="1300" w:hanging="399"/>
        <w:spacing w:after="0"/>
        <w:tabs>
          <w:tab w:leader="none" w:pos="1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Business Day</w:t>
      </w:r>
      <w:r>
        <w:rPr>
          <w:rFonts w:ascii="Arial" w:cs="Arial" w:eastAsia="Arial" w:hAnsi="Arial"/>
          <w:sz w:val="17"/>
          <w:szCs w:val="17"/>
          <w:color w:val="auto"/>
        </w:rPr>
        <w:t>” means any day other than a Saturday, Sunday or a day on which the Federal Reserve Bank of New York is closed.</w:t>
      </w:r>
    </w:p>
    <w:p>
      <w:pPr>
        <w:spacing w:after="0" w:line="236" w:lineRule="exact"/>
        <w:rPr>
          <w:rFonts w:ascii="Arial" w:cs="Arial" w:eastAsia="Arial" w:hAnsi="Arial"/>
          <w:sz w:val="17"/>
          <w:szCs w:val="17"/>
          <w:color w:val="auto"/>
        </w:rPr>
      </w:pPr>
    </w:p>
    <w:p>
      <w:pPr>
        <w:ind w:left="-20" w:right="260" w:firstLine="921"/>
        <w:spacing w:after="0" w:line="282" w:lineRule="auto"/>
        <w:tabs>
          <w:tab w:leader="none" w:pos="1283"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Close of Business</w:t>
      </w:r>
      <w:r>
        <w:rPr>
          <w:rFonts w:ascii="Arial" w:cs="Arial" w:eastAsia="Arial" w:hAnsi="Arial"/>
          <w:sz w:val="18"/>
          <w:szCs w:val="18"/>
          <w:color w:val="auto"/>
        </w:rPr>
        <w:t xml:space="preserve">” on any given date means 5:00 p. m., New York City time, on such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such date is not a Business Day, it means 5:00 p.m., New York City time, on the next succeeding Business Day.</w:t>
      </w:r>
    </w:p>
    <w:p>
      <w:pPr>
        <w:spacing w:after="0" w:line="161" w:lineRule="exact"/>
        <w:rPr>
          <w:rFonts w:ascii="Arial" w:cs="Arial" w:eastAsia="Arial" w:hAnsi="Arial"/>
          <w:sz w:val="18"/>
          <w:szCs w:val="18"/>
          <w:color w:val="auto"/>
        </w:rPr>
      </w:pPr>
    </w:p>
    <w:p>
      <w:pPr>
        <w:ind w:left="1260" w:hanging="359"/>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has the meaning set forth in the recitals at the beginning of this Plan.</w:t>
      </w:r>
    </w:p>
    <w:p>
      <w:pPr>
        <w:spacing w:after="0" w:line="225" w:lineRule="exact"/>
        <w:rPr>
          <w:rFonts w:ascii="Arial" w:cs="Arial" w:eastAsia="Arial" w:hAnsi="Arial"/>
          <w:sz w:val="18"/>
          <w:szCs w:val="18"/>
          <w:color w:val="auto"/>
        </w:rPr>
      </w:pPr>
    </w:p>
    <w:p>
      <w:pPr>
        <w:jc w:val="both"/>
        <w:ind w:left="-20" w:firstLine="921"/>
        <w:spacing w:after="0" w:line="261" w:lineRule="auto"/>
        <w:tabs>
          <w:tab w:leader="none" w:pos="1243"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Shares</w:t>
      </w:r>
      <w:r>
        <w:rPr>
          <w:rFonts w:ascii="Arial" w:cs="Arial" w:eastAsia="Arial" w:hAnsi="Arial"/>
          <w:sz w:val="18"/>
          <w:szCs w:val="18"/>
          <w:color w:val="auto"/>
        </w:rPr>
        <w:t>” means, unless otherwise specified, the shares of common stock, par value $0.001 per share, of the Company. When used with reference to any Person other than the Company, Common Shares means the capital stock with the greatest voting power, or the equity securities or other equity interest having power to control or direct the management, of such Person or, if such Person is a Subsidiary of another Person, of the Person that ultimately controls such first-mentioned Person.</w:t>
      </w:r>
    </w:p>
    <w:p>
      <w:pPr>
        <w:spacing w:after="0" w:line="180" w:lineRule="exact"/>
        <w:rPr>
          <w:rFonts w:ascii="Arial" w:cs="Arial" w:eastAsia="Arial" w:hAnsi="Arial"/>
          <w:sz w:val="18"/>
          <w:szCs w:val="18"/>
          <w:color w:val="auto"/>
        </w:rPr>
      </w:pPr>
    </w:p>
    <w:p>
      <w:pPr>
        <w:ind w:left="1300" w:hanging="399"/>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Share Equivalents</w:t>
      </w:r>
      <w:r>
        <w:rPr>
          <w:rFonts w:ascii="Arial" w:cs="Arial" w:eastAsia="Arial" w:hAnsi="Arial"/>
          <w:sz w:val="18"/>
          <w:szCs w:val="18"/>
          <w:color w:val="auto"/>
        </w:rPr>
        <w:t>” has the meaning set forth in Section 11(a)(iii).</w:t>
      </w:r>
    </w:p>
    <w:p>
      <w:pPr>
        <w:spacing w:after="0" w:line="225" w:lineRule="exact"/>
        <w:rPr>
          <w:rFonts w:ascii="Arial" w:cs="Arial" w:eastAsia="Arial" w:hAnsi="Arial"/>
          <w:sz w:val="18"/>
          <w:szCs w:val="18"/>
          <w:color w:val="auto"/>
        </w:rPr>
      </w:pPr>
    </w:p>
    <w:p>
      <w:pPr>
        <w:ind w:left="1260" w:hanging="359"/>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has the meaning set forth in the preamble hereto, subject to the terms of Section 13(a).</w:t>
      </w:r>
    </w:p>
    <w:p>
      <w:pPr>
        <w:spacing w:after="0" w:line="225" w:lineRule="exact"/>
        <w:rPr>
          <w:rFonts w:ascii="Arial" w:cs="Arial" w:eastAsia="Arial" w:hAnsi="Arial"/>
          <w:sz w:val="18"/>
          <w:szCs w:val="18"/>
          <w:color w:val="auto"/>
        </w:rPr>
      </w:pPr>
    </w:p>
    <w:p>
      <w:pPr>
        <w:ind w:left="-20" w:right="20" w:firstLine="921"/>
        <w:spacing w:after="0" w:line="270" w:lineRule="auto"/>
        <w:tabs>
          <w:tab w:leader="none" w:pos="1333" w:val="left"/>
        </w:tabs>
        <w:numPr>
          <w:ilvl w:val="0"/>
          <w:numId w:val="1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Current Per Share Market Price</w:t>
      </w:r>
      <w:r>
        <w:rPr>
          <w:rFonts w:ascii="Arial" w:cs="Arial" w:eastAsia="Arial" w:hAnsi="Arial"/>
          <w:sz w:val="17"/>
          <w:szCs w:val="17"/>
          <w:color w:val="auto"/>
        </w:rPr>
        <w:t>” of any security (a “</w:t>
      </w:r>
      <w:r>
        <w:rPr>
          <w:rFonts w:ascii="Arial" w:cs="Arial" w:eastAsia="Arial" w:hAnsi="Arial"/>
          <w:sz w:val="17"/>
          <w:szCs w:val="17"/>
          <w:b w:val="1"/>
          <w:bCs w:val="1"/>
          <w:color w:val="auto"/>
        </w:rPr>
        <w:t>Security</w:t>
      </w:r>
      <w:r>
        <w:rPr>
          <w:rFonts w:ascii="Arial" w:cs="Arial" w:eastAsia="Arial" w:hAnsi="Arial"/>
          <w:sz w:val="17"/>
          <w:szCs w:val="17"/>
          <w:color w:val="auto"/>
        </w:rPr>
        <w:t xml:space="preserve">” for purposes of this definition), for all computations other than those made pursuant to Section 11(a)(iii), means the average of the daily closing prices per share of such Security for the 30 consecutive Trading Days immediately prior to but not including such date, and for purposes of computations made pursuant to Section 11(a)(iii), the Current Per Share Market Price of any Security on any date will be deemed to be the average of the daily closing prices per share of such Security for the 10 consecutive Trading Days immediately following but not including such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the event that the Current Per Share Market Price of the Security is determined during any period following the announcement by the issuer of such Security of (i) a dividend or distribution on such Security payable in shares of such Security or securities convertible into such shares (other than the Rights); or (ii) any subdivision, combination, consolidation, reverse stock split or reclassification of such Security, and the ex-dividend date for such dividend or distribution, or the record date for such subdivision, combination, consolidation, reverse stock split or reclassification, has not occurred prior to the commencement of the requisite 30 Trading Day or 10 Trading Day period as set forth above, then, and in each such case, the Current Per Share Market Price will be appropriately adjusted to take into account ex-dividend trading. The closing price for each day will be the last sale price,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60" w:top="270" w:right="239" w:bottom="1440" w:gutter="0" w:footer="0" w:header="0"/>
        </w:sectPr>
      </w:pPr>
    </w:p>
    <w:bookmarkStart w:id="23" w:name="page24"/>
    <w:bookmarkEnd w:id="23"/>
    <w:p>
      <w:pPr>
        <w:ind w:right="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regular way, reported at or prior to 4:00 p.m., New York City time, or, if no such sale takes place on such day, the average of the bid and asked prices, regular way, reported as of 4:00 p.m. New York City time, in either case as reported in the principal consolidated transaction reporting system with respect to securities listed or admitted to trading on NASDAQ or, if the Security is not listed or admitted to trading on NASDAQ, as reported in the principal consolidated transaction reporting system with respect to securities listed on the principal national securities exchange on which the Security is listed or admitted to trading or, if the Security is not listed or admitted to trading on any national securities exchange, the last quoted price reported at or prior to 4:00 p.m., New York City time, or, if on such date the Security is not so quoted, the average of the high bid and low asked prices in the over-the-counter market, as reported as of 4:00 p.m., New York City time, by NASDAQ or such other system then in use, or, if on any such date the Security is not quoted by any such organization, the average of the closing bid and asked prices as furnished by a professional market maker making a market in the Security selected by the Board. If on any such date no market maker is making a market in the Security, the fair value of the Security on such date as determined in good faith by the Board will be used, which determination will be described in a statement filed with the Rights Agent and will be conclusive and binding on the Rights Agent and the holders of the Rights. If the Current Per Share Market Price of the Preferred Shares cannot be determined in the manner provided above or if the Preferred Shares are not publicly held or not listed or traded in a manner described above, then the Current Per Share Market Price of the Preferred Shares will be conclusively deemed to be (x) the Current Per Share Market Price of the Common Shares as determined pursuant to this Section 1(m) multiplied by</w:t>
      </w:r>
    </w:p>
    <w:p>
      <w:pPr>
        <w:spacing w:after="0" w:line="3" w:lineRule="exact"/>
        <w:rPr>
          <w:sz w:val="20"/>
          <w:szCs w:val="20"/>
          <w:color w:val="auto"/>
        </w:rPr>
      </w:pPr>
    </w:p>
    <w:p>
      <w:pPr>
        <w:ind w:right="40" w:firstLine="8"/>
        <w:spacing w:after="0" w:line="252" w:lineRule="auto"/>
        <w:tabs>
          <w:tab w:leader="none" w:pos="2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1,000 (as such number may be appropriately adjusted to reflect any subdivision, combination, consolidation, reverse stock split or reclassification of Common Shares occurring after the Rights Dividend Declaration Date). If the Security (other than the Preferred Shares) is not publicly held or not so listed or traded, or if on any such date the Security is not so quoted and no such market maker is making a market in the Security, then the Current Per Share Market Price means the fair value per Security as determined in good faith by the Board, after consultation with a nationally recognized investment banking firm, whose determination will be described in a statement filed with the Rights Agent and will be conclusive and binding on the Rights Agent and the holders of the Rights.</w:t>
      </w:r>
    </w:p>
    <w:p>
      <w:pPr>
        <w:spacing w:after="0" w:line="190" w:lineRule="exact"/>
        <w:rPr>
          <w:rFonts w:ascii="Arial" w:cs="Arial" w:eastAsia="Arial" w:hAnsi="Arial"/>
          <w:sz w:val="18"/>
          <w:szCs w:val="18"/>
          <w:color w:val="auto"/>
        </w:rPr>
      </w:pPr>
    </w:p>
    <w:p>
      <w:pPr>
        <w:jc w:val="both"/>
        <w:ind w:right="160" w:firstLine="921"/>
        <w:spacing w:after="0" w:line="289" w:lineRule="auto"/>
        <w:tabs>
          <w:tab w:leader="none" w:pos="1303" w:val="left"/>
        </w:tabs>
        <w:numPr>
          <w:ilvl w:val="1"/>
          <w:numId w:val="1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Current Exchange Value</w:t>
      </w:r>
      <w:r>
        <w:rPr>
          <w:rFonts w:ascii="Arial" w:cs="Arial" w:eastAsia="Arial" w:hAnsi="Arial"/>
          <w:sz w:val="17"/>
          <w:szCs w:val="17"/>
          <w:color w:val="auto"/>
        </w:rPr>
        <w:t>” means the product of the Current Per Share Market Price of Common Shares on the date of the occurrence of an Exchange Determination (or the next Business Day, if such date is not a Business Day) multiplied by the number of Common Shares for which the Right would otherwise be exchangeable (without regard to whether there were sufficient Common Shares available therefor).</w:t>
      </w:r>
    </w:p>
    <w:p>
      <w:pPr>
        <w:spacing w:after="0" w:line="158" w:lineRule="exact"/>
        <w:rPr>
          <w:rFonts w:ascii="Arial" w:cs="Arial" w:eastAsia="Arial" w:hAnsi="Arial"/>
          <w:sz w:val="17"/>
          <w:szCs w:val="17"/>
          <w:color w:val="auto"/>
        </w:rPr>
      </w:pPr>
    </w:p>
    <w:p>
      <w:pPr>
        <w:ind w:left="1320" w:hanging="399"/>
        <w:spacing w:after="0"/>
        <w:tabs>
          <w:tab w:leader="none" w:pos="13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Current Value</w:t>
      </w:r>
      <w:r>
        <w:rPr>
          <w:rFonts w:ascii="Arial" w:cs="Arial" w:eastAsia="Arial" w:hAnsi="Arial"/>
          <w:sz w:val="18"/>
          <w:szCs w:val="18"/>
          <w:color w:val="auto"/>
        </w:rPr>
        <w:t>” has the meaning set forth in Section 11(a)(iii).</w:t>
      </w:r>
    </w:p>
    <w:p>
      <w:pPr>
        <w:spacing w:after="0" w:line="225" w:lineRule="exact"/>
        <w:rPr>
          <w:rFonts w:ascii="Arial" w:cs="Arial" w:eastAsia="Arial" w:hAnsi="Arial"/>
          <w:sz w:val="18"/>
          <w:szCs w:val="18"/>
          <w:color w:val="auto"/>
        </w:rPr>
      </w:pPr>
    </w:p>
    <w:p>
      <w:pPr>
        <w:ind w:firstLine="921"/>
        <w:spacing w:after="0" w:line="281" w:lineRule="auto"/>
        <w:tabs>
          <w:tab w:leader="none" w:pos="1303" w:val="left"/>
        </w:tabs>
        <w:numPr>
          <w:ilvl w:val="1"/>
          <w:numId w:val="1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Distribution Date</w:t>
      </w:r>
      <w:r>
        <w:rPr>
          <w:rFonts w:ascii="Arial" w:cs="Arial" w:eastAsia="Arial" w:hAnsi="Arial"/>
          <w:sz w:val="17"/>
          <w:szCs w:val="17"/>
          <w:color w:val="auto"/>
        </w:rPr>
        <w:t>” means the earlier of (i) the Close of Business on the 10th Business Day (or such later date as may be determined by action of the Board, which action must be taken prior to the Distribution Date that otherwise would have occurred) after the Shares Acquisition Date (or, if the 10th Business Day after the Shares Acquisition Date occurs before the Record Date, then the Record Date); or (ii) the Close of Business on the 10th Business Day (or such later date as may be determined by the Board) after the date that a tender or exchange offer by any Person (other</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24" w:name="page25"/>
    <w:bookmarkEnd w:id="24"/>
    <w:p>
      <w:pPr>
        <w:ind w:right="24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than an Exempt Person) is first published, sent or given within the meaning of Rule 14d-2(a) of the General Rules and Regulations promulgated under the Exchange Act if, assuming the successful consummation thereof, such Person would be an Acquiring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any tender or exchange offer referred to in clause (ii) of this Section 1(p) is cancelled, terminated or otherwise withdrawn prior to the Distribution Date without the purchase or exchange of any Common Shares pursuant thereto, then such offer will be deemed, for purposes of this paragraph, never to have been made.</w:t>
      </w:r>
    </w:p>
    <w:p>
      <w:pPr>
        <w:spacing w:after="0" w:line="150" w:lineRule="exact"/>
        <w:rPr>
          <w:sz w:val="20"/>
          <w:szCs w:val="20"/>
          <w:color w:val="auto"/>
        </w:rPr>
      </w:pPr>
    </w:p>
    <w:p>
      <w:pPr>
        <w:ind w:left="1320" w:hanging="399"/>
        <w:spacing w:after="0"/>
        <w:tabs>
          <w:tab w:leader="none" w:pos="13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Equivalent Shares</w:t>
      </w:r>
      <w:r>
        <w:rPr>
          <w:rFonts w:ascii="Arial" w:cs="Arial" w:eastAsia="Arial" w:hAnsi="Arial"/>
          <w:sz w:val="16"/>
          <w:szCs w:val="16"/>
          <w:color w:val="auto"/>
        </w:rPr>
        <w:t>” means any class or series of capital stock of the Company having the same rights, privileges and preferences as the</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Preferred Shares.</w:t>
      </w:r>
    </w:p>
    <w:p>
      <w:pPr>
        <w:spacing w:after="0" w:line="206" w:lineRule="exact"/>
        <w:rPr>
          <w:rFonts w:ascii="Arial" w:cs="Arial" w:eastAsia="Arial" w:hAnsi="Arial"/>
          <w:sz w:val="16"/>
          <w:szCs w:val="16"/>
          <w:color w:val="auto"/>
        </w:rPr>
      </w:pPr>
    </w:p>
    <w:p>
      <w:pPr>
        <w:ind w:left="1280" w:hanging="359"/>
        <w:spacing w:after="0"/>
        <w:tabs>
          <w:tab w:leader="none" w:pos="1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w:t>
      </w:r>
    </w:p>
    <w:p>
      <w:pPr>
        <w:spacing w:after="0" w:line="225" w:lineRule="exact"/>
        <w:rPr>
          <w:rFonts w:ascii="Arial" w:cs="Arial" w:eastAsia="Arial" w:hAnsi="Arial"/>
          <w:sz w:val="18"/>
          <w:szCs w:val="18"/>
          <w:color w:val="auto"/>
        </w:rPr>
      </w:pPr>
    </w:p>
    <w:p>
      <w:pPr>
        <w:ind w:left="1300" w:hanging="379"/>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Determination</w:t>
      </w:r>
      <w:r>
        <w:rPr>
          <w:rFonts w:ascii="Arial" w:cs="Arial" w:eastAsia="Arial" w:hAnsi="Arial"/>
          <w:sz w:val="18"/>
          <w:szCs w:val="18"/>
          <w:color w:val="auto"/>
        </w:rPr>
        <w:t>” has the meaning set forth in Section 24(a).</w:t>
      </w:r>
    </w:p>
    <w:p>
      <w:pPr>
        <w:spacing w:after="0" w:line="225" w:lineRule="exact"/>
        <w:rPr>
          <w:rFonts w:ascii="Arial" w:cs="Arial" w:eastAsia="Arial" w:hAnsi="Arial"/>
          <w:sz w:val="18"/>
          <w:szCs w:val="18"/>
          <w:color w:val="auto"/>
        </w:rPr>
      </w:pPr>
    </w:p>
    <w:p>
      <w:pPr>
        <w:ind w:left="1280" w:hanging="359"/>
        <w:spacing w:after="0"/>
        <w:tabs>
          <w:tab w:leader="none" w:pos="1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Ratio</w:t>
      </w:r>
      <w:r>
        <w:rPr>
          <w:rFonts w:ascii="Arial" w:cs="Arial" w:eastAsia="Arial" w:hAnsi="Arial"/>
          <w:sz w:val="18"/>
          <w:szCs w:val="18"/>
          <w:color w:val="auto"/>
        </w:rPr>
        <w:t>” has the meaning set forth in Section 24(a).</w:t>
      </w:r>
    </w:p>
    <w:p>
      <w:pPr>
        <w:spacing w:after="0" w:line="225" w:lineRule="exact"/>
        <w:rPr>
          <w:rFonts w:ascii="Arial" w:cs="Arial" w:eastAsia="Arial" w:hAnsi="Arial"/>
          <w:sz w:val="18"/>
          <w:szCs w:val="18"/>
          <w:color w:val="auto"/>
        </w:rPr>
      </w:pPr>
    </w:p>
    <w:p>
      <w:pPr>
        <w:ind w:left="1320" w:hanging="399"/>
        <w:spacing w:after="0"/>
        <w:tabs>
          <w:tab w:leader="none" w:pos="1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Exemption Request</w:t>
      </w:r>
      <w:r>
        <w:rPr>
          <w:rFonts w:ascii="Arial" w:cs="Arial" w:eastAsia="Arial" w:hAnsi="Arial"/>
          <w:sz w:val="18"/>
          <w:szCs w:val="18"/>
          <w:color w:val="auto"/>
        </w:rPr>
        <w:t>” has the meaning set forth in Section 25.</w:t>
      </w:r>
    </w:p>
    <w:p>
      <w:pPr>
        <w:spacing w:after="0" w:line="225" w:lineRule="exact"/>
        <w:rPr>
          <w:rFonts w:ascii="Arial" w:cs="Arial" w:eastAsia="Arial" w:hAnsi="Arial"/>
          <w:sz w:val="18"/>
          <w:szCs w:val="18"/>
          <w:color w:val="auto"/>
        </w:rPr>
      </w:pPr>
    </w:p>
    <w:p>
      <w:pPr>
        <w:ind w:firstLine="921"/>
        <w:spacing w:after="0" w:line="281" w:lineRule="auto"/>
        <w:tabs>
          <w:tab w:leader="none" w:pos="1303" w:val="left"/>
        </w:tabs>
        <w:numPr>
          <w:ilvl w:val="0"/>
          <w:numId w:val="1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Exempt Person</w:t>
      </w:r>
      <w:r>
        <w:rPr>
          <w:rFonts w:ascii="Arial" w:cs="Arial" w:eastAsia="Arial" w:hAnsi="Arial"/>
          <w:sz w:val="17"/>
          <w:szCs w:val="17"/>
          <w:color w:val="auto"/>
        </w:rPr>
        <w:t>” means (i) the Company or any Subsidiary of the Company, in each case including the officers and members of the board of directors thereof acting in their fiduciary capacities; or (ii) any employee benefit plan of the Company or of any Subsidiary of the Company, or any entity or trustee holding (or acting in a fiduciary capacity in respect of) shares of capital stock of the Company for or pursuant to the terms of any such plan or for the purpose of funding other employee benefits for employees of the Company or any Subsidiary of the Company.</w:t>
      </w:r>
    </w:p>
    <w:p>
      <w:pPr>
        <w:spacing w:after="0" w:line="164" w:lineRule="exact"/>
        <w:rPr>
          <w:rFonts w:ascii="Arial" w:cs="Arial" w:eastAsia="Arial" w:hAnsi="Arial"/>
          <w:sz w:val="17"/>
          <w:szCs w:val="17"/>
          <w:color w:val="auto"/>
        </w:rPr>
      </w:pPr>
    </w:p>
    <w:p>
      <w:pPr>
        <w:ind w:right="240" w:firstLine="921"/>
        <w:spacing w:after="0" w:line="282" w:lineRule="auto"/>
        <w:tabs>
          <w:tab w:leader="none" w:pos="1343"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Exercise Price</w:t>
      </w:r>
      <w:r>
        <w:rPr>
          <w:rFonts w:ascii="Arial" w:cs="Arial" w:eastAsia="Arial" w:hAnsi="Arial"/>
          <w:sz w:val="18"/>
          <w:szCs w:val="18"/>
          <w:color w:val="auto"/>
        </w:rPr>
        <w:t>” is initially $35.00 for each one one-thousandth of a Preferred Share issuable pursuant to the exercise of a Right and is subject to adjustment from time to time as provided in Section 11 or Section 13.</w:t>
      </w:r>
    </w:p>
    <w:p>
      <w:pPr>
        <w:spacing w:after="0" w:line="161" w:lineRule="exact"/>
        <w:rPr>
          <w:rFonts w:ascii="Arial" w:cs="Arial" w:eastAsia="Arial" w:hAnsi="Arial"/>
          <w:sz w:val="18"/>
          <w:szCs w:val="18"/>
          <w:color w:val="auto"/>
        </w:rPr>
      </w:pPr>
    </w:p>
    <w:p>
      <w:pPr>
        <w:ind w:right="20" w:firstLine="921"/>
        <w:spacing w:after="0" w:line="258" w:lineRule="auto"/>
        <w:tabs>
          <w:tab w:leader="none" w:pos="1303"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Holder</w:t>
      </w:r>
      <w:r>
        <w:rPr>
          <w:rFonts w:ascii="Arial" w:cs="Arial" w:eastAsia="Arial" w:hAnsi="Arial"/>
          <w:sz w:val="18"/>
          <w:szCs w:val="18"/>
          <w:color w:val="auto"/>
        </w:rPr>
        <w:t>” means any Person who or that, together with all Affiliates and Associates of such Person, is, immediately prior to the first public announcement of the adoption of this Plan, the Beneficial Owner of 4.99% or more of the Common Shares then outstanding. Notwithstanding anything to the contrary in this Plan, any Existing Holder who, together with all Affiliates and Associates of such Person, becomes at any time the Beneficial Owner of less than 4.99% of the Common Shares then outstanding will cease to be an Existing Holder and will be subject to all the provisions of this Plan in the same manner as any Person who is not and was not an Existing Holder.</w:t>
      </w:r>
    </w:p>
    <w:p>
      <w:pPr>
        <w:spacing w:after="0" w:line="183" w:lineRule="exact"/>
        <w:rPr>
          <w:rFonts w:ascii="Arial" w:cs="Arial" w:eastAsia="Arial" w:hAnsi="Arial"/>
          <w:sz w:val="18"/>
          <w:szCs w:val="18"/>
          <w:color w:val="auto"/>
        </w:rPr>
      </w:pPr>
    </w:p>
    <w:p>
      <w:pPr>
        <w:jc w:val="both"/>
        <w:ind w:right="40" w:firstLine="921"/>
        <w:spacing w:after="0" w:line="281" w:lineRule="auto"/>
        <w:tabs>
          <w:tab w:leader="none" w:pos="1303" w:val="left"/>
        </w:tabs>
        <w:numPr>
          <w:ilvl w:val="0"/>
          <w:numId w:val="1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Expiration Date</w:t>
      </w:r>
      <w:r>
        <w:rPr>
          <w:rFonts w:ascii="Arial" w:cs="Arial" w:eastAsia="Arial" w:hAnsi="Arial"/>
          <w:sz w:val="17"/>
          <w:szCs w:val="17"/>
          <w:color w:val="auto"/>
        </w:rPr>
        <w:t>” means the earliest to occur of (i) the Close of Business on the Final Expiration Date; (ii) the Redemption Date; (iii) the time at which the Board orders the exchange of the Rights as provided in Section 24; (iv) if Stockholder Approval is not obtained at the first annual meeting of the stockholders of the Company following the date of this Plan, the Close of Business on the date of such stockholder meeting, or the Close of Business on first anniversary of the date of this Plan, if Stockholder Approval has not otherwise been obtained by that date; (v) the</w:t>
      </w:r>
    </w:p>
    <w:p>
      <w:pPr>
        <w:spacing w:after="0" w:line="10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274" w:right="319" w:bottom="1440" w:gutter="0" w:footer="0" w:header="0"/>
        </w:sectPr>
      </w:pPr>
    </w:p>
    <w:bookmarkStart w:id="25" w:name="page26"/>
    <w:bookmarkEnd w:id="25"/>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close of business on the effective date of the repeal of Section 382 or any other change if the Board, in its sole discretion, determines that this Plan is no longer necessary or desirable for the preservation of the Tax Benefits; (vi) the time at which the Board determines that the Tax Benefits are fully utilized or no longer available pursuant to Section 382 or that an ownership change pursuant to Section 382 would not adversely impact in any material respect the time period in which the Company could use the Tax Benefits, or materially impair the amount of the Tax Benefits that could be used by the Company in any particular time period, for applicable tax purposes; or (vii) a determination by the Board, in its sole discretion and prior to the Distribution Date, that this Plan and the Rights are no longer in the best interests of the Company and its stockholders.</w:t>
      </w:r>
    </w:p>
    <w:p>
      <w:pPr>
        <w:spacing w:after="0" w:line="174" w:lineRule="exact"/>
        <w:rPr>
          <w:sz w:val="20"/>
          <w:szCs w:val="20"/>
          <w:color w:val="auto"/>
        </w:rPr>
      </w:pPr>
    </w:p>
    <w:p>
      <w:pPr>
        <w:ind w:left="920"/>
        <w:spacing w:after="0"/>
        <w:tabs>
          <w:tab w:leader="none" w:pos="1280" w:val="left"/>
        </w:tabs>
        <w:rPr>
          <w:sz w:val="20"/>
          <w:szCs w:val="20"/>
          <w:color w:val="auto"/>
        </w:rPr>
      </w:pPr>
      <w:r>
        <w:rPr>
          <w:rFonts w:ascii="Arial" w:cs="Arial" w:eastAsia="Arial" w:hAnsi="Arial"/>
          <w:sz w:val="18"/>
          <w:szCs w:val="18"/>
          <w:color w:val="auto"/>
        </w:rPr>
        <w:t>(z)</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Final Expiration Date</w:t>
      </w:r>
      <w:r>
        <w:rPr>
          <w:rFonts w:ascii="Arial" w:cs="Arial" w:eastAsia="Arial" w:hAnsi="Arial"/>
          <w:sz w:val="16"/>
          <w:szCs w:val="16"/>
          <w:color w:val="auto"/>
        </w:rPr>
        <w:t>” means November 21, 2019.</w:t>
      </w:r>
    </w:p>
    <w:p>
      <w:pPr>
        <w:spacing w:after="0" w:line="225" w:lineRule="exact"/>
        <w:rPr>
          <w:sz w:val="20"/>
          <w:szCs w:val="20"/>
          <w:color w:val="auto"/>
        </w:rPr>
      </w:pPr>
    </w:p>
    <w:p>
      <w:pPr>
        <w:ind w:left="1380" w:hanging="459"/>
        <w:spacing w:after="0"/>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NASDAQ</w:t>
      </w:r>
      <w:r>
        <w:rPr>
          <w:rFonts w:ascii="Arial" w:cs="Arial" w:eastAsia="Arial" w:hAnsi="Arial"/>
          <w:sz w:val="18"/>
          <w:szCs w:val="18"/>
          <w:color w:val="auto"/>
        </w:rPr>
        <w:t>” means The NASDAQ Stock Market LLC.</w:t>
      </w:r>
    </w:p>
    <w:p>
      <w:pPr>
        <w:spacing w:after="0" w:line="225" w:lineRule="exact"/>
        <w:rPr>
          <w:rFonts w:ascii="Arial" w:cs="Arial" w:eastAsia="Arial" w:hAnsi="Arial"/>
          <w:sz w:val="18"/>
          <w:szCs w:val="18"/>
          <w:color w:val="auto"/>
        </w:rPr>
      </w:pPr>
    </w:p>
    <w:p>
      <w:pPr>
        <w:ind w:left="1400" w:hanging="479"/>
        <w:spacing w:after="0"/>
        <w:tabs>
          <w:tab w:leader="none" w:pos="1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Rights</w:t>
      </w:r>
      <w:r>
        <w:rPr>
          <w:rFonts w:ascii="Arial" w:cs="Arial" w:eastAsia="Arial" w:hAnsi="Arial"/>
          <w:sz w:val="18"/>
          <w:szCs w:val="18"/>
          <w:color w:val="auto"/>
        </w:rPr>
        <w:t>” has the meaning set forth in Section 1(d)(i).</w:t>
      </w:r>
    </w:p>
    <w:p>
      <w:pPr>
        <w:spacing w:after="0" w:line="225" w:lineRule="exact"/>
        <w:rPr>
          <w:rFonts w:ascii="Arial" w:cs="Arial" w:eastAsia="Arial" w:hAnsi="Arial"/>
          <w:sz w:val="18"/>
          <w:szCs w:val="18"/>
          <w:color w:val="auto"/>
        </w:rPr>
      </w:pPr>
    </w:p>
    <w:p>
      <w:pPr>
        <w:ind w:right="220" w:firstLine="921"/>
        <w:spacing w:after="0" w:line="256" w:lineRule="auto"/>
        <w:tabs>
          <w:tab w:leader="none" w:pos="1373"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firm, corporation, partnership, limited liability company, joint venture, business trust, trust, association, syndicate, group (as such term is used in Rule 13d-5 of the General Rules and Regulations promulgated under the Exchange Act, as in effect on the Rights Dividend Declaration Date), other entity or any group of Persons making a “coordinated acquisition” of Common Shares within the meaning of Treasury Regulations § 1.382-3(a)(1) or who are otherwise treated as an “entity” within the meaning of Treasury Regulations § 1.382-3(a)(1), and, in each case, will include any successor (by merger or otherwise) of any such Person, but will not include a Public Group (as defined in Treasury Regulations § 1.382-2T(f) (13)).</w:t>
      </w:r>
    </w:p>
    <w:p>
      <w:pPr>
        <w:spacing w:after="0" w:line="187" w:lineRule="exact"/>
        <w:rPr>
          <w:rFonts w:ascii="Arial" w:cs="Arial" w:eastAsia="Arial" w:hAnsi="Arial"/>
          <w:sz w:val="18"/>
          <w:szCs w:val="18"/>
          <w:color w:val="auto"/>
        </w:rPr>
      </w:pPr>
    </w:p>
    <w:p>
      <w:pPr>
        <w:ind w:left="1400" w:hanging="479"/>
        <w:spacing w:after="0"/>
        <w:tabs>
          <w:tab w:leader="none" w:pos="1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has the meaning set forth in the preamble at the beginning of this Plan.</w:t>
      </w:r>
    </w:p>
    <w:p>
      <w:pPr>
        <w:spacing w:after="0" w:line="225" w:lineRule="exact"/>
        <w:rPr>
          <w:rFonts w:ascii="Arial" w:cs="Arial" w:eastAsia="Arial" w:hAnsi="Arial"/>
          <w:sz w:val="18"/>
          <w:szCs w:val="18"/>
          <w:color w:val="auto"/>
        </w:rPr>
      </w:pPr>
    </w:p>
    <w:p>
      <w:pPr>
        <w:ind w:left="1380" w:hanging="459"/>
        <w:spacing w:after="0"/>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Post-Event Transferee</w:t>
      </w:r>
      <w:r>
        <w:rPr>
          <w:rFonts w:ascii="Arial" w:cs="Arial" w:eastAsia="Arial" w:hAnsi="Arial"/>
          <w:sz w:val="18"/>
          <w:szCs w:val="18"/>
          <w:color w:val="auto"/>
        </w:rPr>
        <w:t>” has the meaning set forth in Section 7(e).</w:t>
      </w:r>
    </w:p>
    <w:p>
      <w:pPr>
        <w:spacing w:after="0" w:line="225" w:lineRule="exact"/>
        <w:rPr>
          <w:rFonts w:ascii="Arial" w:cs="Arial" w:eastAsia="Arial" w:hAnsi="Arial"/>
          <w:sz w:val="18"/>
          <w:szCs w:val="18"/>
          <w:color w:val="auto"/>
        </w:rPr>
      </w:pPr>
    </w:p>
    <w:p>
      <w:pPr>
        <w:ind w:left="1340" w:hanging="419"/>
        <w:spacing w:after="0"/>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Pre-Event Transferee</w:t>
      </w:r>
      <w:r>
        <w:rPr>
          <w:rFonts w:ascii="Arial" w:cs="Arial" w:eastAsia="Arial" w:hAnsi="Arial"/>
          <w:sz w:val="18"/>
          <w:szCs w:val="18"/>
          <w:color w:val="auto"/>
        </w:rPr>
        <w:t>” has the meaning set forth in Section 7(e).</w:t>
      </w:r>
    </w:p>
    <w:p>
      <w:pPr>
        <w:spacing w:after="0" w:line="225" w:lineRule="exact"/>
        <w:rPr>
          <w:rFonts w:ascii="Arial" w:cs="Arial" w:eastAsia="Arial" w:hAnsi="Arial"/>
          <w:sz w:val="18"/>
          <w:szCs w:val="18"/>
          <w:color w:val="auto"/>
        </w:rPr>
      </w:pPr>
    </w:p>
    <w:p>
      <w:pPr>
        <w:ind w:right="20" w:firstLine="921"/>
        <w:spacing w:after="0" w:line="289" w:lineRule="auto"/>
        <w:tabs>
          <w:tab w:leader="none" w:pos="1393" w:val="left"/>
        </w:tabs>
        <w:numPr>
          <w:ilvl w:val="0"/>
          <w:numId w:val="1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Preferred Shares</w:t>
      </w:r>
      <w:r>
        <w:rPr>
          <w:rFonts w:ascii="Arial" w:cs="Arial" w:eastAsia="Arial" w:hAnsi="Arial"/>
          <w:sz w:val="17"/>
          <w:szCs w:val="17"/>
          <w:color w:val="auto"/>
        </w:rPr>
        <w:t>” means shares of Series A Participating Preferred Stock, par value $0.001 per share, of the Company and, to the extent that there are not a sufficient number of shares of Preferred Shares authorized to permit the full exercise of the Rights, any other series of preferred stock of the Company designated for such purpose containing terms substantially similar to the terms of the Preferred Shares.</w:t>
      </w:r>
    </w:p>
    <w:p>
      <w:pPr>
        <w:spacing w:after="0" w:line="158" w:lineRule="exact"/>
        <w:rPr>
          <w:sz w:val="20"/>
          <w:szCs w:val="20"/>
          <w:color w:val="auto"/>
        </w:rPr>
      </w:pPr>
    </w:p>
    <w:p>
      <w:pPr>
        <w:ind w:left="1320" w:hanging="399"/>
        <w:spacing w:after="0"/>
        <w:tabs>
          <w:tab w:leader="none" w:pos="1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Party</w:t>
      </w:r>
      <w:r>
        <w:rPr>
          <w:rFonts w:ascii="Arial" w:cs="Arial" w:eastAsia="Arial" w:hAnsi="Arial"/>
          <w:sz w:val="18"/>
          <w:szCs w:val="18"/>
          <w:color w:val="auto"/>
        </w:rPr>
        <w:t>” has the meaning set forth in Section 13(b).</w:t>
      </w:r>
    </w:p>
    <w:p>
      <w:pPr>
        <w:spacing w:after="0" w:line="225" w:lineRule="exact"/>
        <w:rPr>
          <w:rFonts w:ascii="Arial" w:cs="Arial" w:eastAsia="Arial" w:hAnsi="Arial"/>
          <w:sz w:val="18"/>
          <w:szCs w:val="18"/>
          <w:color w:val="auto"/>
        </w:rPr>
      </w:pPr>
    </w:p>
    <w:p>
      <w:pPr>
        <w:ind w:left="1320" w:hanging="399"/>
        <w:spacing w:after="0"/>
        <w:tabs>
          <w:tab w:leader="none" w:pos="1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Record Date</w:t>
      </w:r>
      <w:r>
        <w:rPr>
          <w:rFonts w:ascii="Arial" w:cs="Arial" w:eastAsia="Arial" w:hAnsi="Arial"/>
          <w:sz w:val="18"/>
          <w:szCs w:val="18"/>
          <w:color w:val="auto"/>
        </w:rPr>
        <w:t>” has the meaning set forth in the recitals at the beginning of this Plan.</w:t>
      </w:r>
    </w:p>
    <w:p>
      <w:pPr>
        <w:spacing w:after="0" w:line="225" w:lineRule="exact"/>
        <w:rPr>
          <w:rFonts w:ascii="Arial" w:cs="Arial" w:eastAsia="Arial" w:hAnsi="Arial"/>
          <w:sz w:val="18"/>
          <w:szCs w:val="18"/>
          <w:color w:val="auto"/>
        </w:rPr>
      </w:pPr>
    </w:p>
    <w:p>
      <w:pPr>
        <w:ind w:left="1400" w:hanging="479"/>
        <w:spacing w:after="0"/>
        <w:tabs>
          <w:tab w:leader="none" w:pos="1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Date</w:t>
      </w:r>
      <w:r>
        <w:rPr>
          <w:rFonts w:ascii="Arial" w:cs="Arial" w:eastAsia="Arial" w:hAnsi="Arial"/>
          <w:sz w:val="18"/>
          <w:szCs w:val="18"/>
          <w:color w:val="auto"/>
        </w:rPr>
        <w:t>” has the meaning set forth in Section 23(a).</w:t>
      </w:r>
    </w:p>
    <w:p>
      <w:pPr>
        <w:spacing w:after="0" w:line="225" w:lineRule="exact"/>
        <w:rPr>
          <w:rFonts w:ascii="Arial" w:cs="Arial" w:eastAsia="Arial" w:hAnsi="Arial"/>
          <w:sz w:val="18"/>
          <w:szCs w:val="18"/>
          <w:color w:val="auto"/>
        </w:rPr>
      </w:pPr>
    </w:p>
    <w:p>
      <w:pPr>
        <w:ind w:left="1320" w:hanging="399"/>
        <w:spacing w:after="0"/>
        <w:tabs>
          <w:tab w:leader="none" w:pos="1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Price</w:t>
      </w:r>
      <w:r>
        <w:rPr>
          <w:rFonts w:ascii="Arial" w:cs="Arial" w:eastAsia="Arial" w:hAnsi="Arial"/>
          <w:sz w:val="18"/>
          <w:szCs w:val="18"/>
          <w:color w:val="auto"/>
        </w:rPr>
        <w:t>” has the meaning set forth in Section 23(a).</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26" w:name="page27"/>
    <w:bookmarkEnd w:id="26"/>
    <w:p>
      <w:pPr>
        <w:ind w:left="1500" w:hanging="579"/>
        <w:spacing w:after="0"/>
        <w:tabs>
          <w:tab w:leader="none" w:pos="1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Requesting Person</w:t>
      </w:r>
      <w:r>
        <w:rPr>
          <w:rFonts w:ascii="Arial" w:cs="Arial" w:eastAsia="Arial" w:hAnsi="Arial"/>
          <w:sz w:val="18"/>
          <w:szCs w:val="18"/>
          <w:color w:val="auto"/>
        </w:rPr>
        <w:t>” has the meaning set forth in Section 25(a).</w:t>
      </w:r>
    </w:p>
    <w:p>
      <w:pPr>
        <w:spacing w:after="0" w:line="225" w:lineRule="exact"/>
        <w:rPr>
          <w:rFonts w:ascii="Arial" w:cs="Arial" w:eastAsia="Arial" w:hAnsi="Arial"/>
          <w:sz w:val="18"/>
          <w:szCs w:val="18"/>
          <w:color w:val="auto"/>
        </w:rPr>
      </w:pPr>
    </w:p>
    <w:p>
      <w:pPr>
        <w:ind w:left="1400" w:hanging="479"/>
        <w:spacing w:after="0"/>
        <w:tabs>
          <w:tab w:leader="none" w:pos="1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Right</w:t>
      </w:r>
      <w:r>
        <w:rPr>
          <w:rFonts w:ascii="Arial" w:cs="Arial" w:eastAsia="Arial" w:hAnsi="Arial"/>
          <w:sz w:val="18"/>
          <w:szCs w:val="18"/>
          <w:color w:val="auto"/>
        </w:rPr>
        <w:t>” has the meaning set forth in the recitals at the beginning of this Plan.</w:t>
      </w:r>
    </w:p>
    <w:p>
      <w:pPr>
        <w:spacing w:after="0" w:line="225" w:lineRule="exact"/>
        <w:rPr>
          <w:rFonts w:ascii="Arial" w:cs="Arial" w:eastAsia="Arial" w:hAnsi="Arial"/>
          <w:sz w:val="18"/>
          <w:szCs w:val="18"/>
          <w:color w:val="auto"/>
        </w:rPr>
      </w:pPr>
    </w:p>
    <w:p>
      <w:pPr>
        <w:ind w:left="1400" w:hanging="479"/>
        <w:spacing w:after="0"/>
        <w:tabs>
          <w:tab w:leader="none" w:pos="1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Rights Agent</w:t>
      </w:r>
      <w:r>
        <w:rPr>
          <w:rFonts w:ascii="Arial" w:cs="Arial" w:eastAsia="Arial" w:hAnsi="Arial"/>
          <w:sz w:val="18"/>
          <w:szCs w:val="18"/>
          <w:color w:val="auto"/>
        </w:rPr>
        <w:t>” has the meaning set forth in the preamble hereto.</w:t>
      </w:r>
    </w:p>
    <w:p>
      <w:pPr>
        <w:spacing w:after="0" w:line="225" w:lineRule="exact"/>
        <w:rPr>
          <w:rFonts w:ascii="Arial" w:cs="Arial" w:eastAsia="Arial" w:hAnsi="Arial"/>
          <w:sz w:val="18"/>
          <w:szCs w:val="18"/>
          <w:color w:val="auto"/>
        </w:rPr>
      </w:pPr>
    </w:p>
    <w:p>
      <w:pPr>
        <w:ind w:left="1400" w:hanging="479"/>
        <w:spacing w:after="0"/>
        <w:tabs>
          <w:tab w:leader="none" w:pos="1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Rights Certificate</w:t>
      </w:r>
      <w:r>
        <w:rPr>
          <w:rFonts w:ascii="Arial" w:cs="Arial" w:eastAsia="Arial" w:hAnsi="Arial"/>
          <w:sz w:val="18"/>
          <w:szCs w:val="18"/>
          <w:color w:val="auto"/>
        </w:rPr>
        <w:t>” means a certificate substantially in the form attached as Exhibit B.</w:t>
      </w:r>
    </w:p>
    <w:p>
      <w:pPr>
        <w:spacing w:after="0" w:line="225" w:lineRule="exact"/>
        <w:rPr>
          <w:rFonts w:ascii="Arial" w:cs="Arial" w:eastAsia="Arial" w:hAnsi="Arial"/>
          <w:sz w:val="18"/>
          <w:szCs w:val="18"/>
          <w:color w:val="auto"/>
        </w:rPr>
      </w:pPr>
    </w:p>
    <w:p>
      <w:pPr>
        <w:ind w:left="1400" w:hanging="479"/>
        <w:spacing w:after="0"/>
        <w:tabs>
          <w:tab w:leader="none" w:pos="1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Rights Dividend Declaration Date</w:t>
      </w:r>
      <w:r>
        <w:rPr>
          <w:rFonts w:ascii="Arial" w:cs="Arial" w:eastAsia="Arial" w:hAnsi="Arial"/>
          <w:sz w:val="18"/>
          <w:szCs w:val="18"/>
          <w:color w:val="auto"/>
        </w:rPr>
        <w:t>” has the meaning set forth in the recitals at the beginning of this Plan.</w:t>
      </w:r>
    </w:p>
    <w:p>
      <w:pPr>
        <w:spacing w:after="0" w:line="225" w:lineRule="exact"/>
        <w:rPr>
          <w:rFonts w:ascii="Arial" w:cs="Arial" w:eastAsia="Arial" w:hAnsi="Arial"/>
          <w:sz w:val="18"/>
          <w:szCs w:val="18"/>
          <w:color w:val="auto"/>
        </w:rPr>
      </w:pPr>
    </w:p>
    <w:p>
      <w:pPr>
        <w:ind w:left="1340" w:hanging="419"/>
        <w:spacing w:after="0"/>
        <w:tabs>
          <w:tab w:leader="none" w:pos="1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11(a)(ii) Event</w:t>
      </w:r>
      <w:r>
        <w:rPr>
          <w:rFonts w:ascii="Arial" w:cs="Arial" w:eastAsia="Arial" w:hAnsi="Arial"/>
          <w:sz w:val="18"/>
          <w:szCs w:val="18"/>
          <w:color w:val="auto"/>
        </w:rPr>
        <w:t>” means any event described in Section 11(a)(ii).</w:t>
      </w:r>
    </w:p>
    <w:p>
      <w:pPr>
        <w:spacing w:after="0" w:line="225" w:lineRule="exact"/>
        <w:rPr>
          <w:rFonts w:ascii="Arial" w:cs="Arial" w:eastAsia="Arial" w:hAnsi="Arial"/>
          <w:sz w:val="18"/>
          <w:szCs w:val="18"/>
          <w:color w:val="auto"/>
        </w:rPr>
      </w:pPr>
    </w:p>
    <w:p>
      <w:pPr>
        <w:ind w:left="1360" w:hanging="439"/>
        <w:spacing w:after="0"/>
        <w:tabs>
          <w:tab w:leader="none" w:pos="1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11(a)(ii) Trigger Date</w:t>
      </w:r>
      <w:r>
        <w:rPr>
          <w:rFonts w:ascii="Arial" w:cs="Arial" w:eastAsia="Arial" w:hAnsi="Arial"/>
          <w:sz w:val="18"/>
          <w:szCs w:val="18"/>
          <w:color w:val="auto"/>
        </w:rPr>
        <w:t>” has the meaning set forth in Section 11(a)(iii).</w:t>
      </w:r>
    </w:p>
    <w:p>
      <w:pPr>
        <w:spacing w:after="0" w:line="225" w:lineRule="exact"/>
        <w:rPr>
          <w:rFonts w:ascii="Arial" w:cs="Arial" w:eastAsia="Arial" w:hAnsi="Arial"/>
          <w:sz w:val="18"/>
          <w:szCs w:val="18"/>
          <w:color w:val="auto"/>
        </w:rPr>
      </w:pPr>
    </w:p>
    <w:p>
      <w:pPr>
        <w:ind w:left="1320" w:hanging="399"/>
        <w:spacing w:after="0"/>
        <w:tabs>
          <w:tab w:leader="none" w:pos="1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13 Event</w:t>
      </w:r>
      <w:r>
        <w:rPr>
          <w:rFonts w:ascii="Arial" w:cs="Arial" w:eastAsia="Arial" w:hAnsi="Arial"/>
          <w:sz w:val="18"/>
          <w:szCs w:val="18"/>
          <w:color w:val="auto"/>
        </w:rPr>
        <w:t>” means any event described in clause (i), (ii) or (iii) of Section 13(a).</w:t>
      </w:r>
    </w:p>
    <w:p>
      <w:pPr>
        <w:spacing w:after="0" w:line="225" w:lineRule="exact"/>
        <w:rPr>
          <w:rFonts w:ascii="Arial" w:cs="Arial" w:eastAsia="Arial" w:hAnsi="Arial"/>
          <w:sz w:val="18"/>
          <w:szCs w:val="18"/>
          <w:color w:val="auto"/>
        </w:rPr>
      </w:pPr>
    </w:p>
    <w:p>
      <w:pPr>
        <w:ind w:left="1400" w:hanging="479"/>
        <w:spacing w:after="0"/>
        <w:tabs>
          <w:tab w:leader="none" w:pos="14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Section 382</w:t>
      </w:r>
      <w:r>
        <w:rPr>
          <w:rFonts w:ascii="Arial" w:cs="Arial" w:eastAsia="Arial" w:hAnsi="Arial"/>
          <w:sz w:val="16"/>
          <w:szCs w:val="16"/>
          <w:color w:val="auto"/>
        </w:rPr>
        <w:t>” means Section 382 of the Code or any successor or replacement provision and the Treasury Regulations promulgated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thereunder.</w:t>
      </w:r>
    </w:p>
    <w:p>
      <w:pPr>
        <w:spacing w:after="0" w:line="207" w:lineRule="exact"/>
        <w:rPr>
          <w:sz w:val="20"/>
          <w:szCs w:val="20"/>
          <w:color w:val="auto"/>
        </w:rPr>
      </w:pPr>
    </w:p>
    <w:p>
      <w:pPr>
        <w:ind w:left="1400" w:hanging="479"/>
        <w:spacing w:after="0"/>
        <w:tabs>
          <w:tab w:leader="none" w:pos="1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w:t>
      </w:r>
    </w:p>
    <w:p>
      <w:pPr>
        <w:spacing w:after="0" w:line="225" w:lineRule="exact"/>
        <w:rPr>
          <w:rFonts w:ascii="Arial" w:cs="Arial" w:eastAsia="Arial" w:hAnsi="Arial"/>
          <w:sz w:val="18"/>
          <w:szCs w:val="18"/>
          <w:color w:val="auto"/>
        </w:rPr>
      </w:pPr>
    </w:p>
    <w:p>
      <w:pPr>
        <w:ind w:left="1480" w:hanging="559"/>
        <w:spacing w:after="0"/>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w:t>
      </w:r>
      <w:r>
        <w:rPr>
          <w:rFonts w:ascii="Arial" w:cs="Arial" w:eastAsia="Arial" w:hAnsi="Arial"/>
          <w:sz w:val="18"/>
          <w:szCs w:val="18"/>
          <w:color w:val="auto"/>
        </w:rPr>
        <w:t>” has the meaning set forth in Section 1(m).</w:t>
      </w:r>
    </w:p>
    <w:p>
      <w:pPr>
        <w:spacing w:after="0" w:line="225" w:lineRule="exact"/>
        <w:rPr>
          <w:rFonts w:ascii="Arial" w:cs="Arial" w:eastAsia="Arial" w:hAnsi="Arial"/>
          <w:sz w:val="18"/>
          <w:szCs w:val="18"/>
          <w:color w:val="auto"/>
        </w:rPr>
      </w:pPr>
    </w:p>
    <w:p>
      <w:pPr>
        <w:ind w:right="120" w:firstLine="921"/>
        <w:spacing w:after="0" w:line="289" w:lineRule="auto"/>
        <w:tabs>
          <w:tab w:leader="none" w:pos="1393" w:val="left"/>
        </w:tabs>
        <w:numPr>
          <w:ilvl w:val="0"/>
          <w:numId w:val="2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Shares Acquisition Date</w:t>
      </w:r>
      <w:r>
        <w:rPr>
          <w:rFonts w:ascii="Arial" w:cs="Arial" w:eastAsia="Arial" w:hAnsi="Arial"/>
          <w:sz w:val="17"/>
          <w:szCs w:val="17"/>
          <w:color w:val="auto"/>
        </w:rPr>
        <w:t>” means the first date of public announcement (which, for purposes of this definition, includes the filing or amending of a report pursuant to Section 13(d) of the Exchange Act or pursuant to a comparable successor statute) by the Company or an Acquiring Person that an Acquiring Person has become such or that discloses information that reveals the existence of an Acquiring Person.</w:t>
      </w:r>
    </w:p>
    <w:p>
      <w:pPr>
        <w:spacing w:after="0" w:line="158" w:lineRule="exact"/>
        <w:rPr>
          <w:rFonts w:ascii="Arial" w:cs="Arial" w:eastAsia="Arial" w:hAnsi="Arial"/>
          <w:sz w:val="17"/>
          <w:szCs w:val="17"/>
          <w:color w:val="auto"/>
        </w:rPr>
      </w:pPr>
    </w:p>
    <w:p>
      <w:pPr>
        <w:ind w:left="1400" w:hanging="479"/>
        <w:spacing w:after="0"/>
        <w:tabs>
          <w:tab w:leader="none" w:pos="1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Spread</w:t>
      </w:r>
      <w:r>
        <w:rPr>
          <w:rFonts w:ascii="Arial" w:cs="Arial" w:eastAsia="Arial" w:hAnsi="Arial"/>
          <w:sz w:val="18"/>
          <w:szCs w:val="18"/>
          <w:color w:val="auto"/>
        </w:rPr>
        <w:t>” means the excess of (i) the Current Value over (ii) the Exercise Price.</w:t>
      </w:r>
    </w:p>
    <w:p>
      <w:pPr>
        <w:spacing w:after="0" w:line="225" w:lineRule="exact"/>
        <w:rPr>
          <w:rFonts w:ascii="Arial" w:cs="Arial" w:eastAsia="Arial" w:hAnsi="Arial"/>
          <w:sz w:val="18"/>
          <w:szCs w:val="18"/>
          <w:color w:val="auto"/>
        </w:rPr>
      </w:pPr>
    </w:p>
    <w:p>
      <w:pPr>
        <w:ind w:firstLine="921"/>
        <w:spacing w:after="0" w:line="266" w:lineRule="auto"/>
        <w:tabs>
          <w:tab w:leader="none" w:pos="1373"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w:t>
      </w:r>
      <w:r>
        <w:rPr>
          <w:rFonts w:ascii="Arial" w:cs="Arial" w:eastAsia="Arial" w:hAnsi="Arial"/>
          <w:sz w:val="18"/>
          <w:szCs w:val="18"/>
          <w:color w:val="auto"/>
        </w:rPr>
        <w:t>” means with respect to any Person, such Person’s (i) common shares; (ii) preferred shares (other than preferred shares described in Section 1504(a)(4) of the Code); and (iii) any other interest that would be treated as “stock” of such Person pursuant to Treasury Regulations § 1.382-2T(f) (18).</w:t>
      </w:r>
    </w:p>
    <w:p>
      <w:pPr>
        <w:spacing w:after="0" w:line="176" w:lineRule="exact"/>
        <w:rPr>
          <w:sz w:val="20"/>
          <w:szCs w:val="20"/>
          <w:color w:val="auto"/>
        </w:rPr>
      </w:pPr>
    </w:p>
    <w:p>
      <w:pPr>
        <w:ind w:right="100" w:firstLine="921"/>
        <w:spacing w:after="0" w:line="261" w:lineRule="auto"/>
        <w:tabs>
          <w:tab w:leader="none" w:pos="1452"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Stockholder Approval</w:t>
      </w:r>
      <w:r>
        <w:rPr>
          <w:rFonts w:ascii="Arial" w:cs="Arial" w:eastAsia="Arial" w:hAnsi="Arial"/>
          <w:sz w:val="18"/>
          <w:szCs w:val="18"/>
          <w:color w:val="auto"/>
        </w:rPr>
        <w:t>” means the approval of this Plan by the affirmative vote of the majority of shares of Common Stock present in person or represented by proxy and entitled to vote on the proposal at a meeting of the stockholders of the Company (or any adjournment or postponement thereof) duly held in accordance with the Company’s Eighth Amended and Restated Certificate of Incorporation, the Company’s Amended and Restated Bylaws, and applicable law.</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270" w:right="319" w:bottom="1440" w:gutter="0" w:footer="0" w:header="0"/>
        </w:sectPr>
      </w:pPr>
    </w:p>
    <w:bookmarkStart w:id="27" w:name="page28"/>
    <w:bookmarkEnd w:id="27"/>
    <w:p>
      <w:pPr>
        <w:ind w:left="1500" w:hanging="579"/>
        <w:spacing w:after="0"/>
        <w:tabs>
          <w:tab w:leader="none" w:pos="1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Subsequent Transferee</w:t>
      </w:r>
      <w:r>
        <w:rPr>
          <w:rFonts w:ascii="Arial" w:cs="Arial" w:eastAsia="Arial" w:hAnsi="Arial"/>
          <w:sz w:val="18"/>
          <w:szCs w:val="18"/>
          <w:color w:val="auto"/>
        </w:rPr>
        <w:t>” has the meaning set forth in Section 7(e).</w:t>
      </w:r>
    </w:p>
    <w:p>
      <w:pPr>
        <w:spacing w:after="0" w:line="225" w:lineRule="exact"/>
        <w:rPr>
          <w:rFonts w:ascii="Arial" w:cs="Arial" w:eastAsia="Arial" w:hAnsi="Arial"/>
          <w:sz w:val="18"/>
          <w:szCs w:val="18"/>
          <w:color w:val="auto"/>
        </w:rPr>
      </w:pPr>
    </w:p>
    <w:p>
      <w:pPr>
        <w:ind w:firstLine="921"/>
        <w:spacing w:after="0" w:line="258" w:lineRule="auto"/>
        <w:tabs>
          <w:tab w:leader="none" w:pos="14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of any Person means any firm, corporation, partnership, limited liability company, joint venture, business trust, trust, association, syndicate or other entity (whether or not incorporated) of which an amount of voting securities sufficient to elect a majority of the directors or Persons having similar authority, or a majority of the equity or ownership interests, is Beneficially Owned, directly or indirectly, by such Person, or any firm, corporation, partnership, limited liability company, joint venture, business trust, trust, association, syndicate or other entity (whether or not incorporated) otherwise controlled by such Person.</w:t>
      </w:r>
    </w:p>
    <w:p>
      <w:pPr>
        <w:spacing w:after="0" w:line="183" w:lineRule="exact"/>
        <w:rPr>
          <w:rFonts w:ascii="Arial" w:cs="Arial" w:eastAsia="Arial" w:hAnsi="Arial"/>
          <w:sz w:val="18"/>
          <w:szCs w:val="18"/>
          <w:color w:val="auto"/>
        </w:rPr>
      </w:pPr>
    </w:p>
    <w:p>
      <w:pPr>
        <w:ind w:left="1500" w:hanging="579"/>
        <w:spacing w:after="0"/>
        <w:tabs>
          <w:tab w:leader="none" w:pos="1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Substitution Period</w:t>
      </w:r>
      <w:r>
        <w:rPr>
          <w:rFonts w:ascii="Arial" w:cs="Arial" w:eastAsia="Arial" w:hAnsi="Arial"/>
          <w:sz w:val="18"/>
          <w:szCs w:val="18"/>
          <w:color w:val="auto"/>
        </w:rPr>
        <w:t>” has the meaning set forth in Section 11(a)(iii).</w:t>
      </w:r>
    </w:p>
    <w:p>
      <w:pPr>
        <w:spacing w:after="0" w:line="225" w:lineRule="exact"/>
        <w:rPr>
          <w:rFonts w:ascii="Arial" w:cs="Arial" w:eastAsia="Arial" w:hAnsi="Arial"/>
          <w:sz w:val="18"/>
          <w:szCs w:val="18"/>
          <w:color w:val="auto"/>
        </w:rPr>
      </w:pPr>
    </w:p>
    <w:p>
      <w:pPr>
        <w:ind w:left="1460" w:hanging="539"/>
        <w:spacing w:after="0"/>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Summary of Rights</w:t>
      </w:r>
      <w:r>
        <w:rPr>
          <w:rFonts w:ascii="Arial" w:cs="Arial" w:eastAsia="Arial" w:hAnsi="Arial"/>
          <w:sz w:val="18"/>
          <w:szCs w:val="18"/>
          <w:color w:val="auto"/>
        </w:rPr>
        <w:t>” means a summary of this Plan substantially in the form attached as Exhibit C.</w:t>
      </w:r>
    </w:p>
    <w:p>
      <w:pPr>
        <w:spacing w:after="0" w:line="225" w:lineRule="exact"/>
        <w:rPr>
          <w:rFonts w:ascii="Arial" w:cs="Arial" w:eastAsia="Arial" w:hAnsi="Arial"/>
          <w:sz w:val="18"/>
          <w:szCs w:val="18"/>
          <w:color w:val="auto"/>
        </w:rPr>
      </w:pPr>
    </w:p>
    <w:p>
      <w:pPr>
        <w:ind w:right="220" w:firstLine="921"/>
        <w:spacing w:after="0" w:line="314" w:lineRule="auto"/>
        <w:tabs>
          <w:tab w:leader="none" w:pos="1386" w:val="left"/>
        </w:tabs>
        <w:numPr>
          <w:ilvl w:val="0"/>
          <w:numId w:val="2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Tax Benefits</w:t>
      </w:r>
      <w:r>
        <w:rPr>
          <w:rFonts w:ascii="Arial" w:cs="Arial" w:eastAsia="Arial" w:hAnsi="Arial"/>
          <w:sz w:val="16"/>
          <w:szCs w:val="16"/>
          <w:color w:val="auto"/>
        </w:rPr>
        <w:t>” means net operating losses, capital loss carryovers, general business credit carryovers, alternative minimum tax credit carryovers, foreign tax credit carryovers or any loss or deduction attributable to a “net unrealized built-in loss” within the meaning of Section 382, in each case of the Company or any of its Subsidiaries, and any other tax attribute the benefit of which is subject to possible limitation pursuant to Section 382.</w:t>
      </w:r>
    </w:p>
    <w:p>
      <w:pPr>
        <w:spacing w:after="0" w:line="142" w:lineRule="exact"/>
        <w:rPr>
          <w:rFonts w:ascii="Arial" w:cs="Arial" w:eastAsia="Arial" w:hAnsi="Arial"/>
          <w:sz w:val="16"/>
          <w:szCs w:val="16"/>
          <w:color w:val="auto"/>
        </w:rPr>
      </w:pPr>
    </w:p>
    <w:p>
      <w:pPr>
        <w:jc w:val="both"/>
        <w:ind w:right="120" w:firstLine="921"/>
        <w:spacing w:after="0" w:line="266" w:lineRule="auto"/>
        <w:tabs>
          <w:tab w:leader="none" w:pos="1483"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means a day on which the principal national securities exchange on which a referenced security is listed or admitted to trading is open for the transaction of business or, if a referenced security is not listed or admitted to trading on any national securities exchange, a Business Day.</w:t>
      </w:r>
    </w:p>
    <w:p>
      <w:pPr>
        <w:spacing w:after="0" w:line="176" w:lineRule="exact"/>
        <w:rPr>
          <w:rFonts w:ascii="Arial" w:cs="Arial" w:eastAsia="Arial" w:hAnsi="Arial"/>
          <w:sz w:val="18"/>
          <w:szCs w:val="18"/>
          <w:color w:val="auto"/>
        </w:rPr>
      </w:pPr>
    </w:p>
    <w:p>
      <w:pPr>
        <w:ind w:firstLine="921"/>
        <w:spacing w:after="0" w:line="282" w:lineRule="auto"/>
        <w:tabs>
          <w:tab w:leader="none" w:pos="1483"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Regulations</w:t>
      </w:r>
      <w:r>
        <w:rPr>
          <w:rFonts w:ascii="Arial" w:cs="Arial" w:eastAsia="Arial" w:hAnsi="Arial"/>
          <w:sz w:val="18"/>
          <w:szCs w:val="18"/>
          <w:color w:val="auto"/>
        </w:rPr>
        <w:t>” means the final, temporary and proposed income tax regulations promulgated by the United States Department of the Treasury pursuant to the Code, as amended or superseded from time to time.</w:t>
      </w:r>
    </w:p>
    <w:p>
      <w:pPr>
        <w:spacing w:after="0" w:line="161" w:lineRule="exact"/>
        <w:rPr>
          <w:rFonts w:ascii="Arial" w:cs="Arial" w:eastAsia="Arial" w:hAnsi="Arial"/>
          <w:sz w:val="18"/>
          <w:szCs w:val="18"/>
          <w:color w:val="auto"/>
        </w:rPr>
      </w:pPr>
    </w:p>
    <w:p>
      <w:pPr>
        <w:ind w:left="1380" w:hanging="459"/>
        <w:spacing w:after="0"/>
        <w:tabs>
          <w:tab w:leader="none" w:pos="1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Triggering Event</w:t>
      </w:r>
      <w:r>
        <w:rPr>
          <w:rFonts w:ascii="Arial" w:cs="Arial" w:eastAsia="Arial" w:hAnsi="Arial"/>
          <w:sz w:val="18"/>
          <w:szCs w:val="18"/>
          <w:color w:val="auto"/>
        </w:rPr>
        <w:t>” means any Section 11(a)(ii) Event or Section 13 Event.</w:t>
      </w:r>
    </w:p>
    <w:p>
      <w:pPr>
        <w:spacing w:after="0" w:line="225" w:lineRule="exact"/>
        <w:rPr>
          <w:rFonts w:ascii="Arial" w:cs="Arial" w:eastAsia="Arial" w:hAnsi="Arial"/>
          <w:sz w:val="18"/>
          <w:szCs w:val="18"/>
          <w:color w:val="auto"/>
        </w:rPr>
      </w:pPr>
    </w:p>
    <w:p>
      <w:pPr>
        <w:ind w:left="1380" w:hanging="459"/>
        <w:spacing w:after="0"/>
        <w:tabs>
          <w:tab w:leader="none" w:pos="1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w:t>
      </w:r>
      <w:r>
        <w:rPr>
          <w:rFonts w:ascii="Arial" w:cs="Arial" w:eastAsia="Arial" w:hAnsi="Arial"/>
          <w:sz w:val="18"/>
          <w:szCs w:val="18"/>
          <w:color w:val="auto"/>
        </w:rPr>
        <w:t>” has the meaning set forth in Section 24(b)(ii).</w:t>
      </w:r>
    </w:p>
    <w:p>
      <w:pPr>
        <w:spacing w:after="0" w:line="225" w:lineRule="exact"/>
        <w:rPr>
          <w:rFonts w:ascii="Arial" w:cs="Arial" w:eastAsia="Arial" w:hAnsi="Arial"/>
          <w:sz w:val="18"/>
          <w:szCs w:val="18"/>
          <w:color w:val="auto"/>
        </w:rPr>
      </w:pPr>
    </w:p>
    <w:p>
      <w:pPr>
        <w:ind w:left="1500" w:hanging="579"/>
        <w:spacing w:after="0"/>
        <w:tabs>
          <w:tab w:leader="none" w:pos="1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Agreement</w:t>
      </w:r>
      <w:r>
        <w:rPr>
          <w:rFonts w:ascii="Arial" w:cs="Arial" w:eastAsia="Arial" w:hAnsi="Arial"/>
          <w:sz w:val="18"/>
          <w:szCs w:val="18"/>
          <w:color w:val="auto"/>
        </w:rPr>
        <w:t>” has the meaning set forth in Section 24(b)(ii).</w:t>
      </w:r>
    </w:p>
    <w:p>
      <w:pPr>
        <w:spacing w:after="0" w:line="225" w:lineRule="exact"/>
        <w:rPr>
          <w:rFonts w:ascii="Arial" w:cs="Arial" w:eastAsia="Arial" w:hAnsi="Arial"/>
          <w:sz w:val="18"/>
          <w:szCs w:val="18"/>
          <w:color w:val="auto"/>
        </w:rPr>
      </w:pPr>
    </w:p>
    <w:p>
      <w:pPr>
        <w:ind w:left="1380" w:hanging="459"/>
        <w:spacing w:after="0"/>
        <w:tabs>
          <w:tab w:leader="none" w:pos="1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Waiver Request</w:t>
      </w:r>
      <w:r>
        <w:rPr>
          <w:rFonts w:ascii="Arial" w:cs="Arial" w:eastAsia="Arial" w:hAnsi="Arial"/>
          <w:sz w:val="18"/>
          <w:szCs w:val="18"/>
          <w:color w:val="auto"/>
        </w:rPr>
        <w:t>” has the meaning set forth in Section 25(a).</w:t>
      </w:r>
    </w:p>
    <w:p>
      <w:pPr>
        <w:spacing w:after="0" w:line="229"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i w:val="1"/>
          <w:iCs w:val="1"/>
          <w:color w:val="auto"/>
        </w:rPr>
        <w:t>Appointment of Rights Agent</w:t>
      </w:r>
      <w:r>
        <w:rPr>
          <w:rFonts w:ascii="Arial" w:cs="Arial" w:eastAsia="Arial" w:hAnsi="Arial"/>
          <w:sz w:val="18"/>
          <w:szCs w:val="18"/>
          <w:color w:val="auto"/>
        </w:rPr>
        <w:t>. The Company hereby appoints the Rights Agent to act as rights agent for the Company and the holders of the Rights (who, in accordance with Section 3, will prior to the Distribution Date also be the holders of the Common Shares) in accordance with the express terms and conditions hereof, and the Rights Agent hereby accepts such</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20"/>
          </w:cols>
          <w:pgMar w:left="240" w:top="270" w:right="339" w:bottom="1440" w:gutter="0" w:footer="0" w:header="0"/>
        </w:sectPr>
      </w:pPr>
    </w:p>
    <w:bookmarkStart w:id="28" w:name="page29"/>
    <w:bookmarkEnd w:id="28"/>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appointment. Upon 10 days’ prior written notice to the Rights Agent, the Company may from time to time appoint such co-rights agents as it may deem necessary or desirable. If the Company appoints one or more co-rights agents, then the respective duties of the Rights Agent and such co-rights agents will be as the Company determines, and the Company will promptly notify each rights agent of its respective duties. The Rights Agent will have no duty to supervise, and will in no event be liable for the acts or omissions of, any co-rights agent.</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i w:val="1"/>
          <w:iCs w:val="1"/>
          <w:color w:val="auto"/>
        </w:rPr>
        <w:t>Issuance of Rights Certificates</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84" w:lineRule="auto"/>
        <w:tabs>
          <w:tab w:leader="none" w:pos="1293"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Rights Evidenced by Certificates for Common Shares and Book Entry Shares</w:t>
      </w:r>
      <w:r>
        <w:rPr>
          <w:rFonts w:ascii="Arial" w:cs="Arial" w:eastAsia="Arial" w:hAnsi="Arial"/>
          <w:sz w:val="16"/>
          <w:szCs w:val="16"/>
          <w:color w:val="auto"/>
        </w:rPr>
        <w:t>. Until the Distribution Date, (i) the Rights (unless earlier</w:t>
      </w:r>
      <w:r>
        <w:rPr>
          <w:rFonts w:ascii="Arial" w:cs="Arial" w:eastAsia="Arial" w:hAnsi="Arial"/>
          <w:sz w:val="16"/>
          <w:szCs w:val="16"/>
          <w:i w:val="1"/>
          <w:iCs w:val="1"/>
          <w:color w:val="auto"/>
        </w:rPr>
        <w:t xml:space="preserve"> </w:t>
      </w:r>
      <w:r>
        <w:rPr>
          <w:rFonts w:ascii="Arial" w:cs="Arial" w:eastAsia="Arial" w:hAnsi="Arial"/>
          <w:sz w:val="16"/>
          <w:szCs w:val="16"/>
          <w:color w:val="auto"/>
        </w:rPr>
        <w:t>expired, redeemed or terminated) will be evidenced (subject to the provisions of Section 3(b) and Section 3(c)) by the certificates for Common Shares registered in the names of the holders thereof or, in the case of uncertificated Common Shares registered in book entry form (“</w:t>
      </w:r>
      <w:r>
        <w:rPr>
          <w:rFonts w:ascii="Arial" w:cs="Arial" w:eastAsia="Arial" w:hAnsi="Arial"/>
          <w:sz w:val="16"/>
          <w:szCs w:val="16"/>
          <w:b w:val="1"/>
          <w:bCs w:val="1"/>
          <w:color w:val="auto"/>
        </w:rPr>
        <w:t>Book Entry Shares</w:t>
      </w:r>
      <w:r>
        <w:rPr>
          <w:rFonts w:ascii="Arial" w:cs="Arial" w:eastAsia="Arial" w:hAnsi="Arial"/>
          <w:sz w:val="16"/>
          <w:szCs w:val="16"/>
          <w:color w:val="auto"/>
        </w:rPr>
        <w:t>”), by notation in book entry accounts reflecting the ownership of such Common Shares (which certificates and Book Entry Shares, as applicable, will also be deemed to be Rights Certificates) and not by separate Rights Certificates; and (ii) the Rights (and the right to receive Rights Certificates) will be transferable only in connection with the transfer of the underlying Common Shares (including a transfer to the Company). As soon as practicable after the Distribution Date, the Company will prepare and execute, the Rights Agent will countersign, by manual or facsimile signature, and the Company will send or cause to be sent (and the Rights Agent will, if so requested and provided with all necessary information and documents, at the Company’s expense send) (by mailing, in accordance with Section 27 or by such reasonable means as may be selected by the Company) to each record holder of Common Shares as of the Close of Business on the Distribution Date (other than any Acquiring Person or any of its Affiliates or Associates), at the address of such holder shown on the transfer books of the Company or the transfer agent for the Common Shares, one or more Rights Certificates evidencing one Right for each Common Share so held, subject to adjustment as provided herein. Receipt of a Rights Certificate by any Person will not preclude a later determination that all or part of the Rights represented thereby are null and void pursuant to Section 7(e). To the extent that a Section 11(a)(ii) Event has also occurred, the Company may implement such procedures as it deems appropriate in its sole discretion to minimize the possibility that Rights are received by any Person whose Rights are null and void pursuant to Section 7(e). In the event that an adjustment in the number of Rights per Common Share has been made pursuant to Section 11, then at the time of distribution of the Rights Certificates, the Company will make the necessary and appropriate rounding adjustments (in accordance with Section 14(a)) so that Rights Certificates representing only whole numbers of Rights are distributed and cash is paid in lieu of any fractional Rights (in accordance with Section 14(a)). As of and after the Distribution Date, the Rights will be evidenced solely by the Rights Certificates and may be transferred by the transfer of the Rights Certificates as permitted hereby, separately and apart from any transfer of Common Shares, and the holders of such Rights Certificates as shown on the transfer books of the Company or the transfer agent for the Rights (which may be the Rights Agent) will be the record holders thereof. The Company will promptly notify the Rights Agent in writing upon the occurrence of the Distribution Date. Until such notice is provided to the Rights Agent, it may presume conclusively for all purposes that the Distribution Date has not occurred.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29" w:name="page30"/>
    <w:bookmarkEnd w:id="29"/>
    <w:p>
      <w:pPr>
        <w:ind w:left="-460" w:right="20" w:firstLine="921"/>
        <w:spacing w:after="0" w:line="289" w:lineRule="auto"/>
        <w:tabs>
          <w:tab w:leader="none" w:pos="843"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Summary of Rights; Outstanding Common Shares</w:t>
      </w:r>
      <w:r>
        <w:rPr>
          <w:rFonts w:ascii="Arial" w:cs="Arial" w:eastAsia="Arial" w:hAnsi="Arial"/>
          <w:sz w:val="16"/>
          <w:szCs w:val="16"/>
          <w:color w:val="auto"/>
        </w:rPr>
        <w:t>. The Company will make available, or cause to be made available, promptly after the</w:t>
      </w:r>
      <w:r>
        <w:rPr>
          <w:rFonts w:ascii="Arial" w:cs="Arial" w:eastAsia="Arial" w:hAnsi="Arial"/>
          <w:sz w:val="16"/>
          <w:szCs w:val="16"/>
          <w:i w:val="1"/>
          <w:iCs w:val="1"/>
          <w:color w:val="auto"/>
        </w:rPr>
        <w:t xml:space="preserve"> </w:t>
      </w:r>
      <w:r>
        <w:rPr>
          <w:rFonts w:ascii="Arial" w:cs="Arial" w:eastAsia="Arial" w:hAnsi="Arial"/>
          <w:sz w:val="16"/>
          <w:szCs w:val="16"/>
          <w:color w:val="auto"/>
        </w:rPr>
        <w:t>Record Date, a copy of the Summary of Rights to any holder of Rights who may so request from time to time prior to the Expiration Date. With respect to certificates for Common Shares and Book Entry Shares, as applicable, outstanding as of the Record Date or issued subsequent to the Record Date, until the earlier of the Distribution Date or the Expiration Date, the Rights will be evidenced by such certificates or Book Entry Shares, and the registered holders of the Common Shares will also be the registered holders of the associated Rights. Until the earlier of the Distribution Date or the Expiration Date, the surrender for transfer of any Common Shares in respect of which Rights have been issued (with or without a copy of the Summary of Rights) will also constitute the transfer of the Rights associated with such Common Shares. Notwithstanding anything to the contrary in this Plan, upon the effectiveness of a redemption pursuant to Section 23 or an exchange pursuant to Section 24, the Company will not thereafter issue any additional Rights and, for the avoidance of doubt, no Rights will be attached to or will be issued with any Common Shares (including any Common Shares issued pursuant to an exchange) at any time thereafter.</w:t>
      </w:r>
    </w:p>
    <w:p>
      <w:pPr>
        <w:spacing w:after="0" w:line="166" w:lineRule="exact"/>
        <w:rPr>
          <w:rFonts w:ascii="Arial" w:cs="Arial" w:eastAsia="Arial" w:hAnsi="Arial"/>
          <w:sz w:val="16"/>
          <w:szCs w:val="16"/>
          <w:color w:val="auto"/>
        </w:rPr>
      </w:pPr>
    </w:p>
    <w:p>
      <w:pPr>
        <w:ind w:left="-460" w:firstLine="921"/>
        <w:spacing w:after="0" w:line="259" w:lineRule="auto"/>
        <w:tabs>
          <w:tab w:leader="none" w:pos="833"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Legend</w:t>
      </w:r>
      <w:r>
        <w:rPr>
          <w:rFonts w:ascii="Arial" w:cs="Arial" w:eastAsia="Arial" w:hAnsi="Arial"/>
          <w:sz w:val="18"/>
          <w:szCs w:val="18"/>
          <w:color w:val="auto"/>
        </w:rPr>
        <w:t>. Rights will be issued in respect of all Common Shares that are issued (whether as an original issuance or from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treasury) after the Record Date but prior to the earlier of the Distribution Date or the Expiration Date. Certificates representing such Common Shares will also be deemed to be certificates for Rights, and will bear substantially the following legend if such certificates are issued after the Record Date but prior to the earlier of the Distribution Date or the Expiration Date:</w:t>
      </w:r>
    </w:p>
    <w:p>
      <w:pPr>
        <w:spacing w:after="0" w:line="7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THIS CERTIFICATE ALSO EVIDENCES AND ENTITLES THE HOLDER HEREOF TO CERTAIN RIGHTS AS SET FORTH IN A TAX BENEFIT PRESERVATION PLAN, DATED AS OF NOVEMBER 21, 2016, BETWEEN FLUIDIGM CORPORATION (THE “COMPANY”) AND COMPUTERSHARE INC., AS RIGHTS AGENT (OR ANY SUCCESSOR RIGHTS AGENT THEREUNDER), AS THE SAME MAY BE AMENDED OR SUPPLEMENTED FROM TIME TO TIME (THE “PLAN”), THE TERMS OF WHICH ARE HEREBY INCORPORATED HEREIN BY REFERENCE AND A COPY OF WHICH IS ON FILE AT THE PRINCIPAL EXECUTIVE OFFICES OF THE COMPANY. UNDER CERTAIN CIRCUMSTANCES, AS SET FORTH IN THE PLAN, SUCH RIGHTS (AS DEFINED IN THE PLAN) MAY BE REDEEMED, MAY BECOME EXERCISABLE FOR SECURITIES OR ASSETS OF THE COMPANY OR SECURITIES OF ANOTHER ENTITY, MAY BE EXCHANGED FOR SHARES OF COMMON STOCK OR OTHER SECURITIES OR ASSETS OF THE COMPANY, MAY EXPIRE OR MAY BE EVIDENCED BY SEPARATE CERTIFICATES AND MAY NO LONGER BE EVIDENCED BY THIS CERTIFICATE. THE COMPANY WILL MAIL TO THE HOLDER OF THIS CERTIFICATE A COPY OF THE PLAN AS IN EFFECT ON THE DATE OF MAILING WITHOUT CHARGE AFTER RECEIPT OF A WRITTEN REQUEST THEREFOR. </w:t>
      </w:r>
      <w:r>
        <w:rPr>
          <w:rFonts w:ascii="Arial" w:cs="Arial" w:eastAsia="Arial" w:hAnsi="Arial"/>
          <w:sz w:val="17"/>
          <w:szCs w:val="17"/>
          <w:b w:val="1"/>
          <w:bCs w:val="1"/>
          <w:color w:val="auto"/>
        </w:rPr>
        <w:t>UNDER CERTAIN CIRCUMSTANCES AS SET FORTH IN THE PLAN, RIGHTS THAT</w:t>
      </w:r>
      <w:r>
        <w:rPr>
          <w:rFonts w:ascii="Arial" w:cs="Arial" w:eastAsia="Arial" w:hAnsi="Arial"/>
          <w:sz w:val="17"/>
          <w:szCs w:val="17"/>
          <w:color w:val="auto"/>
        </w:rPr>
        <w:t xml:space="preserve"> </w:t>
      </w:r>
      <w:r>
        <w:rPr>
          <w:rFonts w:ascii="Arial" w:cs="Arial" w:eastAsia="Arial" w:hAnsi="Arial"/>
          <w:sz w:val="17"/>
          <w:szCs w:val="17"/>
          <w:b w:val="1"/>
          <w:bCs w:val="1"/>
          <w:color w:val="auto"/>
        </w:rPr>
        <w:t>ARE BENEFICIALLY OWNED BY, TRANSFERRED TO OR HAVE BEEN</w:t>
      </w:r>
    </w:p>
    <w:p>
      <w:pPr>
        <w:spacing w:after="0" w:line="11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700" w:top="274" w:right="259" w:bottom="1440" w:gutter="0" w:footer="0" w:header="0"/>
        </w:sectPr>
      </w:pPr>
    </w:p>
    <w:bookmarkStart w:id="30" w:name="page31"/>
    <w:bookmarkEnd w:id="30"/>
    <w:p>
      <w:pPr>
        <w:ind w:left="460" w:right="2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OWNED BY AN ACQUIRING PERSON (AS DEFINED IN THE PLAN) OR ANY OF ITS AFFILIATES (AS DEFINED IN THE PLAN) OR ASSOCIATES (AS DEFINED IN THE PLAN) WILL BE NULL AND VOID AND WILL NO LONGER BE TRANSFERABLE.</w:t>
      </w:r>
    </w:p>
    <w:p>
      <w:pPr>
        <w:spacing w:after="0" w:line="16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With respect to any Book Entry Shares, a legend in substantially similar form will be included in a notice to the record holder of such shares in accordance with applicable law. With respect to such certificates for Common Shares or Book Entry Shares, as applicable, containing the foregoing legend, until the earlier of the Distribution Date or the Expiration Date, (i) the Rights associated with the Common Shares represented by such certificates or Book Entry Shares will be evidenced solely by such certificates or Book Entry Shares; (ii) the registered holders of the Common Shares will also be the registered holders of the associated Rights; and (iii) the surrender for transfer of any such certificates or Book Entry Shares (with or without a copy of the Summary of Rights) will also constitute the transfer of the Rights associated with the Common Shares represented thereby. Notwithstanding this Section 3(c), the omission of the legend required hereby, the inclusion of a legend that makes reference to a rights agreement or tax benefit preservation plan other than this Plan or the failure to provide notice thereof will not affect the enforceability of any part of this Plan or the rights of any holder of Rights.</w:t>
      </w:r>
    </w:p>
    <w:p>
      <w:pPr>
        <w:spacing w:after="0" w:line="166" w:lineRule="exact"/>
        <w:rPr>
          <w:sz w:val="20"/>
          <w:szCs w:val="20"/>
          <w:color w:val="auto"/>
        </w:rPr>
      </w:pPr>
    </w:p>
    <w:p>
      <w:pPr>
        <w:ind w:right="20" w:firstLine="921"/>
        <w:spacing w:after="0" w:line="286" w:lineRule="auto"/>
        <w:tabs>
          <w:tab w:leader="none" w:pos="1303"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Acquisitions of Rights by the Company</w:t>
      </w:r>
      <w:r>
        <w:rPr>
          <w:rFonts w:ascii="Arial" w:cs="Arial" w:eastAsia="Arial" w:hAnsi="Arial"/>
          <w:sz w:val="17"/>
          <w:szCs w:val="17"/>
          <w:color w:val="auto"/>
        </w:rPr>
        <w:t>. In the event that the Company purchases or acquires any Common Shares after the Record Date but</w:t>
      </w:r>
      <w:r>
        <w:rPr>
          <w:rFonts w:ascii="Arial" w:cs="Arial" w:eastAsia="Arial" w:hAnsi="Arial"/>
          <w:sz w:val="17"/>
          <w:szCs w:val="17"/>
          <w:i w:val="1"/>
          <w:iCs w:val="1"/>
          <w:color w:val="auto"/>
        </w:rPr>
        <w:t xml:space="preserve"> </w:t>
      </w:r>
      <w:r>
        <w:rPr>
          <w:rFonts w:ascii="Arial" w:cs="Arial" w:eastAsia="Arial" w:hAnsi="Arial"/>
          <w:sz w:val="17"/>
          <w:szCs w:val="17"/>
          <w:color w:val="auto"/>
        </w:rPr>
        <w:t>prior to the earlier of the Distribution Date or the Expiration Date, any Rights associated with such Common Shares will be deemed cancelled and retired so that the Company will not be entitled to exercise any Rights associated with the Common Shares that are no longer outstanding.</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i w:val="1"/>
          <w:iCs w:val="1"/>
          <w:color w:val="auto"/>
        </w:rPr>
        <w:t>Form of Rights Certificates</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70" w:lineRule="auto"/>
        <w:tabs>
          <w:tab w:leader="none" w:pos="1293" w:val="left"/>
        </w:tabs>
        <w:numPr>
          <w:ilvl w:val="1"/>
          <w:numId w:val="27"/>
        </w:numPr>
        <w:rPr>
          <w:rFonts w:ascii="Arial" w:cs="Arial" w:eastAsia="Arial" w:hAnsi="Arial"/>
          <w:sz w:val="17"/>
          <w:szCs w:val="17"/>
          <w:color w:val="auto"/>
        </w:rPr>
      </w:pPr>
      <w:r>
        <w:rPr>
          <w:rFonts w:ascii="Arial" w:cs="Arial" w:eastAsia="Arial" w:hAnsi="Arial"/>
          <w:sz w:val="17"/>
          <w:szCs w:val="17"/>
          <w:i w:val="1"/>
          <w:iCs w:val="1"/>
          <w:color w:val="auto"/>
        </w:rPr>
        <w:t>Rights Certificates</w:t>
      </w:r>
      <w:r>
        <w:rPr>
          <w:rFonts w:ascii="Arial" w:cs="Arial" w:eastAsia="Arial" w:hAnsi="Arial"/>
          <w:sz w:val="17"/>
          <w:szCs w:val="17"/>
          <w:color w:val="auto"/>
        </w:rPr>
        <w:t>. The Rights Certificates (and the form of election to purchase and form of assignment, including the certifications</w:t>
      </w:r>
      <w:r>
        <w:rPr>
          <w:rFonts w:ascii="Arial" w:cs="Arial" w:eastAsia="Arial" w:hAnsi="Arial"/>
          <w:sz w:val="17"/>
          <w:szCs w:val="17"/>
          <w:i w:val="1"/>
          <w:iCs w:val="1"/>
          <w:color w:val="auto"/>
        </w:rPr>
        <w:t xml:space="preserve"> </w:t>
      </w:r>
      <w:r>
        <w:rPr>
          <w:rFonts w:ascii="Arial" w:cs="Arial" w:eastAsia="Arial" w:hAnsi="Arial"/>
          <w:sz w:val="17"/>
          <w:szCs w:val="17"/>
          <w:color w:val="auto"/>
        </w:rPr>
        <w:t>therein, to be printed on the reverse thereof) will be substantially in the form of Exhibit B, and may have such marks of identification or designation and such legends, summaries or endorsements printed thereon as the Company may deem appropriate (but which do not affect the rights, duties, responsibilities or liabilities of the Rights Agent) and are not inconsistent with the provisions of this Plan, or as may be required to comply with any applicable law or with any rule or regulation made pursuant thereto, with any applicable rule or regulation of any applicable stock exchange or trading system or the Financial Industry Regulatory Authority, or to conform to customary usage. Subject to the provisions of Section 11 and Section 22, the Rights Certificates, whenever distributed, will be dated as of the Record Date (or in the case of Rights issued with respect to Common Shares issued by the Company after the Record Date, as of the date of issuance of such Common Shares) and on their face will entitle the holders thereof to purchase such number of one one-thousandths of a Preferred Share as will be set forth therein at the Exercise Price, but the number and type of securities purchasable upon the exercise of each Right and the Exercise Price will be subject to adjustment as provided herein.</w:t>
      </w:r>
    </w:p>
    <w:p>
      <w:pPr>
        <w:spacing w:after="0" w:line="177" w:lineRule="exact"/>
        <w:rPr>
          <w:rFonts w:ascii="Arial" w:cs="Arial" w:eastAsia="Arial" w:hAnsi="Arial"/>
          <w:sz w:val="17"/>
          <w:szCs w:val="17"/>
          <w:color w:val="auto"/>
        </w:rPr>
      </w:pPr>
    </w:p>
    <w:p>
      <w:pPr>
        <w:ind w:right="200" w:firstLine="464"/>
        <w:spacing w:after="0" w:line="277" w:lineRule="auto"/>
        <w:tabs>
          <w:tab w:leader="none" w:pos="846"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Certain Legends</w:t>
      </w:r>
      <w:r>
        <w:rPr>
          <w:rFonts w:ascii="Arial" w:cs="Arial" w:eastAsia="Arial" w:hAnsi="Arial"/>
          <w:sz w:val="18"/>
          <w:szCs w:val="18"/>
          <w:color w:val="auto"/>
        </w:rPr>
        <w:t>. Any Rights Certificate issued pursuant to Section 3(a), Section 11(g) or Section 22 that represents Rights that are Beneficially</w:t>
      </w:r>
      <w:r>
        <w:rPr>
          <w:rFonts w:ascii="Arial" w:cs="Arial" w:eastAsia="Arial" w:hAnsi="Arial"/>
          <w:sz w:val="18"/>
          <w:szCs w:val="18"/>
          <w:i w:val="1"/>
          <w:iCs w:val="1"/>
          <w:color w:val="auto"/>
        </w:rPr>
        <w:t xml:space="preserve"> </w:t>
      </w:r>
      <w:r>
        <w:rPr>
          <w:rFonts w:ascii="Arial" w:cs="Arial" w:eastAsia="Arial" w:hAnsi="Arial"/>
          <w:sz w:val="18"/>
          <w:szCs w:val="18"/>
          <w:color w:val="auto"/>
        </w:rPr>
        <w:t>Owned by an Acquiring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0" w:right="259" w:bottom="1440" w:gutter="0" w:footer="0" w:header="0"/>
        </w:sectPr>
      </w:pPr>
    </w:p>
    <w:bookmarkStart w:id="31" w:name="page32"/>
    <w:bookmarkEnd w:id="31"/>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Person, an Affiliate or Associate of an Acquiring Person, a Post-Event Transferee, a Pre-Event Transferee, a Subsequent Transferee or any nominee of any of the foregoing, and any Rights Certificate issued pursuant to Section 6 or Section 11 upon transfer, exchange, replacement or adjustment of any other Rights Certificate referred to in this sentence, will contain (to the extent that the Rights Agent has notice thereof and to the extent feasible) substantially the following legend:</w:t>
      </w:r>
    </w:p>
    <w:p>
      <w:pPr>
        <w:spacing w:after="0" w:line="79" w:lineRule="exact"/>
        <w:rPr>
          <w:sz w:val="20"/>
          <w:szCs w:val="20"/>
          <w:color w:val="auto"/>
        </w:rPr>
      </w:pPr>
    </w:p>
    <w:p>
      <w:pPr>
        <w:ind w:left="460" w:right="140"/>
        <w:spacing w:after="0" w:line="279" w:lineRule="auto"/>
        <w:rPr>
          <w:sz w:val="20"/>
          <w:szCs w:val="20"/>
          <w:color w:val="auto"/>
        </w:rPr>
      </w:pPr>
      <w:r>
        <w:rPr>
          <w:rFonts w:ascii="Arial" w:cs="Arial" w:eastAsia="Arial" w:hAnsi="Arial"/>
          <w:sz w:val="17"/>
          <w:szCs w:val="17"/>
          <w:color w:val="auto"/>
        </w:rPr>
        <w:t>THE RIGHTS REPRESENTED BY THIS RIGHTS CERTIFICATE ARE OR WERE BENEFICIALLY OWNED BY A PERSON WHO WAS OR BECAME AN ACQUIRING PERSON OR AN AFFILIATE OR ASSOCIATE OF AN ACQUIRING PERSON (AS SUCH TERMS ARE DEFINED IN THE PLAN). ACCORDINGLY, THIS RIGHTS CERTIFICATE AND THE RIGHTS (AS SUCH TERMS ARE DEFINED IN THE PLAN) REPRESENTED HEREBY MAY BECOME NULL AND VOID IN THE CIRCUMSTANCES SPECIFIED IN SECTION 7(e) OF THE PLAN.</w:t>
      </w:r>
    </w:p>
    <w:p>
      <w:pPr>
        <w:spacing w:after="0" w:line="171" w:lineRule="exact"/>
        <w:rPr>
          <w:sz w:val="20"/>
          <w:szCs w:val="20"/>
          <w:color w:val="auto"/>
        </w:rPr>
      </w:pPr>
    </w:p>
    <w:p>
      <w:pPr>
        <w:ind w:right="300" w:firstLine="921"/>
        <w:spacing w:after="0" w:line="277" w:lineRule="auto"/>
        <w:tabs>
          <w:tab w:leader="none" w:pos="1293"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Uncertificated Rights</w:t>
      </w:r>
      <w:r>
        <w:rPr>
          <w:rFonts w:ascii="Arial" w:cs="Arial" w:eastAsia="Arial" w:hAnsi="Arial"/>
          <w:sz w:val="18"/>
          <w:szCs w:val="18"/>
          <w:color w:val="auto"/>
        </w:rPr>
        <w:t>. Notwithstanding anything to the contrary in this Plan, the Company and the Rights Agent may amend this Plan to</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for uncertificated Rights in addition to or in place of Rights evidenced by Rights Certificates.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i w:val="1"/>
          <w:iCs w:val="1"/>
          <w:color w:val="auto"/>
        </w:rPr>
        <w:t>Countersignature and Registration</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87" w:lineRule="auto"/>
        <w:tabs>
          <w:tab w:leader="none" w:pos="1293"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Countersignature</w:t>
      </w:r>
      <w:r>
        <w:rPr>
          <w:rFonts w:ascii="Arial" w:cs="Arial" w:eastAsia="Arial" w:hAnsi="Arial"/>
          <w:sz w:val="16"/>
          <w:szCs w:val="16"/>
          <w:color w:val="auto"/>
        </w:rPr>
        <w:t>. The Rights Certificates will be executed on behalf of the Company by its Chairman of the Board, Chief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President, Chief Financial Officer, Secretary, Assistant Secretary or any Senior Vice President, which execution will be attested to by the Secretary or an Assistant Secretary of the Company, in each case either manually or by facsimile signature, and will have affixed thereto the Company’s seal (if any) or a facsimile thereof. The Rights Certificates will be countersigned, either manually or by facsimile signature, by an authorized signatory of the Rights Agent, but it will not be necessary for the same signatory to countersign all of the Rights Certificates. No Rights Certificate will be valid for any purpose unless countersigned by the Rights Agent. If any director or officer of the Company who has signed or attested to any of the Rights Certificates ceases to be such director or officer of the Company before countersignature by the Rights Agent and issuance and delivery by the Company, such Rights Certificates nevertheless may be countersigned by the Rights Agent and issued and delivered by the Company with the same force and effect as though the person who signed or attested to such Rights Certificates on behalf of the Company had not ceased to be a director or officer of the Company. Any Rights Certificate may be signed or attested to on behalf of the Company by any person who, as of the actual date of the execution of such Rights Certificate, is a proper director or officer of the Company to sign such Rights Certificate, although at the date of the execution of this Plan any such person was not such a director or officer.</w:t>
      </w:r>
    </w:p>
    <w:p>
      <w:pPr>
        <w:spacing w:after="0" w:line="172" w:lineRule="exact"/>
        <w:rPr>
          <w:rFonts w:ascii="Arial" w:cs="Arial" w:eastAsia="Arial" w:hAnsi="Arial"/>
          <w:sz w:val="16"/>
          <w:szCs w:val="16"/>
          <w:color w:val="auto"/>
        </w:rPr>
      </w:pPr>
    </w:p>
    <w:p>
      <w:pPr>
        <w:jc w:val="both"/>
        <w:ind w:right="40" w:firstLine="921"/>
        <w:spacing w:after="0" w:line="279" w:lineRule="auto"/>
        <w:tabs>
          <w:tab w:leader="none" w:pos="1303"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Transfer Books</w:t>
      </w:r>
      <w:r>
        <w:rPr>
          <w:rFonts w:ascii="Arial" w:cs="Arial" w:eastAsia="Arial" w:hAnsi="Arial"/>
          <w:sz w:val="17"/>
          <w:szCs w:val="17"/>
          <w:color w:val="auto"/>
        </w:rPr>
        <w:t>. Following the Distribution Date, the Rights Agent will keep or cause to be kept, at its office designated for such purposes,</w:t>
      </w:r>
      <w:r>
        <w:rPr>
          <w:rFonts w:ascii="Arial" w:cs="Arial" w:eastAsia="Arial" w:hAnsi="Arial"/>
          <w:sz w:val="17"/>
          <w:szCs w:val="17"/>
          <w:i w:val="1"/>
          <w:iCs w:val="1"/>
          <w:color w:val="auto"/>
        </w:rPr>
        <w:t xml:space="preserve"> </w:t>
      </w:r>
      <w:r>
        <w:rPr>
          <w:rFonts w:ascii="Arial" w:cs="Arial" w:eastAsia="Arial" w:hAnsi="Arial"/>
          <w:sz w:val="17"/>
          <w:szCs w:val="17"/>
          <w:color w:val="auto"/>
        </w:rPr>
        <w:t>books for registration and transfer of the Rights Certificates issued hereunder. Such books will show the names and addresses of the respective holders of the Rights Certificates, the number of Rights evidenced on its face by each of the Rights Certificates, the certificate number of each of the Rights Certificates and the date of each of the Rights Certificates. The Rights Agent will not register, or permit to be registered, any transfer</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32" w:name="page33"/>
    <w:bookmarkEnd w:id="32"/>
    <w:p>
      <w:pPr>
        <w:ind w:right="2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exchange of any Rights Certificates (or the underlying Rights) that have become null and void pursuant to Section 7(e), have been redeemed pursuant to Section 23 or have been exchanged pursuant to Section 24.</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i w:val="1"/>
          <w:iCs w:val="1"/>
          <w:color w:val="auto"/>
        </w:rPr>
        <w:t>Transfer, Split Up, Combination and Exchange of Rights Certificates; Mutilated, Destroyed, Lost or Stolen Rights Certificates</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84" w:lineRule="auto"/>
        <w:tabs>
          <w:tab w:leader="none" w:pos="1293"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Transfer, Split Up, Combination and Exchange of Rights Certificates</w:t>
      </w:r>
      <w:r>
        <w:rPr>
          <w:rFonts w:ascii="Arial" w:cs="Arial" w:eastAsia="Arial" w:hAnsi="Arial"/>
          <w:sz w:val="16"/>
          <w:szCs w:val="16"/>
          <w:color w:val="auto"/>
        </w:rPr>
        <w:t>. Subject to the provisions of Section 4(b), Section 7(e), Section 14 and</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24, at any time after the Close of Business on the Distribution Date, and at or prior to the Close of Business on the Expiration Date, any Rights Certificate (other than any Rights Certificate representing Rights that have become null and void pursuant to Section 7(e), that have been redeemed pursuant to Section 23 or that have been exchanged pursuant to Section 24) may be transferred, split up, combined or exchanged for another Rights Certificate entitling the registered holder to purchase a like number of one one-thousandths of a Preferred Share (or, following a Triggering Event, other securities, cash or other assets, as the case may be) as the Rights Certificate surrendered then entitled such holder (or former holder in the case of a transfer) to purchase. Any registered holder desiring to transfer, split up, combine or exchange any Rights Certificate will make such request in writing delivered to the Rights Agent, and will surrender the Rights Certificate, together with any required form of assignment duly executed and properly completed, to be transferred, split up, combined or exchanged at the office of the Rights Agent designated for such purpose. The Rights Certificates are transferable only on the books and records of the Rights Agent. Notwithstanding anything in this Plan to the contrary, neither the Rights Agent nor the Company will be obligated to take any action whatsoever with respect to the transfer of any such surrendered Rights Certificate until the registered holder has properly completed and duly executed the certificate contained in the form of assignment on the reverse side of such Rights Certificate and has provided such additional evidence of the identity of the Beneficial Owner (or former Beneficial Owner) or Affiliates or Associates thereof, in each case as the Company or the Rights Agent reasonably requests. Thereupon, subject to Section 4(b), Section 7(e), Section 14 and Section 24, the Rights Agent will countersign (by manual or facsimile signature) and deliver to the Person entitled thereto a Rights Certificate as so requested. The Company or the Rights Agent may require payment from the holder of a Rights Certificate of a sum sufficient to cover any tax or governmental charge that may be imposed in connection with any transfer, split up, combination or exchange of any Rights Certificate. If and to the extent that the Company does require payment of any such tax or charge, the Company will provide the Rights Agent prompt written notice thereof and the Rights Agent will not deliver any Right Certificate unless and until the Rights Agent is satisfied that all such payments have been made, and the Rights Agent will forward any such sum collected by it to the Company or to such Person as the Company specifies by written notice. The Rights Agent will not have any duty or obligation to take any action pursuant to any Section of this Plan related to the issuance or delivery of Rights Certificates unless and until it is satisfied that all such taxes or charges have been paid.</w:t>
      </w:r>
    </w:p>
    <w:p>
      <w:pPr>
        <w:spacing w:after="0" w:line="181" w:lineRule="exact"/>
        <w:rPr>
          <w:rFonts w:ascii="Arial" w:cs="Arial" w:eastAsia="Arial" w:hAnsi="Arial"/>
          <w:sz w:val="16"/>
          <w:szCs w:val="16"/>
          <w:color w:val="auto"/>
        </w:rPr>
      </w:pPr>
    </w:p>
    <w:p>
      <w:pPr>
        <w:ind w:right="180" w:firstLine="921"/>
        <w:spacing w:after="0" w:line="308" w:lineRule="auto"/>
        <w:tabs>
          <w:tab w:leader="none" w:pos="1303"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Mutilated, Destroyed, Lost or Stolen Rights Certificates</w:t>
      </w:r>
      <w:r>
        <w:rPr>
          <w:rFonts w:ascii="Arial" w:cs="Arial" w:eastAsia="Arial" w:hAnsi="Arial"/>
          <w:sz w:val="17"/>
          <w:szCs w:val="17"/>
          <w:color w:val="auto"/>
        </w:rPr>
        <w:t>. Subject to the provisions of Section 7(e), Section 11(a)(ii) and Section 24, at any</w:t>
      </w:r>
      <w:r>
        <w:rPr>
          <w:rFonts w:ascii="Arial" w:cs="Arial" w:eastAsia="Arial" w:hAnsi="Arial"/>
          <w:sz w:val="17"/>
          <w:szCs w:val="17"/>
          <w:i w:val="1"/>
          <w:iCs w:val="1"/>
          <w:color w:val="auto"/>
        </w:rPr>
        <w:t xml:space="preserve"> </w:t>
      </w:r>
      <w:r>
        <w:rPr>
          <w:rFonts w:ascii="Arial" w:cs="Arial" w:eastAsia="Arial" w:hAnsi="Arial"/>
          <w:sz w:val="17"/>
          <w:szCs w:val="17"/>
          <w:color w:val="auto"/>
        </w:rPr>
        <w:t>time after the Distribution Date and prior to the Expiration Date, upon receipt by the Company and the Rights Agent of evidence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33" w:name="page34"/>
    <w:bookmarkEnd w:id="33"/>
    <w:p>
      <w:pPr>
        <w:ind w:right="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reasonably satisfactory to them of the loss, theft, destruction or mutilation of a Rights Certificate and such additional evidence of the identity of the Beneficial Owner (or former Beneficial Owner) or Affiliates or Associates thereof as the Company or the Rights Agent may request, and, in case of loss, theft or destruction, of indemnity or security reasonably satisfactory to them, and reimbursement to the Company and the Rights Agent of all reasonable expenses incidental thereto, and upon surrender to the Rights Agent and cancellation of the Rights Certificate if mutilated, the Company will make and deliver a new Rights Certificate of like tenor to the Rights Agent for countersignature and delivery to the registered holder in lieu of the Rights Certificate so lost, stolen, destroyed or mutilated. Every new Rights Certificate issued pursuant to this Section 6(b) in lieu of any lost, stolen, destroyed or mutilated Rights Certificate will evidence an original additional contractual obligation of the Company, whether or not the lost, stolen, destroyed or mutilated Rights Certificate will be at any time enforceable by anyone, and, subject to Section 7(e) will be entitled to all the benefits of this Plan equally and proportionately with any and all other Rights duly issued hereunder.</w:t>
      </w:r>
    </w:p>
    <w:p>
      <w:pPr>
        <w:spacing w:after="0" w:line="3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i w:val="1"/>
          <w:iCs w:val="1"/>
          <w:color w:val="auto"/>
        </w:rPr>
        <w:t>Exercise of Rights; Exercise Price; Expiration Date of Rights</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55" w:lineRule="auto"/>
        <w:tabs>
          <w:tab w:leader="none" w:pos="1293"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Exercise of Rights</w:t>
      </w:r>
      <w:r>
        <w:rPr>
          <w:rFonts w:ascii="Arial" w:cs="Arial" w:eastAsia="Arial" w:hAnsi="Arial"/>
          <w:sz w:val="18"/>
          <w:szCs w:val="18"/>
          <w:color w:val="auto"/>
        </w:rPr>
        <w:t>. Subject to Section 7(e), Section 23(b) and Section 24(a), the registered holder of any Rights Certificate may exercise the</w:t>
      </w:r>
      <w:r>
        <w:rPr>
          <w:rFonts w:ascii="Arial" w:cs="Arial" w:eastAsia="Arial" w:hAnsi="Arial"/>
          <w:sz w:val="18"/>
          <w:szCs w:val="18"/>
          <w:i w:val="1"/>
          <w:iCs w:val="1"/>
          <w:color w:val="auto"/>
        </w:rPr>
        <w:t xml:space="preserve"> </w:t>
      </w:r>
      <w:r>
        <w:rPr>
          <w:rFonts w:ascii="Arial" w:cs="Arial" w:eastAsia="Arial" w:hAnsi="Arial"/>
          <w:sz w:val="18"/>
          <w:szCs w:val="18"/>
          <w:color w:val="auto"/>
        </w:rPr>
        <w:t>Rights evidenced thereby (except as otherwise provided herein) in whole or in part on any Business Day at or after the Distribution Date and prior to the Close of Business on the Expiration Date by surrender of the Rights Certificate, with the form of election to purchase and certificate on the reverse side thereof properly completed and duly executed, to the Rights Agent at the office of the Rights Agent designated for such purpose, together with payment of the Exercise Price for each one one-thousandth of a Preferred Share (or, following a Triggering Event, other securities, cash or other assets, as the case may be) as to which the Rights are exercised.</w:t>
      </w:r>
    </w:p>
    <w:p>
      <w:pPr>
        <w:spacing w:after="0" w:line="193" w:lineRule="exact"/>
        <w:rPr>
          <w:rFonts w:ascii="Arial" w:cs="Arial" w:eastAsia="Arial" w:hAnsi="Arial"/>
          <w:sz w:val="18"/>
          <w:szCs w:val="18"/>
          <w:color w:val="auto"/>
        </w:rPr>
      </w:pPr>
    </w:p>
    <w:p>
      <w:pPr>
        <w:ind w:left="1320" w:hanging="399"/>
        <w:spacing w:after="0"/>
        <w:tabs>
          <w:tab w:leader="none" w:pos="132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Exercise Price</w:t>
      </w:r>
      <w:r>
        <w:rPr>
          <w:rFonts w:ascii="Arial" w:cs="Arial" w:eastAsia="Arial" w:hAnsi="Arial"/>
          <w:sz w:val="18"/>
          <w:szCs w:val="18"/>
          <w:color w:val="auto"/>
        </w:rPr>
        <w:t>. The Exercise Price is payable in accordance with Section 7(c).</w:t>
      </w:r>
    </w:p>
    <w:p>
      <w:pPr>
        <w:spacing w:after="0" w:line="225" w:lineRule="exact"/>
        <w:rPr>
          <w:rFonts w:ascii="Arial" w:cs="Arial" w:eastAsia="Arial" w:hAnsi="Arial"/>
          <w:sz w:val="18"/>
          <w:szCs w:val="18"/>
          <w:color w:val="auto"/>
        </w:rPr>
      </w:pPr>
    </w:p>
    <w:p>
      <w:pPr>
        <w:ind w:right="60" w:firstLine="921"/>
        <w:spacing w:after="0" w:line="286" w:lineRule="auto"/>
        <w:tabs>
          <w:tab w:leader="none" w:pos="1293"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Payment</w:t>
      </w:r>
      <w:r>
        <w:rPr>
          <w:rFonts w:ascii="Arial" w:cs="Arial" w:eastAsia="Arial" w:hAnsi="Arial"/>
          <w:sz w:val="16"/>
          <w:szCs w:val="16"/>
          <w:color w:val="auto"/>
        </w:rPr>
        <w:t>. Except as otherwise provided in this Plan, upon receipt of a Rights Certificate representing exercisable Rights, with the form of</w:t>
      </w:r>
      <w:r>
        <w:rPr>
          <w:rFonts w:ascii="Arial" w:cs="Arial" w:eastAsia="Arial" w:hAnsi="Arial"/>
          <w:sz w:val="16"/>
          <w:szCs w:val="16"/>
          <w:i w:val="1"/>
          <w:iCs w:val="1"/>
          <w:color w:val="auto"/>
        </w:rPr>
        <w:t xml:space="preserve"> </w:t>
      </w:r>
      <w:r>
        <w:rPr>
          <w:rFonts w:ascii="Arial" w:cs="Arial" w:eastAsia="Arial" w:hAnsi="Arial"/>
          <w:sz w:val="16"/>
          <w:szCs w:val="16"/>
          <w:color w:val="auto"/>
        </w:rPr>
        <w:t>election to purchase and certification properly completed and duly executed, accompanied by payment of the aggregate Exercise Price for the total number of one one-thousandths of a Preferred Share (or, following a Triggering Event, other securities, cash or other assets, as the case may be) to be purchased and an amount equal to any applicable transfer tax or governmental charge required to be paid by the holder of such Rights Certificate in accordance with</w:t>
      </w:r>
    </w:p>
    <w:p>
      <w:pPr>
        <w:spacing w:after="0" w:line="1" w:lineRule="exact"/>
        <w:rPr>
          <w:rFonts w:ascii="Arial" w:cs="Arial" w:eastAsia="Arial" w:hAnsi="Arial"/>
          <w:sz w:val="16"/>
          <w:szCs w:val="16"/>
          <w:color w:val="auto"/>
        </w:rPr>
      </w:pPr>
    </w:p>
    <w:p>
      <w:pPr>
        <w:ind w:right="180"/>
        <w:spacing w:after="0" w:line="270" w:lineRule="auto"/>
        <w:rPr>
          <w:rFonts w:ascii="Arial" w:cs="Arial" w:eastAsia="Arial" w:hAnsi="Arial"/>
          <w:sz w:val="16"/>
          <w:szCs w:val="16"/>
          <w:color w:val="auto"/>
        </w:rPr>
      </w:pPr>
      <w:r>
        <w:rPr>
          <w:rFonts w:ascii="Arial" w:cs="Arial" w:eastAsia="Arial" w:hAnsi="Arial"/>
          <w:sz w:val="17"/>
          <w:szCs w:val="17"/>
          <w:color w:val="auto"/>
        </w:rPr>
        <w:t>Section 9(e), the Rights Agent will, subject to Section 7(f) and Section 20(j), thereupon promptly (i) (A) requisition from any transfer agent of the Preferred Shares (or make available, if the Rights Agent is the transfer agent for the Preferred Shares) a certificate for the total number of one one-thousandths of a Preferred Share (or, following a Triggering Event, other securities, cash or other assets, as the case may be) to be purchased (or, in the case of uncertificated shares or other securities, requisition from the transfer agent a notice setting forth such number of shares or other securities to be purchased for which registration will be made on the transfer books of the Company), and the Company hereby irrevocably authorizes its transfer agent to comply with all such requests; or (B) if the Company has elected to deposit the total number of one one-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34" w:name="page35"/>
    <w:bookmarkEnd w:id="34"/>
    <w:p>
      <w:pPr>
        <w:ind w:right="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thousandths of a Preferred Share (or, following a Triggering Event, other securities, cash or other assets, as the case may be) issuable upon exercise of the Rights hereunder with a depositary agent, requisition from such depositary agent depositary receipts representing interests in such number of one one-thousandths of a Preferred Share (or, following a Triggering Event, other securities, cash or other assets, as the case may be) as are to be purchased (in which case certificates for the Preferred Shares (or, following a Triggering Event, other securities, cash or other assets, as the case may be) represented by such receipts will be deposited by the transfer agent with such depositary agent) and the Company hereby irrevocably directs such depositary agent to comply with such request; (ii) when necessary to comply with the terms of this Plan, requisition from the Company the amount of cash, if any, to be paid in lieu of the issuance of fractional shares in accordance with Section 14; (iii) after receipt of such certificates, notices, or depositary receipts, cause the same to be delivered to or upon the order of the registered holder of such Rights Certificate, registered in such name or names as may be designated by such holder; and</w:t>
      </w:r>
    </w:p>
    <w:p>
      <w:pPr>
        <w:spacing w:after="0" w:line="1" w:lineRule="exact"/>
        <w:rPr>
          <w:sz w:val="20"/>
          <w:szCs w:val="20"/>
          <w:color w:val="auto"/>
        </w:rPr>
      </w:pPr>
    </w:p>
    <w:p>
      <w:pPr>
        <w:ind w:right="20" w:firstLine="8"/>
        <w:spacing w:after="0" w:line="287" w:lineRule="auto"/>
        <w:tabs>
          <w:tab w:leader="none" w:pos="305" w:val="left"/>
        </w:tabs>
        <w:numPr>
          <w:ilvl w:val="0"/>
          <w:numId w:val="33"/>
        </w:numPr>
        <w:rPr>
          <w:rFonts w:ascii="Arial" w:cs="Arial" w:eastAsia="Arial" w:hAnsi="Arial"/>
          <w:sz w:val="16"/>
          <w:szCs w:val="16"/>
          <w:color w:val="auto"/>
        </w:rPr>
      </w:pPr>
      <w:r>
        <w:rPr>
          <w:rFonts w:ascii="Arial" w:cs="Arial" w:eastAsia="Arial" w:hAnsi="Arial"/>
          <w:sz w:val="16"/>
          <w:szCs w:val="16"/>
          <w:color w:val="auto"/>
        </w:rPr>
        <w:t>when necessary to comply with the terms of this Plan, after receipt thereof, deliver such cash to or upon the order of the registered holder of such Rights Certificate. The payment of the Exercise Price (as such amount may be reduced (including to zero) pursuant to Section 11(a)(iii)), and an amount equal to any applicable transfer tax or governmental charge required to be paid by the holder of such Rights Certificate in accordance with Section 9(e), may be made by certified bank check, money order, cashier’s check or bank draft payable to the order of the Company. In the event that the Company is obligated to issue securities of the Company other than Preferred Shares, pay cash or distribute other property pursuant to Section 11(a), then the Company will make all arrangements necessary so that such other securities, cash or other property are available for distribution by the Rights Agent, if and when necessary to comply with the terms of this Plan. Notwithstanding anything to the contrary in this Plan, the Company reserves the right to require that prior to the occurrence of a Triggering Event, upon any exercise of Rights, a number of Rights be exercised so that only whole Preferred Shares would be issued.</w:t>
      </w:r>
    </w:p>
    <w:p>
      <w:pPr>
        <w:spacing w:after="0" w:line="170" w:lineRule="exact"/>
        <w:rPr>
          <w:rFonts w:ascii="Arial" w:cs="Arial" w:eastAsia="Arial" w:hAnsi="Arial"/>
          <w:sz w:val="16"/>
          <w:szCs w:val="16"/>
          <w:color w:val="auto"/>
        </w:rPr>
      </w:pPr>
    </w:p>
    <w:p>
      <w:pPr>
        <w:ind w:right="260" w:firstLine="921"/>
        <w:spacing w:after="0" w:line="312" w:lineRule="auto"/>
        <w:tabs>
          <w:tab w:leader="none" w:pos="1303" w:val="left"/>
        </w:tabs>
        <w:numPr>
          <w:ilvl w:val="1"/>
          <w:numId w:val="33"/>
        </w:numPr>
        <w:rPr>
          <w:rFonts w:ascii="Arial" w:cs="Arial" w:eastAsia="Arial" w:hAnsi="Arial"/>
          <w:sz w:val="16"/>
          <w:szCs w:val="16"/>
          <w:color w:val="auto"/>
        </w:rPr>
      </w:pPr>
      <w:r>
        <w:rPr>
          <w:rFonts w:ascii="Arial" w:cs="Arial" w:eastAsia="Arial" w:hAnsi="Arial"/>
          <w:sz w:val="16"/>
          <w:szCs w:val="16"/>
          <w:i w:val="1"/>
          <w:iCs w:val="1"/>
          <w:color w:val="auto"/>
        </w:rPr>
        <w:t>Partial Exercise</w:t>
      </w:r>
      <w:r>
        <w:rPr>
          <w:rFonts w:ascii="Arial" w:cs="Arial" w:eastAsia="Arial" w:hAnsi="Arial"/>
          <w:sz w:val="16"/>
          <w:szCs w:val="16"/>
          <w:color w:val="auto"/>
        </w:rPr>
        <w:t>. If the registered holder of any Rights Certificate exercises less than all the Rights evidenced thereby, then a new Rights</w:t>
      </w:r>
      <w:r>
        <w:rPr>
          <w:rFonts w:ascii="Arial" w:cs="Arial" w:eastAsia="Arial" w:hAnsi="Arial"/>
          <w:sz w:val="16"/>
          <w:szCs w:val="16"/>
          <w:i w:val="1"/>
          <w:iCs w:val="1"/>
          <w:color w:val="auto"/>
        </w:rPr>
        <w:t xml:space="preserve"> </w:t>
      </w:r>
      <w:r>
        <w:rPr>
          <w:rFonts w:ascii="Arial" w:cs="Arial" w:eastAsia="Arial" w:hAnsi="Arial"/>
          <w:sz w:val="16"/>
          <w:szCs w:val="16"/>
          <w:color w:val="auto"/>
        </w:rPr>
        <w:t>Certificate evidencing Rights equivalent to the Rights remaining unexercised will be issued by the Rights Agent and delivered to or upon the order of the registered holder of such Rights Certificate, registered in such name as may be designated by such holder, subject to the provisions of Section 14.</w:t>
      </w:r>
    </w:p>
    <w:p>
      <w:pPr>
        <w:spacing w:after="0" w:line="146" w:lineRule="exact"/>
        <w:rPr>
          <w:rFonts w:ascii="Arial" w:cs="Arial" w:eastAsia="Arial" w:hAnsi="Arial"/>
          <w:sz w:val="16"/>
          <w:szCs w:val="16"/>
          <w:color w:val="auto"/>
        </w:rPr>
      </w:pPr>
    </w:p>
    <w:p>
      <w:pPr>
        <w:ind w:firstLine="921"/>
        <w:spacing w:after="0" w:line="291" w:lineRule="auto"/>
        <w:tabs>
          <w:tab w:leader="none" w:pos="1293" w:val="left"/>
        </w:tabs>
        <w:numPr>
          <w:ilvl w:val="1"/>
          <w:numId w:val="33"/>
        </w:numPr>
        <w:rPr>
          <w:rFonts w:ascii="Arial" w:cs="Arial" w:eastAsia="Arial" w:hAnsi="Arial"/>
          <w:sz w:val="16"/>
          <w:szCs w:val="16"/>
          <w:color w:val="auto"/>
        </w:rPr>
      </w:pPr>
      <w:r>
        <w:rPr>
          <w:rFonts w:ascii="Arial" w:cs="Arial" w:eastAsia="Arial" w:hAnsi="Arial"/>
          <w:sz w:val="16"/>
          <w:szCs w:val="16"/>
          <w:i w:val="1"/>
          <w:iCs w:val="1"/>
          <w:color w:val="auto"/>
        </w:rPr>
        <w:t>Prohibited Issuances</w:t>
      </w:r>
      <w:r>
        <w:rPr>
          <w:rFonts w:ascii="Arial" w:cs="Arial" w:eastAsia="Arial" w:hAnsi="Arial"/>
          <w:sz w:val="16"/>
          <w:szCs w:val="16"/>
          <w:color w:val="auto"/>
        </w:rPr>
        <w:t>. Notwithstanding anything to the contrary in this Plan, from and after the first occurrence of a Triggering Event, any</w:t>
      </w:r>
      <w:r>
        <w:rPr>
          <w:rFonts w:ascii="Arial" w:cs="Arial" w:eastAsia="Arial" w:hAnsi="Arial"/>
          <w:sz w:val="16"/>
          <w:szCs w:val="16"/>
          <w:i w:val="1"/>
          <w:iCs w:val="1"/>
          <w:color w:val="auto"/>
        </w:rPr>
        <w:t xml:space="preserve"> </w:t>
      </w:r>
      <w:r>
        <w:rPr>
          <w:rFonts w:ascii="Arial" w:cs="Arial" w:eastAsia="Arial" w:hAnsi="Arial"/>
          <w:sz w:val="16"/>
          <w:szCs w:val="16"/>
          <w:color w:val="auto"/>
        </w:rPr>
        <w:t>Rights that are or were acquired or Beneficially Owned by (i) an Acquiring Person or an Affiliate or Associate of an Acquiring Person, (ii) a transferee of an Acquiring Person (or an Affiliate or Associate of an Acquiring Person) who becomes a transferee after the Acquiring Person becomes such (a “</w:t>
      </w:r>
      <w:r>
        <w:rPr>
          <w:rFonts w:ascii="Arial" w:cs="Arial" w:eastAsia="Arial" w:hAnsi="Arial"/>
          <w:sz w:val="16"/>
          <w:szCs w:val="16"/>
          <w:b w:val="1"/>
          <w:bCs w:val="1"/>
          <w:color w:val="auto"/>
        </w:rPr>
        <w:t>Post-Event</w:t>
      </w:r>
      <w:r>
        <w:rPr>
          <w:rFonts w:ascii="Arial" w:cs="Arial" w:eastAsia="Arial" w:hAnsi="Arial"/>
          <w:sz w:val="16"/>
          <w:szCs w:val="16"/>
          <w:color w:val="auto"/>
        </w:rPr>
        <w:t xml:space="preserve"> </w:t>
      </w:r>
      <w:r>
        <w:rPr>
          <w:rFonts w:ascii="Arial" w:cs="Arial" w:eastAsia="Arial" w:hAnsi="Arial"/>
          <w:sz w:val="16"/>
          <w:szCs w:val="16"/>
          <w:b w:val="1"/>
          <w:bCs w:val="1"/>
          <w:color w:val="auto"/>
        </w:rPr>
        <w:t>Transferee</w:t>
      </w:r>
      <w:r>
        <w:rPr>
          <w:rFonts w:ascii="Arial" w:cs="Arial" w:eastAsia="Arial" w:hAnsi="Arial"/>
          <w:sz w:val="16"/>
          <w:szCs w:val="16"/>
          <w:color w:val="auto"/>
        </w:rPr>
        <w:t>”), (iii) a transferee of an Acquiring Person (or an Affiliate or Associate of an Acquiring Person) who becomes a transferee prior to or concurrently</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Acquiring Person becoming such and receives such Rights pursuant to either (A) a transfer (whether or not for consideration) from the Acquiring Person (or an Affiliate or Associate of the Acquiring Person) to holders of equity interests in such Acquiring Person (or an Affiliate or Associate of such Acquiring Person) or to any Person with whom the Acquiring Person (or an Affiliate or Associate of the Acquiring Person) has any continuing</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35" w:name="page36"/>
    <w:bookmarkEnd w:id="35"/>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arrangement or understanding whether or not in writing regarding the transferred Rights or (B) a transfer that the Board has determined is part of a plan, arrangement or understanding that has as a primary purpose or effect the avoidance of this Section 7(e) (a “</w:t>
      </w:r>
      <w:r>
        <w:rPr>
          <w:rFonts w:ascii="Arial" w:cs="Arial" w:eastAsia="Arial" w:hAnsi="Arial"/>
          <w:sz w:val="17"/>
          <w:szCs w:val="17"/>
          <w:b w:val="1"/>
          <w:bCs w:val="1"/>
          <w:color w:val="auto"/>
        </w:rPr>
        <w:t>Pre-Event Transferee</w:t>
      </w:r>
      <w:r>
        <w:rPr>
          <w:rFonts w:ascii="Arial" w:cs="Arial" w:eastAsia="Arial" w:hAnsi="Arial"/>
          <w:sz w:val="17"/>
          <w:szCs w:val="17"/>
          <w:color w:val="auto"/>
        </w:rPr>
        <w:t>”), (iv) any subsequent transferee receiving transferred Rights from a Post-Event Transferee or a Pre-Event Transferee, either directly or through one or more intermediate transferees (a “</w:t>
      </w:r>
      <w:r>
        <w:rPr>
          <w:rFonts w:ascii="Arial" w:cs="Arial" w:eastAsia="Arial" w:hAnsi="Arial"/>
          <w:sz w:val="17"/>
          <w:szCs w:val="17"/>
          <w:b w:val="1"/>
          <w:bCs w:val="1"/>
          <w:color w:val="auto"/>
        </w:rPr>
        <w:t>Subsequent Transferee</w:t>
      </w:r>
      <w:r>
        <w:rPr>
          <w:rFonts w:ascii="Arial" w:cs="Arial" w:eastAsia="Arial" w:hAnsi="Arial"/>
          <w:sz w:val="17"/>
          <w:szCs w:val="17"/>
          <w:color w:val="auto"/>
        </w:rPr>
        <w:t>”), or (v) any nominee of any of the foregoing will, in each case, become null and void without any further action, and no holder (whether or not such holder is an Acquiring Person or an Affiliate or Associate of an Acquiring Person) of such Rights will have any rights whatsoever (including the right to exercise) with respect to such Rights or any Rights Certificates that formerly evidenced such Rights, whether pursuant to any provision of this Plan or otherwise. From and after the first occurrence of a Triggering Event, no Rights Certificate will be issued pursuant to this Plan (including to an Acquiring Person, an Affiliate or Associate of an Acquiring Person, a Post-Event Transferee, a Pre-Event Transferee, a Subsequent Transferee or any nominee of any of the foregoing) that represents one or more Rights that are or have become null and void pursuant to this Section 7(e) or with respect to any Common Shares otherwise deemed to be Beneficially Owned by any of the foregoing, and any Rights Certificate delivered to the Rights Agent that represents Rights that are or have become null and void pursuant to this Section 7(e) will be cancelled. The Company will use all reasonable efforts to ensure that the provisions of this Section 7(e) and Section 4(b) are complied with, but neither the Company nor the Rights Agent will have any liability to any holder of Rights Certificates or to any other Person as a result of the Company’s failure to make any determinations with respect to an Acquiring Person, an Affiliate or Associate of an Acquiring Person, a Post-Event Transferee, a Pre-Event Transferee, a Subsequent Transferee or any nominee of any of the foregoing. The Company will provide the Rights Agent with written notice of the identity of any such Acquiring Person, Affiliate or Associate of an Acquiring Person, Post-Event Transferee, Pre-Event Transferee, Subsequent Transferee or any nominee of any of the foregoing, and the Rights Agent may rely on such notice in carrying out its duties pursuant to this Plan and will be deemed not to have any knowledge of the identity of any such Person unless and until it has received such notice.</w:t>
      </w:r>
    </w:p>
    <w:p>
      <w:pPr>
        <w:spacing w:after="0" w:line="191" w:lineRule="exact"/>
        <w:rPr>
          <w:sz w:val="20"/>
          <w:szCs w:val="20"/>
          <w:color w:val="auto"/>
        </w:rPr>
      </w:pPr>
    </w:p>
    <w:p>
      <w:pPr>
        <w:ind w:right="300" w:firstLine="921"/>
        <w:spacing w:after="0" w:line="288" w:lineRule="auto"/>
        <w:tabs>
          <w:tab w:leader="none" w:pos="1273" w:val="left"/>
        </w:tabs>
        <w:numPr>
          <w:ilvl w:val="1"/>
          <w:numId w:val="34"/>
        </w:numPr>
        <w:rPr>
          <w:rFonts w:ascii="Arial" w:cs="Arial" w:eastAsia="Arial" w:hAnsi="Arial"/>
          <w:sz w:val="16"/>
          <w:szCs w:val="16"/>
          <w:color w:val="auto"/>
        </w:rPr>
      </w:pPr>
      <w:r>
        <w:rPr>
          <w:rFonts w:ascii="Arial" w:cs="Arial" w:eastAsia="Arial" w:hAnsi="Arial"/>
          <w:sz w:val="16"/>
          <w:szCs w:val="16"/>
          <w:i w:val="1"/>
          <w:iCs w:val="1"/>
          <w:color w:val="auto"/>
        </w:rPr>
        <w:t>Information Concerning Ownership</w:t>
      </w:r>
      <w:r>
        <w:rPr>
          <w:rFonts w:ascii="Arial" w:cs="Arial" w:eastAsia="Arial" w:hAnsi="Arial"/>
          <w:sz w:val="16"/>
          <w:szCs w:val="16"/>
          <w:color w:val="auto"/>
        </w:rPr>
        <w:t>. Notwithstanding anything to the contrary in this Plan or any Rights Certificate, neither the Rights</w:t>
      </w:r>
      <w:r>
        <w:rPr>
          <w:rFonts w:ascii="Arial" w:cs="Arial" w:eastAsia="Arial" w:hAnsi="Arial"/>
          <w:sz w:val="16"/>
          <w:szCs w:val="16"/>
          <w:i w:val="1"/>
          <w:iCs w:val="1"/>
          <w:color w:val="auto"/>
        </w:rPr>
        <w:t xml:space="preserve"> </w:t>
      </w:r>
      <w:r>
        <w:rPr>
          <w:rFonts w:ascii="Arial" w:cs="Arial" w:eastAsia="Arial" w:hAnsi="Arial"/>
          <w:sz w:val="16"/>
          <w:szCs w:val="16"/>
          <w:color w:val="auto"/>
        </w:rPr>
        <w:t>Agent nor the Company is obligated to undertake any action with respect to a registered holder of Rights upon the occurrence of any purported exercise or transfer of Rights as set forth in this Section 7 unless such registered holder, in addition to having complied with the requirements of Section 7(a), has</w:t>
      </w:r>
    </w:p>
    <w:p>
      <w:pPr>
        <w:ind w:right="300" w:firstLine="8"/>
        <w:spacing w:after="0" w:line="269" w:lineRule="auto"/>
        <w:tabs>
          <w:tab w:leader="none" w:pos="215" w:val="left"/>
        </w:tabs>
        <w:numPr>
          <w:ilvl w:val="0"/>
          <w:numId w:val="35"/>
        </w:numPr>
        <w:rPr>
          <w:rFonts w:ascii="Arial" w:cs="Arial" w:eastAsia="Arial" w:hAnsi="Arial"/>
          <w:sz w:val="17"/>
          <w:szCs w:val="17"/>
          <w:color w:val="auto"/>
        </w:rPr>
      </w:pPr>
      <w:r>
        <w:rPr>
          <w:rFonts w:ascii="Arial" w:cs="Arial" w:eastAsia="Arial" w:hAnsi="Arial"/>
          <w:sz w:val="17"/>
          <w:szCs w:val="17"/>
          <w:color w:val="auto"/>
        </w:rPr>
        <w:t>properly completed and duly executed the certificate contained in the form of election to purchase or form of assignment, as applicable, set forth on the reverse side of the Rights Certificate surrendered for such exercise or assignment; and (ii) provided such additional evidence (including the identity of the Beneficial Owner (or former Beneficial Owner) thereof and of the Rights evidenced thereby, and the Affiliates or Associates of such Beneficial Owner or former Beneficial Owner) as the Company or the Rights Agent may reasonably request. If such registered holder does not comply with the foregoing requirements, then the Company will be entitled to conclusively deem such Rights to be Beneficially Owned by an Acquiring Person (or an Affiliate or Associate of an Acquiring Person, a Post-Event Transferee, a Pre-Event Transferee, a Subsequent Transferee or any nominee of any of the foregoing, as applicable) and, accordingly, such Rights will be null and void and not exercisable or transferable.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36" w:name="page37"/>
    <w:bookmarkEnd w:id="36"/>
    <w:p>
      <w:pPr>
        <w:ind w:firstLine="456"/>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8. </w:t>
      </w:r>
      <w:r>
        <w:rPr>
          <w:rFonts w:ascii="Arial" w:cs="Arial" w:eastAsia="Arial" w:hAnsi="Arial"/>
          <w:sz w:val="17"/>
          <w:szCs w:val="17"/>
          <w:i w:val="1"/>
          <w:iCs w:val="1"/>
          <w:color w:val="auto"/>
        </w:rPr>
        <w:t>Cancellation and Destruction of Rights Certificates</w:t>
      </w:r>
      <w:r>
        <w:rPr>
          <w:rFonts w:ascii="Arial" w:cs="Arial" w:eastAsia="Arial" w:hAnsi="Arial"/>
          <w:sz w:val="17"/>
          <w:szCs w:val="17"/>
          <w:color w:val="auto"/>
        </w:rPr>
        <w:t>. All Rights Certificates surrendered for the purpose of exercise, transfer, split up, combination, redemption or exchange will, if surrendered to the Company or to any of its agents, be delivered to the Rights Agent for cancellation or in cancelled form, or, if surrendered to the Rights Agent, will be cancelled by it, and no Rights Certificates will be issued in lieu thereof except as expressly permitted by any of the provisions of this Plan. The Company will deliver to the Rights Agent for cancellation and retirement, and the Rights Agent will so cancel and retire, any Rights Certificate purchased or acquired by the Company otherwise than upon the exercise thereof. Subject to applicable law, the Rights Agent will maintain electronic or physical records of all Rights Certificates that have been cancelled or destroyed by the Rights Agent. At the Company’s expense, the Rights Agent must maintain such electronic or physical records for the time period required by applicable law. The Rights Agent must deliver all cancelled Rights Certificates to the Company or, at the written request of the Company, must destroy, or cause to be destroyed, such cancelled Rights Certificates, and in such case must deliver a certificate evidencing the destruction thereof to the Company (or, at the Company’s option, appropriate copies of the electronic or physical records relating to Rights Certificates so cancelled or destroyed by the Rights Agent).</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i w:val="1"/>
          <w:iCs w:val="1"/>
          <w:color w:val="auto"/>
        </w:rPr>
        <w:t>Reservation and Availability of Preferred Shares</w:t>
      </w:r>
      <w:r>
        <w:rPr>
          <w:rFonts w:ascii="Arial" w:cs="Arial" w:eastAsia="Arial" w:hAnsi="Arial"/>
          <w:sz w:val="18"/>
          <w:szCs w:val="18"/>
          <w:color w:val="auto"/>
        </w:rPr>
        <w:t>.</w:t>
      </w:r>
    </w:p>
    <w:p>
      <w:pPr>
        <w:spacing w:after="0" w:line="117" w:lineRule="exact"/>
        <w:rPr>
          <w:sz w:val="20"/>
          <w:szCs w:val="20"/>
          <w:color w:val="auto"/>
        </w:rPr>
      </w:pPr>
    </w:p>
    <w:p>
      <w:pPr>
        <w:ind w:right="200" w:firstLine="921"/>
        <w:spacing w:after="0" w:line="302" w:lineRule="auto"/>
        <w:tabs>
          <w:tab w:leader="none" w:pos="1293" w:val="left"/>
        </w:tabs>
        <w:numPr>
          <w:ilvl w:val="1"/>
          <w:numId w:val="36"/>
        </w:numPr>
        <w:rPr>
          <w:rFonts w:ascii="Arial" w:cs="Arial" w:eastAsia="Arial" w:hAnsi="Arial"/>
          <w:sz w:val="16"/>
          <w:szCs w:val="16"/>
          <w:color w:val="auto"/>
        </w:rPr>
      </w:pPr>
      <w:r>
        <w:rPr>
          <w:rFonts w:ascii="Arial" w:cs="Arial" w:eastAsia="Arial" w:hAnsi="Arial"/>
          <w:sz w:val="16"/>
          <w:szCs w:val="16"/>
          <w:i w:val="1"/>
          <w:iCs w:val="1"/>
          <w:color w:val="auto"/>
        </w:rPr>
        <w:t>Reservation</w:t>
      </w:r>
      <w:r>
        <w:rPr>
          <w:rFonts w:ascii="Arial" w:cs="Arial" w:eastAsia="Arial" w:hAnsi="Arial"/>
          <w:sz w:val="16"/>
          <w:szCs w:val="16"/>
          <w:color w:val="auto"/>
        </w:rPr>
        <w:t>. The Company covenants and agrees that it will use all reasonable efforts to cause to be reserved and kept available out of its</w:t>
      </w:r>
      <w:r>
        <w:rPr>
          <w:rFonts w:ascii="Arial" w:cs="Arial" w:eastAsia="Arial" w:hAnsi="Arial"/>
          <w:sz w:val="16"/>
          <w:szCs w:val="16"/>
          <w:i w:val="1"/>
          <w:iCs w:val="1"/>
          <w:color w:val="auto"/>
        </w:rPr>
        <w:t xml:space="preserve"> </w:t>
      </w:r>
      <w:r>
        <w:rPr>
          <w:rFonts w:ascii="Arial" w:cs="Arial" w:eastAsia="Arial" w:hAnsi="Arial"/>
          <w:sz w:val="16"/>
          <w:szCs w:val="16"/>
          <w:color w:val="auto"/>
        </w:rPr>
        <w:t>authorized and unissued Preferred Shares not reserved for another purpose (and, following the occurrence of a Triggering Event, out of its authorized and unissued Common Shares or other securities, or out of its authorized and issued shares held in treasury), the number of Preferred Shares (and, following the occurrence of a Triggering Event, Common Shares or other securities) that will be sufficient to permit the exercise in full of all outstanding Rights.</w:t>
      </w:r>
    </w:p>
    <w:p>
      <w:pPr>
        <w:spacing w:after="0" w:line="154" w:lineRule="exact"/>
        <w:rPr>
          <w:rFonts w:ascii="Arial" w:cs="Arial" w:eastAsia="Arial" w:hAnsi="Arial"/>
          <w:sz w:val="16"/>
          <w:szCs w:val="16"/>
          <w:color w:val="auto"/>
        </w:rPr>
      </w:pPr>
    </w:p>
    <w:p>
      <w:pPr>
        <w:jc w:val="both"/>
        <w:ind w:right="60" w:firstLine="921"/>
        <w:spacing w:after="0" w:line="279" w:lineRule="auto"/>
        <w:tabs>
          <w:tab w:leader="none" w:pos="1303" w:val="left"/>
        </w:tabs>
        <w:numPr>
          <w:ilvl w:val="1"/>
          <w:numId w:val="36"/>
        </w:numPr>
        <w:rPr>
          <w:rFonts w:ascii="Arial" w:cs="Arial" w:eastAsia="Arial" w:hAnsi="Arial"/>
          <w:sz w:val="17"/>
          <w:szCs w:val="17"/>
          <w:color w:val="auto"/>
        </w:rPr>
      </w:pPr>
      <w:r>
        <w:rPr>
          <w:rFonts w:ascii="Arial" w:cs="Arial" w:eastAsia="Arial" w:hAnsi="Arial"/>
          <w:sz w:val="17"/>
          <w:szCs w:val="17"/>
          <w:i w:val="1"/>
          <w:iCs w:val="1"/>
          <w:color w:val="auto"/>
        </w:rPr>
        <w:t>Listing</w:t>
      </w:r>
      <w:r>
        <w:rPr>
          <w:rFonts w:ascii="Arial" w:cs="Arial" w:eastAsia="Arial" w:hAnsi="Arial"/>
          <w:sz w:val="17"/>
          <w:szCs w:val="17"/>
          <w:color w:val="auto"/>
        </w:rPr>
        <w:t>. So long as the Preferred Shares (and, following the occurrence of a Triggering Event, Common Shares or other securities) issuable</w:t>
      </w:r>
      <w:r>
        <w:rPr>
          <w:rFonts w:ascii="Arial" w:cs="Arial" w:eastAsia="Arial" w:hAnsi="Arial"/>
          <w:sz w:val="17"/>
          <w:szCs w:val="17"/>
          <w:i w:val="1"/>
          <w:iCs w:val="1"/>
          <w:color w:val="auto"/>
        </w:rPr>
        <w:t xml:space="preserve"> </w:t>
      </w:r>
      <w:r>
        <w:rPr>
          <w:rFonts w:ascii="Arial" w:cs="Arial" w:eastAsia="Arial" w:hAnsi="Arial"/>
          <w:sz w:val="17"/>
          <w:szCs w:val="17"/>
          <w:color w:val="auto"/>
        </w:rPr>
        <w:t>and deliverable upon the exercise of the Rights may be listed on any national securities exchange, the Company must use all reasonable efforts to cause, from and after such time as the Rights become exercisable (but only to the extent that it is reasonably likely that the Rights will be exercised), all shares reserved for such issuance to be listed on such exchange upon official notice of issuance upon such exercise.</w:t>
      </w:r>
    </w:p>
    <w:p>
      <w:pPr>
        <w:spacing w:after="0" w:line="171" w:lineRule="exact"/>
        <w:rPr>
          <w:rFonts w:ascii="Arial" w:cs="Arial" w:eastAsia="Arial" w:hAnsi="Arial"/>
          <w:sz w:val="17"/>
          <w:szCs w:val="17"/>
          <w:color w:val="auto"/>
        </w:rPr>
      </w:pPr>
    </w:p>
    <w:p>
      <w:pPr>
        <w:ind w:right="220" w:firstLine="921"/>
        <w:spacing w:after="0" w:line="291" w:lineRule="auto"/>
        <w:tabs>
          <w:tab w:leader="none" w:pos="1293" w:val="left"/>
        </w:tabs>
        <w:numPr>
          <w:ilvl w:val="1"/>
          <w:numId w:val="36"/>
        </w:numPr>
        <w:rPr>
          <w:rFonts w:ascii="Arial" w:cs="Arial" w:eastAsia="Arial" w:hAnsi="Arial"/>
          <w:sz w:val="16"/>
          <w:szCs w:val="16"/>
          <w:color w:val="auto"/>
        </w:rPr>
      </w:pPr>
      <w:r>
        <w:rPr>
          <w:rFonts w:ascii="Arial" w:cs="Arial" w:eastAsia="Arial" w:hAnsi="Arial"/>
          <w:sz w:val="16"/>
          <w:szCs w:val="16"/>
          <w:i w:val="1"/>
          <w:iCs w:val="1"/>
          <w:color w:val="auto"/>
        </w:rPr>
        <w:t>Registration</w:t>
      </w:r>
      <w:r>
        <w:rPr>
          <w:rFonts w:ascii="Arial" w:cs="Arial" w:eastAsia="Arial" w:hAnsi="Arial"/>
          <w:sz w:val="16"/>
          <w:szCs w:val="16"/>
          <w:color w:val="auto"/>
        </w:rPr>
        <w:t>. The Company must use all reasonable efforts to (i) file, as soon as practicable following the earliest date after the first</w:t>
      </w:r>
      <w:r>
        <w:rPr>
          <w:rFonts w:ascii="Arial" w:cs="Arial" w:eastAsia="Arial" w:hAnsi="Arial"/>
          <w:sz w:val="16"/>
          <w:szCs w:val="16"/>
          <w:i w:val="1"/>
          <w:iCs w:val="1"/>
          <w:color w:val="auto"/>
        </w:rPr>
        <w:t xml:space="preserve"> </w:t>
      </w:r>
      <w:r>
        <w:rPr>
          <w:rFonts w:ascii="Arial" w:cs="Arial" w:eastAsia="Arial" w:hAnsi="Arial"/>
          <w:sz w:val="16"/>
          <w:szCs w:val="16"/>
          <w:color w:val="auto"/>
        </w:rPr>
        <w:t>occurrence of a Section 11(a)(ii) Event in which the consideration to be delivered by the Company upon exercise of the Rights is described in Section 11(a)</w:t>
      </w:r>
    </w:p>
    <w:p>
      <w:pPr>
        <w:ind w:right="140" w:firstLine="8"/>
        <w:spacing w:after="0" w:line="253" w:lineRule="auto"/>
        <w:tabs>
          <w:tab w:leader="none" w:pos="265" w:val="left"/>
        </w:tabs>
        <w:numPr>
          <w:ilvl w:val="0"/>
          <w:numId w:val="37"/>
        </w:numPr>
        <w:rPr>
          <w:rFonts w:ascii="Arial" w:cs="Arial" w:eastAsia="Arial" w:hAnsi="Arial"/>
          <w:sz w:val="18"/>
          <w:szCs w:val="18"/>
          <w:color w:val="auto"/>
        </w:rPr>
      </w:pPr>
      <w:r>
        <w:rPr>
          <w:rFonts w:ascii="Arial" w:cs="Arial" w:eastAsia="Arial" w:hAnsi="Arial"/>
          <w:sz w:val="18"/>
          <w:szCs w:val="18"/>
          <w:color w:val="auto"/>
        </w:rPr>
        <w:t>or Section 11(a)(iii), or as soon as is required by law following the Distribution Date, as the case may be, a registration statement pursuant to the Securities Act with respect to the securities purchasable upon exercise of the Rights on an appropriate form; (ii) cause such registration statement to become effective as soon as practicable after such filing; and (iii) cause such registration statement to remain effective (with a prospectus at all times meeting the requirements of the Securities Act) until the earlier of (A) the date as of which the Rights are no longer exercisable for such securities and (B) the Expiration Date. The Company may temporarily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37" w:name="page38"/>
    <w:bookmarkEnd w:id="37"/>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suspend (with prompt written notice of any suspension provided to the Rights Agent), from time to time for a period not to exceed 120 days after the date set forth in clause (i) of the first sentence of this Section 9(c), the exercisability of the Rights in order to prepare and file such registration statement and permit it to become effective or in order to prepare and file any supplement or amendment to such registration statement that the Board determines to be necessary pursuant to applicable law. Upon any such suspension, the Company will issue a public announcement stating, and promptly notify the Rights Agent in writing, that the exercisability of the Rights has been temporarily suspended, as well as issue a public announcement, and promptly notify the Rights Agent in writing, at such time as the suspension is no longer in effect. In addition, if the Company determines that a registration statement is required following the Distribution Date, then the Company may temporarily suspend the exercisability of the Rights until such time as such registration statement has been declared effective. The Company will also take such action as may be appropriate under, or to ensure compliance with, the securities or “blue sky” laws of the various states in connection with the exercisability of the Rights, as well as any other applicable law, rule or regulation. Notwithstanding anything to the contrary in this Plan, the Rights will not be exercisable in any jurisdiction unless the requisite qualification in such jurisdiction has been obtained (and the exercise thereof is permitted pursuant to applicable law), or an exemption therefrom is available, and until a registration statement in respect thereof has been declared and remains effective.</w:t>
      </w:r>
    </w:p>
    <w:p>
      <w:pPr>
        <w:spacing w:after="0" w:line="180" w:lineRule="exact"/>
        <w:rPr>
          <w:sz w:val="20"/>
          <w:szCs w:val="20"/>
          <w:color w:val="auto"/>
        </w:rPr>
      </w:pPr>
    </w:p>
    <w:p>
      <w:pPr>
        <w:ind w:right="60" w:firstLine="921"/>
        <w:spacing w:after="0" w:line="279" w:lineRule="auto"/>
        <w:tabs>
          <w:tab w:leader="none" w:pos="1303"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Valid Issuance</w:t>
      </w:r>
      <w:r>
        <w:rPr>
          <w:rFonts w:ascii="Arial" w:cs="Arial" w:eastAsia="Arial" w:hAnsi="Arial"/>
          <w:sz w:val="17"/>
          <w:szCs w:val="17"/>
          <w:color w:val="auto"/>
        </w:rPr>
        <w:t>. The Company covenants and agrees that it will take all such action as may be necessary to ensure that all Preferred Shares</w:t>
      </w:r>
      <w:r>
        <w:rPr>
          <w:rFonts w:ascii="Arial" w:cs="Arial" w:eastAsia="Arial" w:hAnsi="Arial"/>
          <w:sz w:val="17"/>
          <w:szCs w:val="17"/>
          <w:i w:val="1"/>
          <w:iCs w:val="1"/>
          <w:color w:val="auto"/>
        </w:rPr>
        <w:t xml:space="preserve"> </w:t>
      </w:r>
      <w:r>
        <w:rPr>
          <w:rFonts w:ascii="Arial" w:cs="Arial" w:eastAsia="Arial" w:hAnsi="Arial"/>
          <w:sz w:val="17"/>
          <w:szCs w:val="17"/>
          <w:color w:val="auto"/>
        </w:rPr>
        <w:t>(and, following the occurrence of a Triggering Event, Common Shares or other securities of the Company) delivered upon exercise of Rights will, at the time of delivery of the certificates for such securities (or registration on the transfer books of the Company or the transfer agent for such securities) (subject to payment of the Exercise Price, if any), be duly and validly authorized and issued and fully paid and nonassessable.</w:t>
      </w:r>
    </w:p>
    <w:p>
      <w:pPr>
        <w:spacing w:after="0" w:line="171" w:lineRule="exact"/>
        <w:rPr>
          <w:rFonts w:ascii="Arial" w:cs="Arial" w:eastAsia="Arial" w:hAnsi="Arial"/>
          <w:sz w:val="17"/>
          <w:szCs w:val="17"/>
          <w:color w:val="auto"/>
        </w:rPr>
      </w:pPr>
    </w:p>
    <w:p>
      <w:pPr>
        <w:ind w:firstLine="921"/>
        <w:spacing w:after="0" w:line="269" w:lineRule="auto"/>
        <w:tabs>
          <w:tab w:leader="none" w:pos="1293"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Transfer Taxes and Governmental Charges</w:t>
      </w:r>
      <w:r>
        <w:rPr>
          <w:rFonts w:ascii="Arial" w:cs="Arial" w:eastAsia="Arial" w:hAnsi="Arial"/>
          <w:sz w:val="17"/>
          <w:szCs w:val="17"/>
          <w:color w:val="auto"/>
        </w:rPr>
        <w:t>. The Company further covenants and agrees that it will pay when due and payable any and all</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 taxes and governmental charges that may be payable in respect of the original issuance or delivery of Rights Certificates (or any Preferred Share, Common Share or other security of the Company, as the case may be) upon the exercise or exchange of Rights. Notwithstanding the foregoing, the Company is not required to (i) pay any transfer tax or governmental charge that may be payable in respect of any transfer or delivery of Rights Certificates (or certificates or depositary receipts for Preferred Shares, Common Shares or other securities of the Company, as the case may be) in a name other than, or the issuance or delivery of certificates or depositary receipts for Preferred Shares, Common Shares or other securities of the Company, as the case may be, in a name other than, that of the registered holder of the Rights Certificate evidencing Rights surrendered for exercise or exchange; or (ii) issue or deliver any certificates or depositary receipts for Preferred Shares, Common Shares or other securities of the Company, as the case may be, upon the exercise or exchange of any Rights until any such transfer tax or charge has been paid (any such transfer tax or charge being payable by the registered holder of such Rights Certificate at the time of surrender or exchange) or it has been established to the Company’s and the Rights Agent’s satisfaction that no such tax or charge is due. The foregoing also apply to any transfer taxes and governmental charges that may be payable in respect of any uncertificated Rights Certificates, shares or other securities.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38" w:name="page39"/>
    <w:bookmarkEnd w:id="38"/>
    <w:p>
      <w:pPr>
        <w:ind w:right="40"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 </w:t>
      </w:r>
      <w:r>
        <w:rPr>
          <w:rFonts w:ascii="Arial" w:cs="Arial" w:eastAsia="Arial" w:hAnsi="Arial"/>
          <w:sz w:val="16"/>
          <w:szCs w:val="16"/>
          <w:i w:val="1"/>
          <w:iCs w:val="1"/>
          <w:color w:val="auto"/>
        </w:rPr>
        <w:t>Record Date for Securities Issued</w:t>
      </w:r>
      <w:r>
        <w:rPr>
          <w:rFonts w:ascii="Arial" w:cs="Arial" w:eastAsia="Arial" w:hAnsi="Arial"/>
          <w:sz w:val="16"/>
          <w:szCs w:val="16"/>
          <w:color w:val="auto"/>
        </w:rPr>
        <w:t xml:space="preserve">. Each Person in whose name any certificate for a number of one one-thousandths of a Preferred Share (or any other security of the Company, including Common Shares) is issued (or registration on the transfer books of the Company or the applicable transfer agent is effected) upon the exercise or exchange of Rights will for all purposes be deemed to have become the holder of record of such fractional Preferred Share (or other security of the Company) represented thereby on, and such certificate will be dated (or registration on the transfer books of the Company or the applicable transfer agent effected), the date on which the Rights Certificate evidencing such Rights was duly surrendered and payment of the applicable Exercise Price, if any, together with any applicable transfer tax or governmental charge required to be paid by the holder of such Rights Certificate in accordance with Section 9(e), was made;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date of such surrender and payment is a date upon which the transfer books of the Company (or the applicable transfer agent) are closed, then such Person will be deemed to have become the record holder of such fractional Preferred Shares (or other securities of the Company) on, and such certificate will be dated (or registration on the transfer books of the Company or the applicable transfer agent effected), the next succeeding Business Day on which the transfer books of the Company (or the applicable transfer agent) are open. Prior to the exercise of the Rights evidenced thereby, the holder of a Rights Certificate is not entitled to any rights of a holder of Preferred Shares (or any other security of the Company) for which the Rights are exercisable, including the right to vote, to receive dividends or other distributions, or to exercise any preemptive rights, and is not entitled to receive any notice of any proceedings of the Company, except as provided herein.</w:t>
      </w:r>
    </w:p>
    <w:p>
      <w:pPr>
        <w:spacing w:after="0" w:line="175"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i w:val="1"/>
          <w:iCs w:val="1"/>
          <w:color w:val="auto"/>
        </w:rPr>
        <w:t>Adjustment of Exercise Price, Number and Kind of Shares or Number of Rights</w:t>
      </w:r>
      <w:r>
        <w:rPr>
          <w:rFonts w:ascii="Arial" w:cs="Arial" w:eastAsia="Arial" w:hAnsi="Arial"/>
          <w:sz w:val="16"/>
          <w:szCs w:val="16"/>
          <w:color w:val="auto"/>
        </w:rPr>
        <w:t>. The Exercise Price, the number and kind of shares or other property covered by each Right and the number of Rights outstanding are subject to adjustment from time to time as provided in this Section 11.</w:t>
      </w:r>
    </w:p>
    <w:p>
      <w:pPr>
        <w:spacing w:after="0" w:line="232" w:lineRule="exact"/>
        <w:rPr>
          <w:sz w:val="20"/>
          <w:szCs w:val="20"/>
          <w:color w:val="auto"/>
        </w:rPr>
      </w:pPr>
    </w:p>
    <w:p>
      <w:pPr>
        <w:ind w:left="1300" w:hanging="379"/>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Certain Events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1492"/>
        <w:spacing w:after="0" w:line="270" w:lineRule="auto"/>
        <w:tabs>
          <w:tab w:leader="none" w:pos="1833" w:val="left"/>
        </w:tabs>
        <w:numPr>
          <w:ilvl w:val="1"/>
          <w:numId w:val="39"/>
        </w:numPr>
        <w:rPr>
          <w:rFonts w:ascii="Arial" w:cs="Arial" w:eastAsia="Arial" w:hAnsi="Arial"/>
          <w:sz w:val="17"/>
          <w:szCs w:val="17"/>
          <w:color w:val="auto"/>
        </w:rPr>
      </w:pPr>
      <w:r>
        <w:rPr>
          <w:rFonts w:ascii="Arial" w:cs="Arial" w:eastAsia="Arial" w:hAnsi="Arial"/>
          <w:sz w:val="17"/>
          <w:szCs w:val="17"/>
          <w:i w:val="1"/>
          <w:iCs w:val="1"/>
          <w:color w:val="auto"/>
        </w:rPr>
        <w:t>Certain Adjustments to Preferred Shares</w:t>
      </w:r>
      <w:r>
        <w:rPr>
          <w:rFonts w:ascii="Arial" w:cs="Arial" w:eastAsia="Arial" w:hAnsi="Arial"/>
          <w:sz w:val="17"/>
          <w:szCs w:val="17"/>
          <w:color w:val="auto"/>
        </w:rPr>
        <w:t>. Notwithstanding anything to the contrary in this Plan, in the event that the Company at any</w:t>
      </w:r>
      <w:r>
        <w:rPr>
          <w:rFonts w:ascii="Arial" w:cs="Arial" w:eastAsia="Arial" w:hAnsi="Arial"/>
          <w:sz w:val="17"/>
          <w:szCs w:val="17"/>
          <w:i w:val="1"/>
          <w:iCs w:val="1"/>
          <w:color w:val="auto"/>
        </w:rPr>
        <w:t xml:space="preserve"> </w:t>
      </w:r>
      <w:r>
        <w:rPr>
          <w:rFonts w:ascii="Arial" w:cs="Arial" w:eastAsia="Arial" w:hAnsi="Arial"/>
          <w:sz w:val="17"/>
          <w:szCs w:val="17"/>
          <w:color w:val="auto"/>
        </w:rPr>
        <w:t>time after the Rights Dividend Declaration Date (A) declares a dividend on the Preferred Shares payable in Preferred Shares, (B) subdivides or splits the outstanding Preferred Shares, (C) combines or consolidates the outstanding Preferred Shares (by reverse stock split or otherwise) into a smaller number of Preferred Shares or (D) issues any shares of its capital stock in a reclassification of the Preferred Shares (including any such reclassification in connection with a share exchange, consolidation or merger in which the Company is the continuing or surviving corporation), then, in each such event, except as otherwise provided in this Section 11(a)(i) and Section 7(e), (1) the Exercise Price in effect at the time of the record date for such dividend or of the effective date of such subdivision, split, combination, consolidation or reclassification, and the number and kind of Preferred Shares or capital stock of the Company, as the case may be, issuable on such date, will be proportionately adjusted so that the holder of any Right exercised after such time will be entitled to receive, upon payment of the Exercise Price then in effect, the aggregate number and kind of Preferred Shares or securities of the Company, as the case may be, that, if such Right had been exercised immediately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39" w:name="page40"/>
    <w:bookmarkEnd w:id="39"/>
    <w:p>
      <w:pPr>
        <w:ind w:right="2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prior to such date (and at a time when the Preferred Shares transfer books of the Company were open), such holder would have owned upon such exercise and been entitled to receive by virtue of such dividend, subdivision, split, combination, consolidation or reclassification;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no event will the consideration to be paid upon the exercise of one Right be less than the aggregate par value of the shares of capital stock of the Company issuable upon the exercise of one Right. If an event occurs that would require an adjustment pursuant to both this Section 11(a)(i) and Section 11(a)(ii), then the adjustment provided for in this Section 11(a)(i) will be in addition to, and will be made prior to, any adjustment required pursuant to Section 11(a)(ii).</w:t>
      </w:r>
    </w:p>
    <w:p>
      <w:pPr>
        <w:spacing w:after="0" w:line="158" w:lineRule="exact"/>
        <w:rPr>
          <w:sz w:val="20"/>
          <w:szCs w:val="20"/>
          <w:color w:val="auto"/>
        </w:rPr>
      </w:pPr>
    </w:p>
    <w:p>
      <w:pPr>
        <w:ind w:firstLine="1492"/>
        <w:spacing w:after="0" w:line="283" w:lineRule="auto"/>
        <w:tabs>
          <w:tab w:leader="none" w:pos="1883"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Exercise of Rights Following Certain Events</w:t>
      </w:r>
      <w:r>
        <w:rPr>
          <w:rFonts w:ascii="Arial" w:cs="Arial" w:eastAsia="Arial" w:hAnsi="Arial"/>
          <w:sz w:val="16"/>
          <w:szCs w:val="16"/>
          <w:color w:val="auto"/>
        </w:rPr>
        <w:t>. Subject to Section 23 and Section 24, in the event that any Person, at any time after</w:t>
      </w:r>
      <w:r>
        <w:rPr>
          <w:rFonts w:ascii="Arial" w:cs="Arial" w:eastAsia="Arial" w:hAnsi="Arial"/>
          <w:sz w:val="16"/>
          <w:szCs w:val="16"/>
          <w:i w:val="1"/>
          <w:iCs w:val="1"/>
          <w:color w:val="auto"/>
        </w:rPr>
        <w:t xml:space="preserve"> </w:t>
      </w:r>
      <w:r>
        <w:rPr>
          <w:rFonts w:ascii="Arial" w:cs="Arial" w:eastAsia="Arial" w:hAnsi="Arial"/>
          <w:sz w:val="16"/>
          <w:szCs w:val="16"/>
          <w:color w:val="auto"/>
        </w:rPr>
        <w:t>the Rights Dividend Declaration Date, becomes an Acquiring Person, unless the event causing such Person to become an Acquiring Person is a transaction set forth in Section 13(a) then promptly following the occurrence of such event each holder of a Right, except as provided below and in Section 7(e), will thereafter have the right to receive for each Right, upon exercise thereof in accordance with the terms of this Plan and payment of the Exercise Price in effect immediately prior to the occurrence of such event, in lieu of a number of one one-thousandths of a Preferred Share, such number of Common Shares as equals the quotient obtained by dividing (A) the product obtained by multiplying (1) the Exercise Price in effect immediately prior to the first occurrence of such event by (2) the number of one one-thousandths of a Preferred Share for which a Right was exercisable (or would have been exercisable if the Distribution Date had occurred) immediately prior to the first occurrence of such event by (B) 50% of the Current Per Share Market Price for Common Shares on the date of such first occurrence of such event (such number of shares, the “</w:t>
      </w:r>
      <w:r>
        <w:rPr>
          <w:rFonts w:ascii="Arial" w:cs="Arial" w:eastAsia="Arial" w:hAnsi="Arial"/>
          <w:sz w:val="16"/>
          <w:szCs w:val="16"/>
          <w:b w:val="1"/>
          <w:bCs w:val="1"/>
          <w:color w:val="auto"/>
        </w:rPr>
        <w:t>Adjustment Shares</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Exercise Price and the number of Common Shares so receivable upon the exercise of a Right will be subject to further adjustment as appropriate in accordance with Section 11(e). In the event that a Section 11(a)(ii) Event has occurred and the Rights are outstanding, then, subject to Section 28, the Company may not take any action that would eliminate or diminish the benefits intended to be afforded by the Rights. The Company will promptly notify the Rights Agent in writing when this</w:t>
      </w:r>
    </w:p>
    <w:p>
      <w:pPr>
        <w:spacing w:after="0" w:line="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11(a)(ii) applies.</w:t>
      </w:r>
    </w:p>
    <w:p>
      <w:pPr>
        <w:spacing w:after="0" w:line="210" w:lineRule="exact"/>
        <w:rPr>
          <w:rFonts w:ascii="Arial" w:cs="Arial" w:eastAsia="Arial" w:hAnsi="Arial"/>
          <w:sz w:val="16"/>
          <w:szCs w:val="16"/>
          <w:color w:val="auto"/>
        </w:rPr>
      </w:pPr>
    </w:p>
    <w:p>
      <w:pPr>
        <w:ind w:right="20" w:firstLine="1492"/>
        <w:spacing w:after="0" w:line="289" w:lineRule="auto"/>
        <w:tabs>
          <w:tab w:leader="none" w:pos="1933"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Insufficient Common Shares</w:t>
      </w:r>
      <w:r>
        <w:rPr>
          <w:rFonts w:ascii="Arial" w:cs="Arial" w:eastAsia="Arial" w:hAnsi="Arial"/>
          <w:sz w:val="16"/>
          <w:szCs w:val="16"/>
          <w:color w:val="auto"/>
        </w:rPr>
        <w:t>. In the event that the number of Common Shares that are authorized by the Company’s Eighth</w:t>
      </w:r>
      <w:r>
        <w:rPr>
          <w:rFonts w:ascii="Arial" w:cs="Arial" w:eastAsia="Arial" w:hAnsi="Arial"/>
          <w:sz w:val="16"/>
          <w:szCs w:val="16"/>
          <w:i w:val="1"/>
          <w:iCs w:val="1"/>
          <w:color w:val="auto"/>
        </w:rPr>
        <w:t xml:space="preserve"> </w:t>
      </w:r>
      <w:r>
        <w:rPr>
          <w:rFonts w:ascii="Arial" w:cs="Arial" w:eastAsia="Arial" w:hAnsi="Arial"/>
          <w:sz w:val="16"/>
          <w:szCs w:val="16"/>
          <w:color w:val="auto"/>
        </w:rPr>
        <w:t>Amended and Restated Certificate of Incorporation, as amended, but not outstanding or reserved for issuance for purposes other than upon exercise of the Rights are not sufficient to permit the exercise in full of the Rights in accordance with Section 11(a)(ii), or if any necessary regulatory or stockholder approval for such issuance has not been obtained by the Company, then, in the event that the Rights become exercisable, the Company will (A) determine the value of the Adjustment Shares issuable upon the exercise of a Right (the “</w:t>
      </w:r>
      <w:r>
        <w:rPr>
          <w:rFonts w:ascii="Arial" w:cs="Arial" w:eastAsia="Arial" w:hAnsi="Arial"/>
          <w:sz w:val="16"/>
          <w:szCs w:val="16"/>
          <w:b w:val="1"/>
          <w:bCs w:val="1"/>
          <w:color w:val="auto"/>
        </w:rPr>
        <w:t>Current Value</w:t>
      </w:r>
      <w:r>
        <w:rPr>
          <w:rFonts w:ascii="Arial" w:cs="Arial" w:eastAsia="Arial" w:hAnsi="Arial"/>
          <w:sz w:val="16"/>
          <w:szCs w:val="16"/>
          <w:color w:val="auto"/>
        </w:rPr>
        <w:t>”) and (B) with respect to each Right (subject to Section 7(e)), make adequate provision to substitute for the Adjustment Shares issuable pursuant thereto, upon the exercise of a Right and the payment of the applicable Exercise Price, (1) cash, (2) a reduction in the Exercise Price, (3) Preferred Shares, (4) other equity securities of the Company (including shares or units of shares of any series of preferred stock that, by virtue of having dividend, voting and liquidation rights substantially comparable to those of the Common Shares, the Board has deemed in good faith to have substantially the same value or economic rights as the Common Shares (such shares or units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40" w:name="page41"/>
    <w:bookmarkEnd w:id="40"/>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shares of preferred stock, “</w:t>
      </w:r>
      <w:r>
        <w:rPr>
          <w:rFonts w:ascii="Arial" w:cs="Arial" w:eastAsia="Arial" w:hAnsi="Arial"/>
          <w:sz w:val="16"/>
          <w:szCs w:val="16"/>
          <w:b w:val="1"/>
          <w:bCs w:val="1"/>
          <w:color w:val="auto"/>
        </w:rPr>
        <w:t>Common Share Equivalents</w:t>
      </w:r>
      <w:r>
        <w:rPr>
          <w:rFonts w:ascii="Arial" w:cs="Arial" w:eastAsia="Arial" w:hAnsi="Arial"/>
          <w:sz w:val="16"/>
          <w:szCs w:val="16"/>
          <w:color w:val="auto"/>
        </w:rPr>
        <w:t xml:space="preserve">”)), (5) debt securities of the Company, (6) other assets or (7) any combination of the foregoing, in each case having an aggregate value equal to the Current Value (less the amount of any reduction in the Exercise Price), where such aggregate value has been determined by the Board based upon the advice of a nationally recognized investment banking firm selected by the Board, which determination will be described in a written statement filed with the Rights Agent and will be binding on the Rights Agent and the holders of the Rights;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Company has not made adequate provision to deliver value pursuant to clause (B) above within 30 days following the later of (x) the first occurrence of a Section 11(a)(ii) Event and (y) the date on which the Company’s right of redemption pursuant to Section 23(a) expires (the later of (x) or (y), the</w:t>
      </w:r>
    </w:p>
    <w:p>
      <w:pPr>
        <w:spacing w:after="0" w:line="4"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Section 11(a)(ii) Trigger Date</w:t>
      </w:r>
      <w:r>
        <w:rPr>
          <w:rFonts w:ascii="Arial" w:cs="Arial" w:eastAsia="Arial" w:hAnsi="Arial"/>
          <w:sz w:val="16"/>
          <w:szCs w:val="16"/>
          <w:color w:val="auto"/>
        </w:rPr>
        <w:t>”), then the Company will be obligated to deliver, upon the surrender for exercise of a Right and without requiring payment of the Exercise Price, Common Shares (to the extent available and except to the extent that the Company has not obtained any necessary stockholder or regulatory approval for such issuance) and such number or fractions of Preferred Shares and then, if necessary, cash, which shares or cash have an aggregate value equal to the Spread. If the Board determines in good faith that it is likely that sufficient additional Common Shares could be authorized for issuance upon exercise in full of the Rights or that any necessary stockholder or regulatory approval for such issuance could be obtained, the 30 day period set forth above may be extended and re-extended to the extent necessary (with prompt written notice of any such extension provided to the Rights Agent) from time to time, but not more than 120 days after the Section 11(a)(ii) Trigger Date, so that the Company may seek stockholder approval for the authorization of such additional Common Shares or take such action necessary to obtain such regulatory approval (such period, as it may be extended, the “</w:t>
      </w:r>
      <w:r>
        <w:rPr>
          <w:rFonts w:ascii="Arial" w:cs="Arial" w:eastAsia="Arial" w:hAnsi="Arial"/>
          <w:sz w:val="16"/>
          <w:szCs w:val="16"/>
          <w:b w:val="1"/>
          <w:bCs w:val="1"/>
          <w:color w:val="auto"/>
        </w:rPr>
        <w:t>Substitution Period</w:t>
      </w:r>
      <w:r>
        <w:rPr>
          <w:rFonts w:ascii="Arial" w:cs="Arial" w:eastAsia="Arial" w:hAnsi="Arial"/>
          <w:sz w:val="16"/>
          <w:szCs w:val="16"/>
          <w:color w:val="auto"/>
        </w:rPr>
        <w:t>”). To the extent that the Company determines that some action need be taken pursuant to the first or second sentences of this Section 11(a)(iii), the Company</w:t>
      </w:r>
    </w:p>
    <w:p>
      <w:pPr>
        <w:spacing w:after="0" w:line="6" w:lineRule="exact"/>
        <w:rPr>
          <w:sz w:val="20"/>
          <w:szCs w:val="20"/>
          <w:color w:val="auto"/>
        </w:rPr>
      </w:pPr>
    </w:p>
    <w:p>
      <w:pPr>
        <w:ind w:firstLine="8"/>
        <w:spacing w:after="0" w:line="268" w:lineRule="auto"/>
        <w:tabs>
          <w:tab w:leader="none" w:pos="245" w:val="left"/>
        </w:tabs>
        <w:numPr>
          <w:ilvl w:val="0"/>
          <w:numId w:val="41"/>
        </w:numPr>
        <w:rPr>
          <w:rFonts w:ascii="Arial" w:cs="Arial" w:eastAsia="Arial" w:hAnsi="Arial"/>
          <w:sz w:val="17"/>
          <w:szCs w:val="17"/>
          <w:color w:val="auto"/>
        </w:rPr>
      </w:pPr>
      <w:r>
        <w:rPr>
          <w:rFonts w:ascii="Arial" w:cs="Arial" w:eastAsia="Arial" w:hAnsi="Arial"/>
          <w:sz w:val="17"/>
          <w:szCs w:val="17"/>
          <w:color w:val="auto"/>
        </w:rPr>
        <w:t>will provide, subject to Section 7(e), that such action applies uniformly to all outstanding Rights and (b) may suspend the exercisability of the Rights until the expiration of the Substitution Period in order to seek such stockholder approval, to take any action necessary to obtain such regulatory approval or to decide the appropriate form of distribution to be made pursuant to such first sentence and to determine the value thereof. In the event of any such suspension, the Company will issue a public announcement (and promptly provide written notice to the Rights Agent) stating that the exercisability of the Rights has been temporarily suspended, as well as issue a public announcement (and promptly provide written notice to the Rights Agent) at such time as the suspension is no longer in effect. For purposes of this Section 11(a)(iii), the value of the Common Shares will be the Current Per Share Market Price of the Common Shares on the Section 11(a)(ii) Trigger Date and any Common Share Equivalent will be deemed to have the same value as the value of the Common Shares on such date. The Board may, but will not be required to, establish procedures to allocate the right to receive Common Shares upon the exercise of the Rights among holders of Rights pursuant to this Section 11(a)(iii).</w:t>
      </w:r>
    </w:p>
    <w:p>
      <w:pPr>
        <w:spacing w:after="0" w:line="182" w:lineRule="exact"/>
        <w:rPr>
          <w:rFonts w:ascii="Arial" w:cs="Arial" w:eastAsia="Arial" w:hAnsi="Arial"/>
          <w:sz w:val="17"/>
          <w:szCs w:val="17"/>
          <w:color w:val="auto"/>
        </w:rPr>
      </w:pPr>
    </w:p>
    <w:p>
      <w:pPr>
        <w:ind w:right="100" w:firstLine="1492"/>
        <w:spacing w:after="0" w:line="259" w:lineRule="auto"/>
        <w:tabs>
          <w:tab w:leader="none" w:pos="1923" w:val="left"/>
        </w:tabs>
        <w:numPr>
          <w:ilvl w:val="1"/>
          <w:numId w:val="41"/>
        </w:numPr>
        <w:rPr>
          <w:rFonts w:ascii="Arial" w:cs="Arial" w:eastAsia="Arial" w:hAnsi="Arial"/>
          <w:sz w:val="18"/>
          <w:szCs w:val="18"/>
          <w:color w:val="auto"/>
        </w:rPr>
      </w:pPr>
      <w:r>
        <w:rPr>
          <w:rFonts w:ascii="Arial" w:cs="Arial" w:eastAsia="Arial" w:hAnsi="Arial"/>
          <w:sz w:val="18"/>
          <w:szCs w:val="18"/>
          <w:i w:val="1"/>
          <w:iCs w:val="1"/>
          <w:color w:val="auto"/>
        </w:rPr>
        <w:t>Dilutive Rights Offering</w:t>
      </w:r>
      <w:r>
        <w:rPr>
          <w:rFonts w:ascii="Arial" w:cs="Arial" w:eastAsia="Arial" w:hAnsi="Arial"/>
          <w:sz w:val="18"/>
          <w:szCs w:val="18"/>
          <w:color w:val="auto"/>
        </w:rPr>
        <w:t>. If the Company, at any time after the Rights Dividend Declaration Date, fixes a record date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of rights, options or warrants to all holders of Preferred Shares entitling such holders (for a period expiring within 45 days after such record date) to subscribe for or purchase Preferred Shares or Equivalent Shares, or securities convertible into Preferred Shares or Equivalent Shares, at a price per share (or having a conversion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0" w:right="259" w:bottom="1440" w:gutter="0" w:footer="0" w:header="0"/>
        </w:sectPr>
      </w:pPr>
    </w:p>
    <w:bookmarkStart w:id="41" w:name="page42"/>
    <w:bookmarkEnd w:id="41"/>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or exercise price per share, if a security that is convertible into or exercisable for Preferred Shares or Equivalent Shares) less than the Current Per Share Market Price of the Preferred Shares on such record date, then, in each such case, the Exercise Price to be in effect after such record date will be determined by multiplying the Exercise Price in effect immediately prior to such record date by a fraction, the numerator of which will be the number of Preferred Shares and Equivalent Shares (if any) outstanding on such record date, plus the number of Preferred Shares or Equivalent Shares, as the case may be, that the aggregate offering price of the total number of Preferred Shares or Equivalent Shares, as the case may be, to be offered or issued (or the aggregate initial conversion price of the convertible securities to be offered or issued) would purchase at such Current Per Share Market Price, and the denominator of which will be the number of Preferred Shares and Equivalent Shares (if any) outstanding on such record date, plus the number of additional Preferred Shares or Equivalent Shares, as the case may be, to be offered for subscription or purchase (or into which the convertible securities so to be offered are initially convertible);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no event will the consideration to be paid upon the exercise of one Right be less than the aggregate par value of the shares of capital stock of the Company issuable upon the exercise of one Right. If such subscription price may be paid in a consideration part or all of which is in a form other than cash, then the value of such consideration will be as determined in good faith by the Board, whose determination will be described in a written statement filed with the Rights Agent and will be binding on the Rights Agent and the holders of the Rights. Preferred Shares and Equivalent Shares owned by or held for the account of the Company will not be deemed outstanding for the purpose of any such computation. Such adjustment will be made successively whenever such a record date is fixed, and in the event that such rights, options or warrants are not so issued, then the Exercise Price will be adjusted to be the Exercise Price that would then be in effect if such record date had not been fixed.</w:t>
      </w:r>
    </w:p>
    <w:p>
      <w:pPr>
        <w:spacing w:after="0" w:line="169" w:lineRule="exact"/>
        <w:rPr>
          <w:sz w:val="20"/>
          <w:szCs w:val="20"/>
          <w:color w:val="auto"/>
        </w:rPr>
      </w:pPr>
    </w:p>
    <w:p>
      <w:pPr>
        <w:ind w:firstLine="921"/>
        <w:spacing w:after="0" w:line="268" w:lineRule="auto"/>
        <w:tabs>
          <w:tab w:leader="none" w:pos="1303" w:val="left"/>
        </w:tabs>
        <w:numPr>
          <w:ilvl w:val="0"/>
          <w:numId w:val="42"/>
        </w:numPr>
        <w:rPr>
          <w:rFonts w:ascii="Arial" w:cs="Arial" w:eastAsia="Arial" w:hAnsi="Arial"/>
          <w:sz w:val="17"/>
          <w:szCs w:val="17"/>
          <w:color w:val="auto"/>
        </w:rPr>
      </w:pPr>
      <w:r>
        <w:rPr>
          <w:rFonts w:ascii="Arial" w:cs="Arial" w:eastAsia="Arial" w:hAnsi="Arial"/>
          <w:sz w:val="17"/>
          <w:szCs w:val="17"/>
          <w:i w:val="1"/>
          <w:iCs w:val="1"/>
          <w:color w:val="auto"/>
        </w:rPr>
        <w:t>Distributions</w:t>
      </w:r>
      <w:r>
        <w:rPr>
          <w:rFonts w:ascii="Arial" w:cs="Arial" w:eastAsia="Arial" w:hAnsi="Arial"/>
          <w:sz w:val="17"/>
          <w:szCs w:val="17"/>
          <w:color w:val="auto"/>
        </w:rPr>
        <w:t>. If the Company, at any time after the Rights Dividend Declaration Date, fixes a record date for the making of a distribution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all holders of Preferred Shares (including any such distribution made in connection with a share exchange, consolidation or merger in which the Company is the continuing or surviving corporation) of cash (other than a periodic cash dividend out of the earnings or retained earnings of the Company), assets (other than a dividend payable in Preferred Shares, but including any dividend payable in stock other than Preferred Shares), evidences of indebtedness, subscription rights, options or warrants (excluding those referred to in Section 11(a)(iv)), then, in each such case, the Exercise Price to be in effect after such record date will be determined by multiplying the Exercise Price in effect immediately prior to such record date by a fraction, the numerator of which will be the Current Per Share Market Price of a Preferred Share on such record date, less the fair market value per Preferred Share (as determined in good faith by the Board, whose determination will be described in a statement filed with the Rights Agent and will be conclusive and binding on the Rights Agent and the holders of the Rights) of the portion of the cash, assets or evidences of indebtedness to be so distributed or of such subscription rights, options or warrants applicable to one Preferred Share, and the denominator of which will be such Current Per Share Market Price of a Preferred Share on such record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no event will the consideration to be paid upon the exercise of one Right be less than the aggregate par value of the shares of capital stock of the Company issuable upon the exercise of one Right. Such adjustment will be made successively whenever such a record date is fixed, and in the event that such distribution is not so made, then the Exercise Price will be adjusted to be the Exercise Price that would have been in effect if such record date had not been fixed.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4" w:right="259" w:bottom="1440" w:gutter="0" w:footer="0" w:header="0"/>
        </w:sectPr>
      </w:pPr>
    </w:p>
    <w:bookmarkStart w:id="42" w:name="page43"/>
    <w:bookmarkEnd w:id="42"/>
    <w:p>
      <w:pPr>
        <w:ind w:right="80" w:firstLine="921"/>
        <w:spacing w:after="0" w:line="273" w:lineRule="auto"/>
        <w:tabs>
          <w:tab w:leader="none" w:pos="1293" w:val="left"/>
        </w:tabs>
        <w:numPr>
          <w:ilvl w:val="0"/>
          <w:numId w:val="43"/>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Insignificant Changes</w:t>
      </w:r>
      <w:r>
        <w:rPr>
          <w:rFonts w:ascii="Arial" w:cs="Arial" w:eastAsia="Arial" w:hAnsi="Arial"/>
          <w:sz w:val="17"/>
          <w:szCs w:val="17"/>
          <w:color w:val="auto"/>
        </w:rPr>
        <w:t>. Notwithstanding anything to the contrary in this Plan, no adjustment in the Exercise Price is required unless such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adjustment would require an increase or decrease of at least 1% of the Exercise Price;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adjustments that by reason of this Section 11(c) are not required to be made will be carried forward and taken into account in any subsequent adjustment. All calculations pursuant to this Section 11 must be made to the nearest cent or to the nearest ten-millionth of a Preferred Share or ten-thousandth of any other share or security, as the case may be. Notwithstanding the first sentence of this Section 11(c), any adjustment required by this Section 11 must be made no later than the earlier of (i) three years from the date of the transaction that requires such adjustment or (ii) the Expiration Date.</w:t>
      </w:r>
    </w:p>
    <w:p>
      <w:pPr>
        <w:spacing w:after="0" w:line="178" w:lineRule="exact"/>
        <w:rPr>
          <w:rFonts w:ascii="Arial" w:cs="Arial" w:eastAsia="Arial" w:hAnsi="Arial"/>
          <w:sz w:val="17"/>
          <w:szCs w:val="17"/>
          <w:color w:val="auto"/>
        </w:rPr>
      </w:pPr>
    </w:p>
    <w:p>
      <w:pPr>
        <w:ind w:firstLine="921"/>
        <w:spacing w:after="0" w:line="286" w:lineRule="auto"/>
        <w:tabs>
          <w:tab w:leader="none" w:pos="1303"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Shares Other Than Preferred Shares</w:t>
      </w:r>
      <w:r>
        <w:rPr>
          <w:rFonts w:ascii="Arial" w:cs="Arial" w:eastAsia="Arial" w:hAnsi="Arial"/>
          <w:sz w:val="16"/>
          <w:szCs w:val="16"/>
          <w:color w:val="auto"/>
        </w:rPr>
        <w:t>. If as a result of an adjustment made pursuant to Section 11(a) or Section 13(a), the holder of any Right</w:t>
      </w:r>
      <w:r>
        <w:rPr>
          <w:rFonts w:ascii="Arial" w:cs="Arial" w:eastAsia="Arial" w:hAnsi="Arial"/>
          <w:sz w:val="16"/>
          <w:szCs w:val="16"/>
          <w:i w:val="1"/>
          <w:iCs w:val="1"/>
          <w:color w:val="auto"/>
        </w:rPr>
        <w:t xml:space="preserve"> </w:t>
      </w:r>
      <w:r>
        <w:rPr>
          <w:rFonts w:ascii="Arial" w:cs="Arial" w:eastAsia="Arial" w:hAnsi="Arial"/>
          <w:sz w:val="16"/>
          <w:szCs w:val="16"/>
          <w:color w:val="auto"/>
        </w:rPr>
        <w:t>thereafter exercised will become entitled to receive any shares of capital stock other than Preferred Shares, then thereafter the number of such other shares so receivable upon exercise of any Right and, if required, the Exercise Price thereof, will be subject to adjustment from time to time in a manner and on terms as nearly equivalent as practicable to the provisions with respect to the Preferred Shares contained in Section 11(a), Section 11(a)(iv), Section 11(b),</w:t>
      </w:r>
    </w:p>
    <w:p>
      <w:pPr>
        <w:spacing w:after="0" w:line="1" w:lineRule="exact"/>
        <w:rPr>
          <w:rFonts w:ascii="Arial" w:cs="Arial" w:eastAsia="Arial" w:hAnsi="Arial"/>
          <w:sz w:val="16"/>
          <w:szCs w:val="16"/>
          <w:color w:val="auto"/>
        </w:rPr>
      </w:pPr>
    </w:p>
    <w:p>
      <w:pPr>
        <w:spacing w:after="0" w:line="261" w:lineRule="auto"/>
        <w:rPr>
          <w:rFonts w:ascii="Arial" w:cs="Arial" w:eastAsia="Arial" w:hAnsi="Arial"/>
          <w:sz w:val="16"/>
          <w:szCs w:val="16"/>
          <w:color w:val="auto"/>
        </w:rPr>
      </w:pPr>
      <w:r>
        <w:rPr>
          <w:rFonts w:ascii="Arial" w:cs="Arial" w:eastAsia="Arial" w:hAnsi="Arial"/>
          <w:sz w:val="18"/>
          <w:szCs w:val="18"/>
          <w:color w:val="auto"/>
        </w:rPr>
        <w:t>Section 11(c), Section 11(f), Section 11(g), Section 11(h), Section 11(i), Section 11(j) and Section 11(k), and the provisions of Section 7, Section 9, Section 10 and Section 13 with respect to the Preferred Shares will apply on like terms to any such other shares.</w:t>
      </w:r>
    </w:p>
    <w:p>
      <w:pPr>
        <w:spacing w:after="0" w:line="183" w:lineRule="exact"/>
        <w:rPr>
          <w:rFonts w:ascii="Arial" w:cs="Arial" w:eastAsia="Arial" w:hAnsi="Arial"/>
          <w:sz w:val="16"/>
          <w:szCs w:val="16"/>
          <w:color w:val="auto"/>
        </w:rPr>
      </w:pPr>
    </w:p>
    <w:p>
      <w:pPr>
        <w:ind w:right="120" w:firstLine="921"/>
        <w:spacing w:after="0" w:line="259" w:lineRule="auto"/>
        <w:tabs>
          <w:tab w:leader="none" w:pos="1293"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Rights Issued Subsequent to Adjustment</w:t>
      </w:r>
      <w:r>
        <w:rPr>
          <w:rFonts w:ascii="Arial" w:cs="Arial" w:eastAsia="Arial" w:hAnsi="Arial"/>
          <w:sz w:val="18"/>
          <w:szCs w:val="18"/>
          <w:color w:val="auto"/>
        </w:rPr>
        <w:t>. All Rights originally issued by the Company subsequent to any adjustment made to the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Price hereunder will evidence the right to purchase, at the adjusted Exercise Price, the number of one one-thousandths of a Preferred Share (and other shares of other capital stock or other securities, assets or cash of the Company, if any) purchasable from time to time hereunder upon exercise of the Rights, all subject to further adjustment as provided herein.</w:t>
      </w:r>
    </w:p>
    <w:p>
      <w:pPr>
        <w:spacing w:after="0" w:line="186" w:lineRule="exact"/>
        <w:rPr>
          <w:rFonts w:ascii="Arial" w:cs="Arial" w:eastAsia="Arial" w:hAnsi="Arial"/>
          <w:sz w:val="18"/>
          <w:szCs w:val="18"/>
          <w:color w:val="auto"/>
        </w:rPr>
      </w:pPr>
    </w:p>
    <w:p>
      <w:pPr>
        <w:ind w:right="60" w:firstLine="921"/>
        <w:spacing w:after="0" w:line="273" w:lineRule="auto"/>
        <w:tabs>
          <w:tab w:leader="none" w:pos="1273" w:val="left"/>
        </w:tabs>
        <w:numPr>
          <w:ilvl w:val="0"/>
          <w:numId w:val="43"/>
        </w:numPr>
        <w:rPr>
          <w:rFonts w:ascii="Arial" w:cs="Arial" w:eastAsia="Arial" w:hAnsi="Arial"/>
          <w:sz w:val="17"/>
          <w:szCs w:val="17"/>
          <w:color w:val="auto"/>
        </w:rPr>
      </w:pPr>
      <w:r>
        <w:rPr>
          <w:rFonts w:ascii="Arial" w:cs="Arial" w:eastAsia="Arial" w:hAnsi="Arial"/>
          <w:sz w:val="17"/>
          <w:szCs w:val="17"/>
          <w:i w:val="1"/>
          <w:iCs w:val="1"/>
          <w:color w:val="auto"/>
        </w:rPr>
        <w:t>Effect of Adjustments on Existing Rights</w:t>
      </w:r>
      <w:r>
        <w:rPr>
          <w:rFonts w:ascii="Arial" w:cs="Arial" w:eastAsia="Arial" w:hAnsi="Arial"/>
          <w:sz w:val="17"/>
          <w:szCs w:val="17"/>
          <w:color w:val="auto"/>
        </w:rPr>
        <w:t>. Unless the Company has exercised its election as provided in Section 11(g), upon each adjustment</w:t>
      </w:r>
      <w:r>
        <w:rPr>
          <w:rFonts w:ascii="Arial" w:cs="Arial" w:eastAsia="Arial" w:hAnsi="Arial"/>
          <w:sz w:val="17"/>
          <w:szCs w:val="17"/>
          <w:i w:val="1"/>
          <w:iCs w:val="1"/>
          <w:color w:val="auto"/>
        </w:rPr>
        <w:t xml:space="preserve"> </w:t>
      </w:r>
      <w:r>
        <w:rPr>
          <w:rFonts w:ascii="Arial" w:cs="Arial" w:eastAsia="Arial" w:hAnsi="Arial"/>
          <w:sz w:val="17"/>
          <w:szCs w:val="17"/>
          <w:color w:val="auto"/>
        </w:rPr>
        <w:t>of the Exercise Price as a result of the calculations made in Section 11(a)(iv) and Section 11(b), each Right outstanding immediately prior to the making of such adjustment will thereafter evidence the right to purchase, at the adjusted Exercise Price, that number of Preferred Shares (calculated to the nearest ten-millionth of a Preferred Share) obtained by (i) multiplying (A) the number of one one-thousandths of a Preferred Share covered by a Right immediately prior to this adjustment by (B) the Exercise Price in effect immediately prior to such adjustment of the Exercise Price; and (ii) dividing the product so obtained by the Exercise Price in effect immediately after such adjustment of the Exercise Price.</w:t>
      </w:r>
    </w:p>
    <w:p>
      <w:pPr>
        <w:spacing w:after="0" w:line="178" w:lineRule="exact"/>
        <w:rPr>
          <w:rFonts w:ascii="Arial" w:cs="Arial" w:eastAsia="Arial" w:hAnsi="Arial"/>
          <w:sz w:val="17"/>
          <w:szCs w:val="17"/>
          <w:color w:val="auto"/>
        </w:rPr>
      </w:pPr>
    </w:p>
    <w:p>
      <w:pPr>
        <w:jc w:val="both"/>
        <w:ind w:right="80" w:firstLine="921"/>
        <w:spacing w:after="0" w:line="264" w:lineRule="auto"/>
        <w:tabs>
          <w:tab w:leader="none" w:pos="1303"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Adjustment in Number of Rights</w:t>
      </w:r>
      <w:r>
        <w:rPr>
          <w:rFonts w:ascii="Arial" w:cs="Arial" w:eastAsia="Arial" w:hAnsi="Arial"/>
          <w:sz w:val="18"/>
          <w:szCs w:val="18"/>
          <w:color w:val="auto"/>
        </w:rPr>
        <w:t>. The Company may elect on or after the date of any adjustment of the Exercise Price to adjust the number</w:t>
      </w:r>
      <w:r>
        <w:rPr>
          <w:rFonts w:ascii="Arial" w:cs="Arial" w:eastAsia="Arial" w:hAnsi="Arial"/>
          <w:sz w:val="18"/>
          <w:szCs w:val="18"/>
          <w:i w:val="1"/>
          <w:iCs w:val="1"/>
          <w:color w:val="auto"/>
        </w:rPr>
        <w:t xml:space="preserve"> </w:t>
      </w:r>
      <w:r>
        <w:rPr>
          <w:rFonts w:ascii="Arial" w:cs="Arial" w:eastAsia="Arial" w:hAnsi="Arial"/>
          <w:sz w:val="18"/>
          <w:szCs w:val="18"/>
          <w:color w:val="auto"/>
        </w:rPr>
        <w:t>of Rights, in substitution for any adjustment in the number of one one-thousandths of a Preferred Share purchasable upon the exercise of a Right. Each of the Rights outstanding after such adjustment of the number of Rights will be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4" w:right="259" w:bottom="1440" w:gutter="0" w:footer="0" w:header="0"/>
        </w:sectPr>
      </w:pPr>
    </w:p>
    <w:bookmarkStart w:id="43" w:name="page44"/>
    <w:bookmarkEnd w:id="43"/>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exercisable for the number of one one-thousandths of a Preferred Share for which a Right was exercisable immediately prior to such adjustment. Each Right held of record prior to such adjustment of the number of Rights will become that number of Rights (calculated to the nearest ten-thousandth) obtained by dividing the Exercise Price in effect immediately prior to adjustment of the Exercise Price by the Exercise Price in effect immediately after adjustment of the Exercise Price. The Company will make a public announcement (and promptly provide written notice to the Rights Agent) of its election to adjust the number of Rights, indicating the record date for the adjustment and, if known at the time, the amount of the adjustment to be made. This record date may be the date on which the Exercise Price is adjusted or any day thereafter, but, if any Rights Certificates have been issued, will be at least 10 days later than the date of the public announcement. If any Rights Certificates have been issued, upon each adjustment of the number of Rights pursuant to this Section 11(g), the Company will, as promptly as practicable, distribute or cause to be distributed to holders of record of Rights Certificates on such record date Rights Certificates evidencing, subject to Section 14, the additional Rights to which such holders will be entitled as a result of such adjustment, or, at the option of the Company, will distribute or cause to be distributed to such holders of record in substitution and replacement for the Rights Certificates held by such holders prior to the date of adjustment, and upon surrender thereof, if required by the Company, new Rights Certificates evidencing all the Rights to which such holders will be entitled after such adjustment. Rights Certificates to be so distributed will be issued, executed and delivered by the Company, and countersigned and delivered by the Rights Agent, in the manner provided for herein (and may bear, at the option of the Company, the adjusted Exercise Price), and will be registered in the names of the holders of record of Rights Certificates on the record date specified in the public announcement.</w:t>
      </w:r>
    </w:p>
    <w:p>
      <w:pPr>
        <w:spacing w:after="0" w:line="172" w:lineRule="exact"/>
        <w:rPr>
          <w:sz w:val="20"/>
          <w:szCs w:val="20"/>
          <w:color w:val="auto"/>
        </w:rPr>
      </w:pPr>
    </w:p>
    <w:p>
      <w:pPr>
        <w:jc w:val="both"/>
        <w:ind w:right="80" w:firstLine="921"/>
        <w:spacing w:after="0" w:line="259" w:lineRule="auto"/>
        <w:tabs>
          <w:tab w:leader="none" w:pos="1303"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Rights Certificates Unchanged</w:t>
      </w:r>
      <w:r>
        <w:rPr>
          <w:rFonts w:ascii="Arial" w:cs="Arial" w:eastAsia="Arial" w:hAnsi="Arial"/>
          <w:sz w:val="18"/>
          <w:szCs w:val="18"/>
          <w:color w:val="auto"/>
        </w:rPr>
        <w:t>. Irrespective of any adjustment or change in the Exercise Price or the number of one one-thousandths of a</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Share issuable upon the exercise of the Rights, the Rights Certificates theretofore and thereafter issued may continue to express the Exercise Price per one one-thousandth of a Preferred Share and the number of one one-thousandths of a Preferred Share that were expressed in the initial Rights Certificates issued hereunder.</w:t>
      </w:r>
    </w:p>
    <w:p>
      <w:pPr>
        <w:spacing w:after="0" w:line="186" w:lineRule="exact"/>
        <w:rPr>
          <w:rFonts w:ascii="Arial" w:cs="Arial" w:eastAsia="Arial" w:hAnsi="Arial"/>
          <w:sz w:val="18"/>
          <w:szCs w:val="18"/>
          <w:color w:val="auto"/>
        </w:rPr>
      </w:pPr>
    </w:p>
    <w:p>
      <w:pPr>
        <w:jc w:val="both"/>
        <w:ind w:right="60" w:firstLine="921"/>
        <w:spacing w:after="0" w:line="259" w:lineRule="auto"/>
        <w:tabs>
          <w:tab w:leader="none" w:pos="1263"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Par Value Limitations</w:t>
      </w:r>
      <w:r>
        <w:rPr>
          <w:rFonts w:ascii="Arial" w:cs="Arial" w:eastAsia="Arial" w:hAnsi="Arial"/>
          <w:sz w:val="18"/>
          <w:szCs w:val="18"/>
          <w:color w:val="auto"/>
        </w:rPr>
        <w:t>. Before taking any action that would cause an adjustment reducing the Exercise Price below the par or stated value, if</w:t>
      </w:r>
      <w:r>
        <w:rPr>
          <w:rFonts w:ascii="Arial" w:cs="Arial" w:eastAsia="Arial" w:hAnsi="Arial"/>
          <w:sz w:val="18"/>
          <w:szCs w:val="18"/>
          <w:i w:val="1"/>
          <w:iCs w:val="1"/>
          <w:color w:val="auto"/>
        </w:rPr>
        <w:t xml:space="preserve"> </w:t>
      </w:r>
      <w:r>
        <w:rPr>
          <w:rFonts w:ascii="Arial" w:cs="Arial" w:eastAsia="Arial" w:hAnsi="Arial"/>
          <w:sz w:val="18"/>
          <w:szCs w:val="18"/>
          <w:color w:val="auto"/>
        </w:rPr>
        <w:t>any, of the number of one one-thousandths of a Preferred Share issuable upon exercise of the Rights, the Company will take any corporate action that may, in the opinion of its counsel, be necessary in order that the Company may duly and validly issue as fully paid and nonassessable shares such number of one one-thousandths of a Preferred Share at such adjusted Exercise Price.</w:t>
      </w:r>
    </w:p>
    <w:p>
      <w:pPr>
        <w:spacing w:after="0" w:line="186" w:lineRule="exact"/>
        <w:rPr>
          <w:rFonts w:ascii="Arial" w:cs="Arial" w:eastAsia="Arial" w:hAnsi="Arial"/>
          <w:sz w:val="18"/>
          <w:szCs w:val="18"/>
          <w:color w:val="auto"/>
        </w:rPr>
      </w:pPr>
    </w:p>
    <w:p>
      <w:pPr>
        <w:ind w:right="40" w:firstLine="921"/>
        <w:spacing w:after="0" w:line="257" w:lineRule="auto"/>
        <w:tabs>
          <w:tab w:leader="none" w:pos="1263"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Deferred Issuance</w:t>
      </w:r>
      <w:r>
        <w:rPr>
          <w:rFonts w:ascii="Arial" w:cs="Arial" w:eastAsia="Arial" w:hAnsi="Arial"/>
          <w:sz w:val="18"/>
          <w:szCs w:val="18"/>
          <w:color w:val="auto"/>
        </w:rPr>
        <w:t>. In any case in which this Section 11 requires that an adjustment in the Exercise Price be made effective as of a record</w:t>
      </w:r>
      <w:r>
        <w:rPr>
          <w:rFonts w:ascii="Arial" w:cs="Arial" w:eastAsia="Arial" w:hAnsi="Arial"/>
          <w:sz w:val="18"/>
          <w:szCs w:val="18"/>
          <w:i w:val="1"/>
          <w:iCs w:val="1"/>
          <w:color w:val="auto"/>
        </w:rPr>
        <w:t xml:space="preserve"> </w:t>
      </w:r>
      <w:r>
        <w:rPr>
          <w:rFonts w:ascii="Arial" w:cs="Arial" w:eastAsia="Arial" w:hAnsi="Arial"/>
          <w:sz w:val="18"/>
          <w:szCs w:val="18"/>
          <w:color w:val="auto"/>
        </w:rPr>
        <w:t>date for a specified event, the Company may elect to defer (with prompt written notice to the Rights Agent) until the occurrence of such event the issuance to the holder of any Right exercised after such record date of the number of one one-thousandths of a Preferred Share and other capital stock or securities, assets or cash of the Company, if any, issuable upon such exercise over and above the number of one one-thousandths of a Preferred Share and other capital stock or securities, assets or cash of the Company, if any, issuable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44" w:name="page45"/>
    <w:bookmarkEnd w:id="44"/>
    <w:p>
      <w:pPr>
        <w:ind w:right="2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upon such exercise on the basis of the Exercise Price in effect prior to such adjustment;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Company must deliver to such holder a due bill or other appropriate instrument evidencing such holder’s right to receive such additional shares (fractional or otherwise) or securities upon the occurrence of the event requiring such adjustment.</w:t>
      </w:r>
    </w:p>
    <w:p>
      <w:pPr>
        <w:spacing w:after="0" w:line="181" w:lineRule="exact"/>
        <w:rPr>
          <w:sz w:val="20"/>
          <w:szCs w:val="20"/>
          <w:color w:val="auto"/>
        </w:rPr>
      </w:pPr>
    </w:p>
    <w:p>
      <w:pPr>
        <w:ind w:firstLine="921"/>
        <w:spacing w:after="0" w:line="293" w:lineRule="auto"/>
        <w:tabs>
          <w:tab w:leader="none" w:pos="1303" w:val="left"/>
        </w:tabs>
        <w:numPr>
          <w:ilvl w:val="1"/>
          <w:numId w:val="45"/>
        </w:numPr>
        <w:rPr>
          <w:rFonts w:ascii="Arial" w:cs="Arial" w:eastAsia="Arial" w:hAnsi="Arial"/>
          <w:sz w:val="16"/>
          <w:szCs w:val="16"/>
          <w:color w:val="auto"/>
        </w:rPr>
      </w:pPr>
      <w:r>
        <w:rPr>
          <w:rFonts w:ascii="Arial" w:cs="Arial" w:eastAsia="Arial" w:hAnsi="Arial"/>
          <w:sz w:val="16"/>
          <w:szCs w:val="16"/>
          <w:i w:val="1"/>
          <w:iCs w:val="1"/>
          <w:color w:val="auto"/>
        </w:rPr>
        <w:t>Reduction in Exercise Price</w:t>
      </w:r>
      <w:r>
        <w:rPr>
          <w:rFonts w:ascii="Arial" w:cs="Arial" w:eastAsia="Arial" w:hAnsi="Arial"/>
          <w:sz w:val="16"/>
          <w:szCs w:val="16"/>
          <w:color w:val="auto"/>
        </w:rPr>
        <w:t>. Notwithstanding anything to the contrary in this Section 11, the Company is entitled to make such reductions</w:t>
      </w:r>
      <w:r>
        <w:rPr>
          <w:rFonts w:ascii="Arial" w:cs="Arial" w:eastAsia="Arial" w:hAnsi="Arial"/>
          <w:sz w:val="16"/>
          <w:szCs w:val="16"/>
          <w:i w:val="1"/>
          <w:iCs w:val="1"/>
          <w:color w:val="auto"/>
        </w:rPr>
        <w:t xml:space="preserve"> </w:t>
      </w:r>
      <w:r>
        <w:rPr>
          <w:rFonts w:ascii="Arial" w:cs="Arial" w:eastAsia="Arial" w:hAnsi="Arial"/>
          <w:sz w:val="16"/>
          <w:szCs w:val="16"/>
          <w:color w:val="auto"/>
        </w:rPr>
        <w:t>in the Exercise Price, in addition to those adjustments expressly required by this Section 11, as and to the extent that it, in its sole discretion, determines to be advisable in order that any (i) consolidation or subdivision of the Preferred Shares or Common Shares, (ii) issuance wholly for cash of any Preferred Shares or Common Shares at less than the applicable Current Per Share Market Price, (iii) issuance wholly for cash of Preferred Shares or Common Shares or securities that by their terms are convertible into or exchangeable for Preferred Shares or Common Shares, (iv) stock dividend or (v) issuance of rights, options or warrants referred to in this Section 11 hereafter made by the Company to holders of Preferred Shares or Common Shares is not taxable to such stockholders.</w:t>
      </w:r>
    </w:p>
    <w:p>
      <w:pPr>
        <w:spacing w:after="0" w:line="164" w:lineRule="exact"/>
        <w:rPr>
          <w:rFonts w:ascii="Arial" w:cs="Arial" w:eastAsia="Arial" w:hAnsi="Arial"/>
          <w:sz w:val="16"/>
          <w:szCs w:val="16"/>
          <w:color w:val="auto"/>
        </w:rPr>
      </w:pPr>
    </w:p>
    <w:p>
      <w:pPr>
        <w:ind w:right="180" w:firstLine="921"/>
        <w:spacing w:after="0" w:line="264" w:lineRule="auto"/>
        <w:tabs>
          <w:tab w:leader="none" w:pos="1263" w:val="left"/>
        </w:tabs>
        <w:numPr>
          <w:ilvl w:val="1"/>
          <w:numId w:val="45"/>
        </w:numPr>
        <w:rPr>
          <w:rFonts w:ascii="Arial" w:cs="Arial" w:eastAsia="Arial" w:hAnsi="Arial"/>
          <w:sz w:val="18"/>
          <w:szCs w:val="18"/>
          <w:color w:val="auto"/>
        </w:rPr>
      </w:pPr>
      <w:r>
        <w:rPr>
          <w:rFonts w:ascii="Arial" w:cs="Arial" w:eastAsia="Arial" w:hAnsi="Arial"/>
          <w:sz w:val="18"/>
          <w:szCs w:val="18"/>
          <w:i w:val="1"/>
          <w:iCs w:val="1"/>
          <w:color w:val="auto"/>
        </w:rPr>
        <w:t>No Diminishment of Benefit of Rights</w:t>
      </w:r>
      <w:r>
        <w:rPr>
          <w:rFonts w:ascii="Arial" w:cs="Arial" w:eastAsia="Arial" w:hAnsi="Arial"/>
          <w:sz w:val="18"/>
          <w:szCs w:val="18"/>
          <w:color w:val="auto"/>
        </w:rPr>
        <w:t>. The Company covenants and agrees that, after the Distribution Date, it will not, except as permitted</w:t>
      </w:r>
      <w:r>
        <w:rPr>
          <w:rFonts w:ascii="Arial" w:cs="Arial" w:eastAsia="Arial" w:hAnsi="Arial"/>
          <w:sz w:val="18"/>
          <w:szCs w:val="18"/>
          <w:i w:val="1"/>
          <w:iCs w:val="1"/>
          <w:color w:val="auto"/>
        </w:rPr>
        <w:t xml:space="preserve"> </w:t>
      </w:r>
      <w:r>
        <w:rPr>
          <w:rFonts w:ascii="Arial" w:cs="Arial" w:eastAsia="Arial" w:hAnsi="Arial"/>
          <w:sz w:val="18"/>
          <w:szCs w:val="18"/>
          <w:color w:val="auto"/>
        </w:rPr>
        <w:t>by Section 23, Section 24 or Section 28, take (or permit to be taken) any action if at the time that such action is taken it is reasonably foreseeable that such action will diminish substantially or otherwise eliminate the benefits intended to be afforded by the Rights.</w:t>
      </w:r>
    </w:p>
    <w:p>
      <w:pPr>
        <w:spacing w:after="0" w:line="181" w:lineRule="exact"/>
        <w:rPr>
          <w:rFonts w:ascii="Arial" w:cs="Arial" w:eastAsia="Arial" w:hAnsi="Arial"/>
          <w:sz w:val="18"/>
          <w:szCs w:val="18"/>
          <w:color w:val="auto"/>
        </w:rPr>
      </w:pPr>
    </w:p>
    <w:p>
      <w:pPr>
        <w:ind w:right="120" w:firstLine="921"/>
        <w:spacing w:after="0" w:line="284" w:lineRule="auto"/>
        <w:tabs>
          <w:tab w:leader="none" w:pos="1353" w:val="left"/>
        </w:tabs>
        <w:numPr>
          <w:ilvl w:val="1"/>
          <w:numId w:val="45"/>
        </w:numPr>
        <w:rPr>
          <w:rFonts w:ascii="Arial" w:cs="Arial" w:eastAsia="Arial" w:hAnsi="Arial"/>
          <w:sz w:val="16"/>
          <w:szCs w:val="16"/>
          <w:color w:val="auto"/>
        </w:rPr>
      </w:pPr>
      <w:r>
        <w:rPr>
          <w:rFonts w:ascii="Arial" w:cs="Arial" w:eastAsia="Arial" w:hAnsi="Arial"/>
          <w:sz w:val="16"/>
          <w:szCs w:val="16"/>
          <w:i w:val="1"/>
          <w:iCs w:val="1"/>
          <w:color w:val="auto"/>
        </w:rPr>
        <w:t>Certain Adjustments to Common Shares</w:t>
      </w:r>
      <w:r>
        <w:rPr>
          <w:rFonts w:ascii="Arial" w:cs="Arial" w:eastAsia="Arial" w:hAnsi="Arial"/>
          <w:sz w:val="16"/>
          <w:szCs w:val="16"/>
          <w:color w:val="auto"/>
        </w:rPr>
        <w:t>. Notwithstanding anything to the contrary in this Plan, in the event that the Company, at any time</w:t>
      </w:r>
      <w:r>
        <w:rPr>
          <w:rFonts w:ascii="Arial" w:cs="Arial" w:eastAsia="Arial" w:hAnsi="Arial"/>
          <w:sz w:val="16"/>
          <w:szCs w:val="16"/>
          <w:i w:val="1"/>
          <w:iCs w:val="1"/>
          <w:color w:val="auto"/>
        </w:rPr>
        <w:t xml:space="preserve"> </w:t>
      </w:r>
      <w:r>
        <w:rPr>
          <w:rFonts w:ascii="Arial" w:cs="Arial" w:eastAsia="Arial" w:hAnsi="Arial"/>
          <w:sz w:val="16"/>
          <w:szCs w:val="16"/>
          <w:color w:val="auto"/>
        </w:rPr>
        <w:t>after the Rights Dividend Declaration Date and prior to the Distribution Date, (i) declares or pays a dividend on the Common Shares payable in Common Shares, (ii) subdivides or splits the outstanding Common Shares (other than by the payment of dividends payable in Common Shares), (iii) combines or consolidates the outstanding Common Shares (by reverse stock split or otherwise) into a lesser number of Common Shares or (iv) issues any shares of its capital stock in a reclassification of the Common Shares (including any such reclassification in connection with a share exchange, consolidation or merger in which the Company is the continuing or surviving corporation), then, in each such event, except as otherwise provided in this Section 11 or Section 7(e):</w:t>
      </w:r>
    </w:p>
    <w:p>
      <w:pPr>
        <w:spacing w:after="0" w:line="4" w:lineRule="exact"/>
        <w:rPr>
          <w:rFonts w:ascii="Arial" w:cs="Arial" w:eastAsia="Arial" w:hAnsi="Arial"/>
          <w:sz w:val="16"/>
          <w:szCs w:val="16"/>
          <w:color w:val="auto"/>
        </w:rPr>
      </w:pPr>
    </w:p>
    <w:p>
      <w:pPr>
        <w:jc w:val="both"/>
        <w:ind w:right="80" w:firstLine="8"/>
        <w:spacing w:after="0" w:line="281" w:lineRule="auto"/>
        <w:tabs>
          <w:tab w:leader="none" w:pos="295"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each Common Share (or shares of capital stock issued in such reclassification of the Common Shares) outstanding immediately following such time will have associated with it the number of Rights as were associated with one Common Share immediately prior to the occurrence of such event; (B) the Exercise Price in effect at the time of the record date for such dividend or of the effective date of such subdivision, split, combination, consolidation or reclassification will be adjusted so that the Exercise Price thereafter equals the result obtained by multiplying the Exercise Price in effect immediately prior to such time by a fraction, the numerator of which will be the total number of Common Shares outstanding immediately prior to such event and the denominator of which will be the total number of Common Shares outstanding immediately after such event;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no event will the consideration to be paid upon the exercise of one Right be less than the aggregate par value of the shares of capital stock of the Company issuable upon the exercise of such Right; and</w:t>
      </w:r>
    </w:p>
    <w:p>
      <w:pPr>
        <w:spacing w:after="0" w:line="4" w:lineRule="exact"/>
        <w:rPr>
          <w:rFonts w:ascii="Arial" w:cs="Arial" w:eastAsia="Arial" w:hAnsi="Arial"/>
          <w:sz w:val="16"/>
          <w:szCs w:val="16"/>
          <w:color w:val="auto"/>
        </w:rPr>
      </w:pPr>
    </w:p>
    <w:p>
      <w:pPr>
        <w:ind w:left="300" w:hanging="292"/>
        <w:spacing w:after="0"/>
        <w:tabs>
          <w:tab w:leader="none" w:pos="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number of one one-thousandths of a Preferred Share (or shares of such other capital stock) issuable upon the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45" w:name="page46"/>
    <w:bookmarkEnd w:id="45"/>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exercise of each Right outstanding after such event equals the number of one one-thousandths of a Preferred Share (or shares of such other capital stock) as were issuable with respect to one Right immediately prior to such event. Each Common Share that becomes outstanding after an adjustment has been made pursuant to this Section 11(m) will have issued with it that number of Rights, exercisable at the Exercise Price and for the number of one one-thousandths of a Preferred Share (or shares of such other capital stock), as one Common Share has associated with it immediately following the adjustment made pursuant to this Section 11(m). If an event occurs that would require an adjustment pursuant to both this Section 11(m) and Section 11(a)(ii), then the adjustment provided for in this Section 11(m) will be in addition to, and will be made prior to, any adjustment required pursuant to Section 11(a)(ii). The adjustments provided for in this Section 11(m) will be made successively whenever such a dividend is declared or paid or such a subdivision, split, combination, consolidation or reclassification is effected.</w:t>
      </w:r>
    </w:p>
    <w:p>
      <w:pPr>
        <w:spacing w:after="0" w:line="192" w:lineRule="exact"/>
        <w:rPr>
          <w:sz w:val="20"/>
          <w:szCs w:val="20"/>
          <w:color w:val="auto"/>
        </w:rPr>
      </w:pPr>
    </w:p>
    <w:p>
      <w:pPr>
        <w:ind w:right="80" w:firstLine="921"/>
        <w:spacing w:after="0" w:line="293" w:lineRule="auto"/>
        <w:tabs>
          <w:tab w:leader="none" w:pos="1303"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Adjustment of Rights Associated with Certain Distributions</w:t>
      </w:r>
      <w:r>
        <w:rPr>
          <w:rFonts w:ascii="Arial" w:cs="Arial" w:eastAsia="Arial" w:hAnsi="Arial"/>
          <w:sz w:val="16"/>
          <w:szCs w:val="16"/>
          <w:color w:val="auto"/>
        </w:rPr>
        <w:t>. Other than in connection with a transaction contemplated by Section 11(m), in</w:t>
      </w:r>
      <w:r>
        <w:rPr>
          <w:rFonts w:ascii="Arial" w:cs="Arial" w:eastAsia="Arial" w:hAnsi="Arial"/>
          <w:sz w:val="16"/>
          <w:szCs w:val="16"/>
          <w:i w:val="1"/>
          <w:iCs w:val="1"/>
          <w:color w:val="auto"/>
        </w:rPr>
        <w:t xml:space="preserve"> </w:t>
      </w:r>
      <w:r>
        <w:rPr>
          <w:rFonts w:ascii="Arial" w:cs="Arial" w:eastAsia="Arial" w:hAnsi="Arial"/>
          <w:sz w:val="16"/>
          <w:szCs w:val="16"/>
          <w:color w:val="auto"/>
        </w:rPr>
        <w:t>the event that the Company, at any time after the Rights Dividend Declaration Date and prior to the Distribution Date, issues or distributes any securities or assets in respect of Common Shares (other than (A) a distribution or dividend of its capital stock and (B) pursuant to any non-extraordinary periodic cash dividend), then the Company will make such adjustments, if any, in the Exercise Price or the number of Rights or securities or other property purchasable upon exercise of Rights as the Board, in its sole discretion, may deem to be appropriate under the circumstances in order to adequately protect the interests of the holders of the Rights generally, and the Company and the Rights Agent will amend this Plan as reasonably necessary to provide for such adjustments.</w:t>
      </w:r>
    </w:p>
    <w:p>
      <w:pPr>
        <w:spacing w:after="0" w:line="16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i w:val="1"/>
          <w:iCs w:val="1"/>
          <w:color w:val="auto"/>
        </w:rPr>
        <w:t>Certificate of Adjusted Exercise Price or Number of Shares</w:t>
      </w:r>
      <w:r>
        <w:rPr>
          <w:rFonts w:ascii="Arial" w:cs="Arial" w:eastAsia="Arial" w:hAnsi="Arial"/>
          <w:sz w:val="16"/>
          <w:szCs w:val="16"/>
          <w:color w:val="auto"/>
        </w:rPr>
        <w:t>. Whenever an adjustment is made, or any event affecting the Rights or their exercisability (including an event that causes the Rights to become null and void) occurs as provided in Section 11 or Section 13, the Company must promptly</w:t>
      </w:r>
    </w:p>
    <w:p>
      <w:pPr>
        <w:ind w:right="40" w:firstLine="8"/>
        <w:spacing w:after="0" w:line="269" w:lineRule="auto"/>
        <w:tabs>
          <w:tab w:leader="none" w:pos="245" w:val="left"/>
        </w:tabs>
        <w:numPr>
          <w:ilvl w:val="0"/>
          <w:numId w:val="49"/>
        </w:numPr>
        <w:rPr>
          <w:rFonts w:ascii="Arial" w:cs="Arial" w:eastAsia="Arial" w:hAnsi="Arial"/>
          <w:sz w:val="17"/>
          <w:szCs w:val="17"/>
          <w:color w:val="auto"/>
        </w:rPr>
      </w:pPr>
      <w:r>
        <w:rPr>
          <w:rFonts w:ascii="Arial" w:cs="Arial" w:eastAsia="Arial" w:hAnsi="Arial"/>
          <w:sz w:val="17"/>
          <w:szCs w:val="17"/>
          <w:color w:val="auto"/>
        </w:rPr>
        <w:t>prepare a certificate setting forth such adjustment or describing such event and providing a reasonably detailed statement of the facts, computations and methodology accounting for such adjustment or event; (b) provide the Rights Agent and each transfer agent for the Common Shares or Preferred Shares a copy of such certificate; and (c) if a Distribution Date has occurred, mail a brief summary of such adjustment or event to each holder of a Rights Certificate in accordance with Section 26. Notwithstanding the foregoing, the failure of the Company to make or provide such certification or notice will not affect the validity of such adjustment or the force or effect of the requirement for such adjustment. The Rights Agent will (i) be fully protected in relying on any such certificate and on any adjustment or statement contained therein; (ii) have no duty or liability with respect thereto; and (iii) not be deemed to have knowledge of any such adjustment or event unless and until it has received such certificate.</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i w:val="1"/>
          <w:iCs w:val="1"/>
          <w:color w:val="auto"/>
        </w:rPr>
        <w:t>Consolidation, Merger or Sale or Transfer of Assets, Cash Flow or Earning Power</w:t>
      </w:r>
      <w:r>
        <w:rPr>
          <w:rFonts w:ascii="Arial" w:cs="Arial" w:eastAsia="Arial" w:hAnsi="Arial"/>
          <w:sz w:val="18"/>
          <w:szCs w:val="18"/>
          <w:color w:val="auto"/>
        </w:rPr>
        <w:t>.</w:t>
      </w:r>
    </w:p>
    <w:p>
      <w:pPr>
        <w:spacing w:after="0" w:line="117" w:lineRule="exact"/>
        <w:rPr>
          <w:sz w:val="20"/>
          <w:szCs w:val="20"/>
          <w:color w:val="auto"/>
        </w:rPr>
      </w:pPr>
    </w:p>
    <w:p>
      <w:pPr>
        <w:ind w:right="260" w:firstLine="921"/>
        <w:spacing w:after="0" w:line="277" w:lineRule="auto"/>
        <w:tabs>
          <w:tab w:leader="none" w:pos="1293"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Certain Transactions</w:t>
      </w:r>
      <w:r>
        <w:rPr>
          <w:rFonts w:ascii="Arial" w:cs="Arial" w:eastAsia="Arial" w:hAnsi="Arial"/>
          <w:sz w:val="18"/>
          <w:szCs w:val="18"/>
          <w:color w:val="auto"/>
        </w:rPr>
        <w:t>. In the event that, following a Shares Acquisition Date, directly or indirectly, (i) the Company consolidates with, or</w:t>
      </w:r>
      <w:r>
        <w:rPr>
          <w:rFonts w:ascii="Arial" w:cs="Arial" w:eastAsia="Arial" w:hAnsi="Arial"/>
          <w:sz w:val="18"/>
          <w:szCs w:val="18"/>
          <w:i w:val="1"/>
          <w:iCs w:val="1"/>
          <w:color w:val="auto"/>
        </w:rPr>
        <w:t xml:space="preserve"> </w:t>
      </w:r>
      <w:r>
        <w:rPr>
          <w:rFonts w:ascii="Arial" w:cs="Arial" w:eastAsia="Arial" w:hAnsi="Arial"/>
          <w:sz w:val="18"/>
          <w:szCs w:val="18"/>
          <w:color w:val="auto"/>
        </w:rPr>
        <w:t>merges with and into, any other Person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46" w:name="page47"/>
    <w:bookmarkEnd w:id="46"/>
    <w:p>
      <w:pPr>
        <w:ind w:right="1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than a wholly owned Subsidiary of the Company in a transaction that complies with Section 11(l)) and the Company is not the continuing or surviving entity of such consolidation or merger; (ii) any Person (other than a wholly owned Subsidiary of the Company in a transaction that complies with</w:t>
      </w:r>
    </w:p>
    <w:p>
      <w:pPr>
        <w:spacing w:after="0" w:line="283" w:lineRule="auto"/>
        <w:rPr>
          <w:sz w:val="20"/>
          <w:szCs w:val="20"/>
          <w:color w:val="auto"/>
        </w:rPr>
      </w:pPr>
      <w:r>
        <w:rPr>
          <w:rFonts w:ascii="Arial" w:cs="Arial" w:eastAsia="Arial" w:hAnsi="Arial"/>
          <w:sz w:val="16"/>
          <w:szCs w:val="16"/>
          <w:color w:val="auto"/>
        </w:rPr>
        <w:t xml:space="preserve">Section 11(l)) consolidates with, or merges with and into, the Company, and the Company is the continuing or surviving entity of such consolidation or merger and, in connection with such consolidation or merger, all or part of the Common Shares are changed into or exchanged for stock or other securities of any other Person or the Company, or cash or any other property; or (iii) the Company sells, exchanges, mortgages or otherwise transfers (or one or more of its Subsidiaries sells, exchanges, mortgages or otherwise transfers), in one transaction or a series of related transactions, assets, cash flow or earning power aggregating to 50% or more of the assets, cash flow or earning power of the Company and its Subsidiaries (taken as a whole) to any other Person or Persons (other than the Company or one or more of its wholly owned Subsidiaries in one or more transactions, each of which individually (and together) complies with Section 11(l)), then, concurrent with and in each such case, proper provision must be made so that (A) each holder of a Right (except as provided in Section 7(e)) thereafter has the right to receive, upon the exercise thereof at a price per Right equal to the Exercise Price multiplied by the number of one one-thousandths of a Preferred Share for which a Right was exercisable immediately prior to the occurrence of such Section 13 Event in accordance with the terms of this Plan, and in lieu of Preferred Shares, such number of duly and validly authorized and issued and fully paid and nonassessable and freely tradable Common Shares of the Principal Party, free of any liens, encumbrances, rights of first refusal or other adverse claims, as will be equal to the result obtained by (1) multiplying the then current Exercise Price by the number of one one-thousandths of a Preferred Share for which a Right is exercisable immediately prior to the first occurrence of a Section 13 Event (or, if a Section 11(a)(ii) Event has occurred prior to the first occurrence of a Section 13 Event, multiplying the number of such one one-thousandths of a Preferred Share for which a Right was exercisable immediately prior to the first occurrence of a Section 11(a)(ii) Event by the Exercise Price in effect immediately prior to such first occurrence of a Section 11(a)(ii) Event); and (2) dividing that product (which, following the first occurrence of a Section 13 Event, will be referred to as the “Exercise Price” for each Right and for all purposes of this Plan) by 50% of the Current Per Share Market Price of the Common Shares of such Principal Party on the date of consummation of such Section 13 Event;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price per Right so payable and the number of Common Shares of such Principal Party so receivable upon exercise of a Right will be subject to further adjustment as appropriate in accordance with Section 11(d) to reflect any events covered thereby occurring in respect of the Common Shares of such Principal Party after the occurrence of such Section 13 Event; (B) such Principal Party will thereafter be liable for, and must assume, by virtue of such Section 13 Event, all the obligations and duties of the Company pursuant to this Plan; (C) the term “Company” will thereafter be deemed to refer to such Principal Party, it being specifically intended that the provisions of Section 11 will apply only to such Principal Party following the first occurrence of a Section 13 Event; (D) such Principal Party must take such steps (including the reservation of a sufficient number of its Common Shares) in connection with the consummation of any such transaction as may be necessary to ensure that the provisions hereof will thereafter be applicable, as nearly as reasonably may be, in relation to its Common Shares thereafter deliverable upon the exercise of the Rights; (E) the provisions of Section 11(a)(ii) will be of no effect following the first occurrence of any Section 13 Event; and (F) upon the subsequent</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47" w:name="page48"/>
    <w:bookmarkEnd w:id="47"/>
    <w:p>
      <w:pPr>
        <w:ind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occurrence of any consolidation, merger, sale, exchange, mortgage, transfer or other extraordinary transaction in respect of such Principal Party, each holder of a Right will thereupon be entitled to receive, upon exercise of a Right and payment of the Exercise Price as provided in this Section 13(a), such cash, shares, rights, warrants and other property that such holder would have been entitled to receive had such holder, at the time of such transaction, owned the Common Shares of the Principal Party receivable upon the exercise of a Right pursuant to this Section 13(a), and such Principal Party must take such steps (including reservation of a sufficient number of shares of its capital stock) as may be necessary to permit the subsequent exercise of the Rights in accordance with the terms hereof for such cash, shares, rights, warrants and other property. For purposes hereof, the “earning power” of the Company and its Subsidiaries will be determined in good faith by the Board on the basis of the operating income of each business operated by the Company and its Subsidiaries during the three fiscal years preceding the date of such determination (or, in the case of any business not operated by the Company or any of its Subsidiaries during the three fiscal years preceding such date, during the period that such business was operated by the Company or any of its Subsidiaries).</w:t>
      </w:r>
    </w:p>
    <w:p>
      <w:pPr>
        <w:spacing w:after="0" w:line="163" w:lineRule="exact"/>
        <w:rPr>
          <w:sz w:val="20"/>
          <w:szCs w:val="20"/>
          <w:color w:val="auto"/>
        </w:rPr>
      </w:pPr>
    </w:p>
    <w:p>
      <w:pPr>
        <w:ind w:left="1320" w:hanging="399"/>
        <w:spacing w:after="0"/>
        <w:tabs>
          <w:tab w:leader="none" w:pos="1320" w:val="left"/>
        </w:tabs>
        <w:numPr>
          <w:ilvl w:val="1"/>
          <w:numId w:val="51"/>
        </w:numPr>
        <w:rPr>
          <w:rFonts w:ascii="Arial" w:cs="Arial" w:eastAsia="Arial" w:hAnsi="Arial"/>
          <w:sz w:val="17"/>
          <w:szCs w:val="17"/>
          <w:color w:val="auto"/>
        </w:rPr>
      </w:pPr>
      <w:r>
        <w:rPr>
          <w:rFonts w:ascii="Arial" w:cs="Arial" w:eastAsia="Arial" w:hAnsi="Arial"/>
          <w:sz w:val="17"/>
          <w:szCs w:val="17"/>
          <w:i w:val="1"/>
          <w:iCs w:val="1"/>
          <w:color w:val="auto"/>
        </w:rPr>
        <w:t>Principal Party</w:t>
      </w:r>
      <w:r>
        <w:rPr>
          <w:rFonts w:ascii="Arial" w:cs="Arial" w:eastAsia="Arial" w:hAnsi="Arial"/>
          <w:sz w:val="17"/>
          <w:szCs w:val="17"/>
          <w:color w:val="auto"/>
        </w:rPr>
        <w:t>. For purposes of this Plan, the term “</w:t>
      </w:r>
      <w:r>
        <w:rPr>
          <w:rFonts w:ascii="Arial" w:cs="Arial" w:eastAsia="Arial" w:hAnsi="Arial"/>
          <w:sz w:val="17"/>
          <w:szCs w:val="17"/>
          <w:b w:val="1"/>
          <w:bCs w:val="1"/>
          <w:color w:val="auto"/>
        </w:rPr>
        <w:t>Principal Party</w:t>
      </w:r>
      <w:r>
        <w:rPr>
          <w:rFonts w:ascii="Arial" w:cs="Arial" w:eastAsia="Arial" w:hAnsi="Arial"/>
          <w:sz w:val="17"/>
          <w:szCs w:val="17"/>
          <w:color w:val="auto"/>
        </w:rPr>
        <w:t>” means (i) in the case of any transaction described in clause (i) or</w:t>
      </w:r>
    </w:p>
    <w:p>
      <w:pPr>
        <w:spacing w:after="0" w:line="38" w:lineRule="exact"/>
        <w:rPr>
          <w:rFonts w:ascii="Arial" w:cs="Arial" w:eastAsia="Arial" w:hAnsi="Arial"/>
          <w:sz w:val="17"/>
          <w:szCs w:val="17"/>
          <w:color w:val="auto"/>
        </w:rPr>
      </w:pPr>
    </w:p>
    <w:p>
      <w:pPr>
        <w:ind w:firstLine="8"/>
        <w:spacing w:after="0" w:line="284" w:lineRule="auto"/>
        <w:tabs>
          <w:tab w:leader="none" w:pos="265"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of Section 13(a) (A) the Person that is the issuer of the securities into which the Common Shares are converted in the consolidation or merger, or, if there is more than one such issuer, the issuer whose Common Shares have the greatest aggregate market value of shares outstanding; or (B) if no securities are so issued, (1) the Person that is the other party to the consolidation or merger, if such Person survives the consolidation or merger, or, if there is more than one such Person, the Person whose Common Shares have the greatest aggregate market value of shares outstanding; (2) if the Person that is the other party to the merger does not survive such consolidation or merger, the Person that does survive such consolidation or merger (including the Company if it survives); or (3) the Person resulting from the consolidation or merger; and (ii) in the case of any transaction described in clause (iii) of Section 13(a), the Person that is the party receiving the greatest portion of the assets, cash flow or earning power transferred pursuant to such transaction or transactions, or, if more than one Person that is a party to such transaction or transactions receives the same portion of the assets or earning power so transferred and each such portion would, were it not for the other equal portions, constitute the greatest portion of the assets or earning power so transferred, or if the Person receiving the greatest portion of the assets or earning power cannot be determined, whichever of such Persons is the issuer of Common Shares having the greatest aggregate market value of shares outstanding;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the case of each of clause (i) and (ii) of this Section 13(b), if the Common Shares of such Person are not at such time, or have not been continuously over the preceding 12-month period, registered pursuant to Section 12 of the Exchange Act, then if such Person is (x) a direct or indirect Subsidiary of another Person whose Common Shares are and have been so registered, the term “Principal Party” will refer to such other Person, (y) a direct or indirect Subsidiary of more than one Person whose Common Shares are and have been so registered, the term “Principal Party” will refer to whichever of such Persons is the issuer of Common Shares having the greatest aggregate market value of shares outstanding, or (z) if such Person is owned, directly or indirectly, by a joint venture formed by two or more Persons that are not owned, directly or indirectly, by the same Person, the rules set forth in clauses (x) and (y) above will apply to each of the owners having an interest in the venture as if the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48" w:name="page49"/>
    <w:bookmarkEnd w:id="48"/>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Person owned by the joint venture was a Subsidiary of both or all of such joint venturers, and the Principal Party in each such case must bear the obligations set forth in this Section 13 in the same ratio as its interest in such Person bears to the total of such interests.</w:t>
      </w:r>
    </w:p>
    <w:p>
      <w:pPr>
        <w:spacing w:after="0" w:line="170" w:lineRule="exact"/>
        <w:rPr>
          <w:sz w:val="20"/>
          <w:szCs w:val="20"/>
          <w:color w:val="auto"/>
        </w:rPr>
      </w:pPr>
    </w:p>
    <w:p>
      <w:pPr>
        <w:ind w:right="140" w:firstLine="921"/>
        <w:spacing w:after="0" w:line="291" w:lineRule="auto"/>
        <w:tabs>
          <w:tab w:leader="none" w:pos="1293" w:val="left"/>
        </w:tabs>
        <w:numPr>
          <w:ilvl w:val="1"/>
          <w:numId w:val="53"/>
        </w:numPr>
        <w:rPr>
          <w:rFonts w:ascii="Arial" w:cs="Arial" w:eastAsia="Arial" w:hAnsi="Arial"/>
          <w:sz w:val="16"/>
          <w:szCs w:val="16"/>
          <w:color w:val="auto"/>
        </w:rPr>
      </w:pPr>
      <w:r>
        <w:rPr>
          <w:rFonts w:ascii="Arial" w:cs="Arial" w:eastAsia="Arial" w:hAnsi="Arial"/>
          <w:sz w:val="16"/>
          <w:szCs w:val="16"/>
          <w:i w:val="1"/>
          <w:iCs w:val="1"/>
          <w:color w:val="auto"/>
        </w:rPr>
        <w:t>Certain Arrangements</w:t>
      </w:r>
      <w:r>
        <w:rPr>
          <w:rFonts w:ascii="Arial" w:cs="Arial" w:eastAsia="Arial" w:hAnsi="Arial"/>
          <w:sz w:val="16"/>
          <w:szCs w:val="16"/>
          <w:color w:val="auto"/>
        </w:rPr>
        <w:t>. The Company will not consummate or permit to occur any Section 13 Event unless (A) the Principal Party has a</w:t>
      </w:r>
      <w:r>
        <w:rPr>
          <w:rFonts w:ascii="Arial" w:cs="Arial" w:eastAsia="Arial" w:hAnsi="Arial"/>
          <w:sz w:val="16"/>
          <w:szCs w:val="16"/>
          <w:i w:val="1"/>
          <w:iCs w:val="1"/>
          <w:color w:val="auto"/>
        </w:rPr>
        <w:t xml:space="preserve"> </w:t>
      </w:r>
      <w:r>
        <w:rPr>
          <w:rFonts w:ascii="Arial" w:cs="Arial" w:eastAsia="Arial" w:hAnsi="Arial"/>
          <w:sz w:val="16"/>
          <w:szCs w:val="16"/>
          <w:color w:val="auto"/>
        </w:rPr>
        <w:t>sufficient number of authorized, unissued and unreserved Common Shares to permit the exercise in full of the Rights in accordance with this Section 13 and</w:t>
      </w:r>
    </w:p>
    <w:p>
      <w:pPr>
        <w:ind w:right="100" w:firstLine="8"/>
        <w:spacing w:after="0" w:line="253" w:lineRule="auto"/>
        <w:tabs>
          <w:tab w:leader="none" w:pos="285"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prior thereto the Company and the Principal Party have executed and delivered to the Rights Agent a supplemental agreement confirming that (1) the requirements of this Section 13 will be promptly performed in accordance with their terms, (2) the Principal Party will, upon consummation of such Section 13 Event, assume this Plan in accordance with Section 13(a) and Section 13(b), (3) such Section 13 Event will not result in a default by the Principal Party pursuant to this Plan (as it has been assumed by the Principal Party) and (4) the Principal Party, as soon as practicable after the date of such Section 13 Event and at its own expense, will:</w:t>
      </w:r>
    </w:p>
    <w:p>
      <w:pPr>
        <w:spacing w:after="0" w:line="191" w:lineRule="exact"/>
        <w:rPr>
          <w:rFonts w:ascii="Arial" w:cs="Arial" w:eastAsia="Arial" w:hAnsi="Arial"/>
          <w:sz w:val="18"/>
          <w:szCs w:val="18"/>
          <w:color w:val="auto"/>
        </w:rPr>
      </w:pPr>
    </w:p>
    <w:p>
      <w:pPr>
        <w:ind w:right="40" w:firstLine="1492"/>
        <w:spacing w:after="0" w:line="259" w:lineRule="auto"/>
        <w:tabs>
          <w:tab w:leader="none" w:pos="1833" w:val="left"/>
        </w:tabs>
        <w:numPr>
          <w:ilvl w:val="2"/>
          <w:numId w:val="54"/>
        </w:numPr>
        <w:rPr>
          <w:rFonts w:ascii="Arial" w:cs="Arial" w:eastAsia="Arial" w:hAnsi="Arial"/>
          <w:sz w:val="18"/>
          <w:szCs w:val="18"/>
          <w:color w:val="auto"/>
        </w:rPr>
      </w:pPr>
      <w:r>
        <w:rPr>
          <w:rFonts w:ascii="Arial" w:cs="Arial" w:eastAsia="Arial" w:hAnsi="Arial"/>
          <w:sz w:val="18"/>
          <w:szCs w:val="18"/>
          <w:color w:val="auto"/>
        </w:rPr>
        <w:t>prepare and file a registration statement pursuant to the Securities Act with respect to the Rights and the securities purchasable upon exercise of the Rights on an appropriate form, and use its best efforts to cause such registration statement to (x) become effective as soon as practicable after such filing and (y) remain effective (with a prospectus at all times meeting the requirements of the Securities Act) until the Expiration Date, and similarly comply with applicable state securities laws;</w:t>
      </w:r>
    </w:p>
    <w:p>
      <w:pPr>
        <w:spacing w:after="0" w:line="186" w:lineRule="exact"/>
        <w:rPr>
          <w:rFonts w:ascii="Arial" w:cs="Arial" w:eastAsia="Arial" w:hAnsi="Arial"/>
          <w:sz w:val="18"/>
          <w:szCs w:val="18"/>
          <w:color w:val="auto"/>
        </w:rPr>
      </w:pPr>
    </w:p>
    <w:p>
      <w:pPr>
        <w:ind w:right="120" w:firstLine="1492"/>
        <w:spacing w:after="0" w:line="264" w:lineRule="auto"/>
        <w:tabs>
          <w:tab w:leader="none" w:pos="1883" w:val="left"/>
        </w:tabs>
        <w:numPr>
          <w:ilvl w:val="2"/>
          <w:numId w:val="54"/>
        </w:numPr>
        <w:rPr>
          <w:rFonts w:ascii="Arial" w:cs="Arial" w:eastAsia="Arial" w:hAnsi="Arial"/>
          <w:sz w:val="18"/>
          <w:szCs w:val="18"/>
          <w:color w:val="auto"/>
        </w:rPr>
      </w:pPr>
      <w:r>
        <w:rPr>
          <w:rFonts w:ascii="Arial" w:cs="Arial" w:eastAsia="Arial" w:hAnsi="Arial"/>
          <w:sz w:val="18"/>
          <w:szCs w:val="18"/>
          <w:color w:val="auto"/>
        </w:rPr>
        <w:t>use its best efforts to list (or continue the listing of) the Rights and the securities purchasable upon exercise of the Rights on a national securities exchange or to meet the eligibility requirements for quotation on a national securities exchange and to list (and continue the listing of) the Rights and the securities purchasable upon exercise of the Rights on a national securities exchange;</w:t>
      </w:r>
    </w:p>
    <w:p>
      <w:pPr>
        <w:spacing w:after="0" w:line="181" w:lineRule="exact"/>
        <w:rPr>
          <w:rFonts w:ascii="Arial" w:cs="Arial" w:eastAsia="Arial" w:hAnsi="Arial"/>
          <w:sz w:val="18"/>
          <w:szCs w:val="18"/>
          <w:color w:val="auto"/>
        </w:rPr>
      </w:pPr>
    </w:p>
    <w:p>
      <w:pPr>
        <w:ind w:right="220" w:firstLine="1492"/>
        <w:spacing w:after="0" w:line="277" w:lineRule="auto"/>
        <w:tabs>
          <w:tab w:leader="none" w:pos="1933" w:val="left"/>
        </w:tabs>
        <w:numPr>
          <w:ilvl w:val="2"/>
          <w:numId w:val="54"/>
        </w:numPr>
        <w:rPr>
          <w:rFonts w:ascii="Arial" w:cs="Arial" w:eastAsia="Arial" w:hAnsi="Arial"/>
          <w:sz w:val="18"/>
          <w:szCs w:val="18"/>
          <w:color w:val="auto"/>
        </w:rPr>
      </w:pPr>
      <w:r>
        <w:rPr>
          <w:rFonts w:ascii="Arial" w:cs="Arial" w:eastAsia="Arial" w:hAnsi="Arial"/>
          <w:sz w:val="18"/>
          <w:szCs w:val="18"/>
          <w:color w:val="auto"/>
        </w:rPr>
        <w:t>deliver to holders of the Rights historical financial statements for the Principal Party and its Affiliates that comply in all respects with the requirements for registration on Form 10 (or any successor form) promulgated under the Exchange Act; and</w:t>
      </w:r>
    </w:p>
    <w:p>
      <w:pPr>
        <w:spacing w:after="0" w:line="170" w:lineRule="exact"/>
        <w:rPr>
          <w:rFonts w:ascii="Arial" w:cs="Arial" w:eastAsia="Arial" w:hAnsi="Arial"/>
          <w:sz w:val="18"/>
          <w:szCs w:val="18"/>
          <w:color w:val="auto"/>
        </w:rPr>
      </w:pPr>
    </w:p>
    <w:p>
      <w:pPr>
        <w:ind w:left="1940" w:hanging="448"/>
        <w:spacing w:after="0"/>
        <w:tabs>
          <w:tab w:leader="none" w:pos="1940" w:val="left"/>
        </w:tabs>
        <w:numPr>
          <w:ilvl w:val="2"/>
          <w:numId w:val="54"/>
        </w:numPr>
        <w:rPr>
          <w:rFonts w:ascii="Arial" w:cs="Arial" w:eastAsia="Arial" w:hAnsi="Arial"/>
          <w:sz w:val="17"/>
          <w:szCs w:val="17"/>
          <w:color w:val="auto"/>
        </w:rPr>
      </w:pPr>
      <w:r>
        <w:rPr>
          <w:rFonts w:ascii="Arial" w:cs="Arial" w:eastAsia="Arial" w:hAnsi="Arial"/>
          <w:sz w:val="17"/>
          <w:szCs w:val="17"/>
          <w:color w:val="auto"/>
        </w:rPr>
        <w:t>take all other action as may be necessary to allow the Principal Party to issue the securities purchasable upon exercise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Rights.</w:t>
      </w:r>
    </w:p>
    <w:p>
      <w:pPr>
        <w:spacing w:after="0" w:line="318" w:lineRule="exact"/>
        <w:rPr>
          <w:rFonts w:ascii="Arial" w:cs="Arial" w:eastAsia="Arial" w:hAnsi="Arial"/>
          <w:sz w:val="17"/>
          <w:szCs w:val="17"/>
          <w:color w:val="auto"/>
        </w:rPr>
      </w:pPr>
    </w:p>
    <w:p>
      <w:pPr>
        <w:ind w:left="1320" w:hanging="399"/>
        <w:spacing w:after="0"/>
        <w:tabs>
          <w:tab w:leader="none" w:pos="1320" w:val="left"/>
        </w:tabs>
        <w:numPr>
          <w:ilvl w:val="1"/>
          <w:numId w:val="54"/>
        </w:numPr>
        <w:rPr>
          <w:rFonts w:ascii="Arial" w:cs="Arial" w:eastAsia="Arial" w:hAnsi="Arial"/>
          <w:sz w:val="18"/>
          <w:szCs w:val="18"/>
          <w:color w:val="auto"/>
        </w:rPr>
      </w:pPr>
      <w:r>
        <w:rPr>
          <w:rFonts w:ascii="Arial" w:cs="Arial" w:eastAsia="Arial" w:hAnsi="Arial"/>
          <w:sz w:val="18"/>
          <w:szCs w:val="18"/>
          <w:i w:val="1"/>
          <w:iCs w:val="1"/>
          <w:color w:val="auto"/>
        </w:rPr>
        <w:t>Prohibited Transactions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1492"/>
        <w:spacing w:after="0" w:line="255" w:lineRule="auto"/>
        <w:tabs>
          <w:tab w:leader="none" w:pos="1833" w:val="left"/>
        </w:tabs>
        <w:numPr>
          <w:ilvl w:val="2"/>
          <w:numId w:val="54"/>
        </w:numPr>
        <w:rPr>
          <w:rFonts w:ascii="Arial" w:cs="Arial" w:eastAsia="Arial" w:hAnsi="Arial"/>
          <w:sz w:val="18"/>
          <w:szCs w:val="18"/>
          <w:color w:val="auto"/>
        </w:rPr>
      </w:pPr>
      <w:r>
        <w:rPr>
          <w:rFonts w:ascii="Arial" w:cs="Arial" w:eastAsia="Arial" w:hAnsi="Arial"/>
          <w:sz w:val="18"/>
          <w:szCs w:val="18"/>
          <w:color w:val="auto"/>
        </w:rPr>
        <w:t>Notwithstanding anything to the contrary in this Plan, if the Principal Party has a provision in any of its authorized securities or in its organizational documents that would have the effect of (i) causing the Principal Party to issue (other than to holders of Rights pursuant to Section 13), in connection with, or as a consequence of, the consummation of a Section 13 Event, Common Shares or common stock equivalents of the Principal Party at less than the then Current Per Share Market Price thereof or securities exercisable for, or convertible into, Common Shares or common stock equivalents of the Principal Party at less than such Current Per Share Market Price; or (ii) providing for any special payment, tax, charge or similar provision in connection with the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74" w:right="259" w:bottom="1440" w:gutter="0" w:footer="0" w:header="0"/>
        </w:sectPr>
      </w:pPr>
    </w:p>
    <w:bookmarkStart w:id="49" w:name="page50"/>
    <w:bookmarkEnd w:id="49"/>
    <w:p>
      <w:pPr>
        <w:ind w:right="16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issuance of the Common Shares of the Principal Party pursuant to the provisions of this Section 13, then the Company hereby agrees with each holder of Rights that it will not consummate any such Section 13 Event unless prior thereto the Company and such Principal Party have executed and delivered to the Rights Agent a supplemental agreement providing that such provision has been cancelled, waived, amended or rescinded, or that such authorized securities will be redeemed, so that such provision will have no effect in connection with, or as a consequence of, the consummation of such Section 13 Event.</w:t>
      </w:r>
    </w:p>
    <w:p>
      <w:pPr>
        <w:spacing w:after="0" w:line="154" w:lineRule="exact"/>
        <w:rPr>
          <w:sz w:val="20"/>
          <w:szCs w:val="20"/>
          <w:color w:val="auto"/>
        </w:rPr>
      </w:pPr>
    </w:p>
    <w:p>
      <w:pPr>
        <w:ind w:firstLine="1492"/>
        <w:spacing w:after="0" w:line="285" w:lineRule="auto"/>
        <w:tabs>
          <w:tab w:leader="none" w:pos="1883" w:val="left"/>
        </w:tabs>
        <w:numPr>
          <w:ilvl w:val="2"/>
          <w:numId w:val="55"/>
        </w:numPr>
        <w:rPr>
          <w:rFonts w:ascii="Arial" w:cs="Arial" w:eastAsia="Arial" w:hAnsi="Arial"/>
          <w:sz w:val="16"/>
          <w:szCs w:val="16"/>
          <w:color w:val="auto"/>
        </w:rPr>
      </w:pPr>
      <w:r>
        <w:rPr>
          <w:rFonts w:ascii="Arial" w:cs="Arial" w:eastAsia="Arial" w:hAnsi="Arial"/>
          <w:sz w:val="16"/>
          <w:szCs w:val="16"/>
          <w:color w:val="auto"/>
        </w:rPr>
        <w:t>Notwithstanding anything to the contrary in this Plan, the Company hereby agrees with each holder of Rights that it will not consummate or permit to occur any Section 13 Event if (A) at the time or immediately after such Section 13 Event there are any rights, warrants, instruments or securities outstanding, or any agreements or arrangements, that, as a result of the consummation of such Section 13 Event, would eliminate or diminish in any material respect the benefits intended to be afforded by the Rights; (B) all rights of first refusal or preemptive rights in respect of the issuance of Common Shares or common stock equivalents of the Principal Party upon exercise of outstanding Rights have not been irrevocably waived or rendered inapplicable;</w:t>
      </w:r>
    </w:p>
    <w:p>
      <w:pPr>
        <w:spacing w:after="0" w:line="2" w:lineRule="exact"/>
        <w:rPr>
          <w:rFonts w:ascii="Arial" w:cs="Arial" w:eastAsia="Arial" w:hAnsi="Arial"/>
          <w:sz w:val="16"/>
          <w:szCs w:val="16"/>
          <w:color w:val="auto"/>
        </w:rPr>
      </w:pPr>
    </w:p>
    <w:p>
      <w:pPr>
        <w:ind w:right="380" w:firstLine="8"/>
        <w:spacing w:after="0" w:line="255" w:lineRule="auto"/>
        <w:tabs>
          <w:tab w:leader="none" w:pos="285"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prior to, simultaneously with or immediately after such Section 13 Event, the stockholders of the Person who constitutes, or would constitute, the Principal Party have received a distribution of Rights previously owned by such Person or any of its Affiliates or Associates; or (D) the form or nature of organization of the Principal Party would preclude or limit the exercisability of the Rights.</w:t>
      </w:r>
    </w:p>
    <w:p>
      <w:pPr>
        <w:spacing w:after="0" w:line="190" w:lineRule="exact"/>
        <w:rPr>
          <w:rFonts w:ascii="Arial" w:cs="Arial" w:eastAsia="Arial" w:hAnsi="Arial"/>
          <w:sz w:val="18"/>
          <w:szCs w:val="18"/>
          <w:color w:val="auto"/>
        </w:rPr>
      </w:pPr>
    </w:p>
    <w:p>
      <w:pPr>
        <w:jc w:val="both"/>
        <w:ind w:right="280" w:firstLine="921"/>
        <w:spacing w:after="0" w:line="259" w:lineRule="auto"/>
        <w:tabs>
          <w:tab w:leader="none" w:pos="1293" w:val="left"/>
        </w:tabs>
        <w:numPr>
          <w:ilvl w:val="1"/>
          <w:numId w:val="56"/>
        </w:numPr>
        <w:rPr>
          <w:rFonts w:ascii="Arial" w:cs="Arial" w:eastAsia="Arial" w:hAnsi="Arial"/>
          <w:sz w:val="18"/>
          <w:szCs w:val="18"/>
          <w:color w:val="auto"/>
        </w:rPr>
      </w:pPr>
      <w:r>
        <w:rPr>
          <w:rFonts w:ascii="Arial" w:cs="Arial" w:eastAsia="Arial" w:hAnsi="Arial"/>
          <w:sz w:val="18"/>
          <w:szCs w:val="18"/>
          <w:i w:val="1"/>
          <w:iCs w:val="1"/>
          <w:color w:val="auto"/>
        </w:rPr>
        <w:t>Continued Applicability</w:t>
      </w:r>
      <w:r>
        <w:rPr>
          <w:rFonts w:ascii="Arial" w:cs="Arial" w:eastAsia="Arial" w:hAnsi="Arial"/>
          <w:sz w:val="18"/>
          <w:szCs w:val="18"/>
          <w:color w:val="auto"/>
        </w:rPr>
        <w:t>. The provisions of this Section 13 will similarly apply to successive mergers, consolidations, sales, exchanges,</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mortgages, transfers or other extraordinary transactions. In the event that a Section 13 Event occurs at any time after the occurrence of a Section 11(a)(ii) Event, then the Rights that have not previously been exercised will thereafter become exercisable in the manner described in Section 13(a) (without taking into account any prior adjustment required by Section 11(a)(ii)).</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i w:val="1"/>
          <w:iCs w:val="1"/>
          <w:color w:val="auto"/>
        </w:rPr>
        <w:t>Fractional Rights and Fractional Shares</w:t>
      </w:r>
      <w:r>
        <w:rPr>
          <w:rFonts w:ascii="Arial" w:cs="Arial" w:eastAsia="Arial" w:hAnsi="Arial"/>
          <w:sz w:val="18"/>
          <w:szCs w:val="18"/>
          <w:color w:val="auto"/>
        </w:rPr>
        <w:t>.</w:t>
      </w:r>
    </w:p>
    <w:p>
      <w:pPr>
        <w:spacing w:after="0" w:line="117" w:lineRule="exact"/>
        <w:rPr>
          <w:sz w:val="20"/>
          <w:szCs w:val="20"/>
          <w:color w:val="auto"/>
        </w:rPr>
      </w:pPr>
    </w:p>
    <w:p>
      <w:pPr>
        <w:ind w:right="200" w:firstLine="921"/>
        <w:spacing w:after="0" w:line="257" w:lineRule="auto"/>
        <w:tabs>
          <w:tab w:leader="none" w:pos="1293"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Cash in Lieu of Fractional Rights</w:t>
      </w:r>
      <w:r>
        <w:rPr>
          <w:rFonts w:ascii="Arial" w:cs="Arial" w:eastAsia="Arial" w:hAnsi="Arial"/>
          <w:sz w:val="18"/>
          <w:szCs w:val="18"/>
          <w:color w:val="auto"/>
        </w:rPr>
        <w:t>. The Company will not be required to issue fractions of Rights (except prior to the Distribution Date as</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in Section 11(m)) or to distribute Rights Certificates that evidence fractional Rights. In lieu of such fractional Rights, the Company will pay to the registered holders of the Rights Certificates with regard to which such fractional Rights would otherwise be issuable an amount in cash equal to the same fraction of the Current Per Share Market Price of a whole Right, calculated as of the Trading Day immediately prior to the date on which such fractional Rights would have been otherwise issuable.</w:t>
      </w:r>
    </w:p>
    <w:p>
      <w:pPr>
        <w:spacing w:after="0" w:line="188" w:lineRule="exact"/>
        <w:rPr>
          <w:rFonts w:ascii="Arial" w:cs="Arial" w:eastAsia="Arial" w:hAnsi="Arial"/>
          <w:sz w:val="18"/>
          <w:szCs w:val="18"/>
          <w:color w:val="auto"/>
        </w:rPr>
      </w:pPr>
    </w:p>
    <w:p>
      <w:pPr>
        <w:ind w:right="120" w:firstLine="921"/>
        <w:spacing w:after="0" w:line="257" w:lineRule="auto"/>
        <w:tabs>
          <w:tab w:leader="none" w:pos="1303"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Cash in Lieu of Fractional Preferred Shares</w:t>
      </w:r>
      <w:r>
        <w:rPr>
          <w:rFonts w:ascii="Arial" w:cs="Arial" w:eastAsia="Arial" w:hAnsi="Arial"/>
          <w:sz w:val="18"/>
          <w:szCs w:val="18"/>
          <w:color w:val="auto"/>
        </w:rPr>
        <w:t>. The Company will not be required to issue fractions of Preferred Shares (other than fractions</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integral multiples of one one-thousandth of a Preferred Share) upon exercise or exchange of the Rights or to distribute certificates that evidence fractional Preferred Shares (other than fractions that are integral multiples of one one-thousandth of a Preferred Share). Interests in fractions of Preferred Shares in integral multiples of one one-thousandth of a Preferred Share may, at the election of the Company, be evidenced by depositary receipts pursuant to an appropriate agreement between the Company and a</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74" w:right="259" w:bottom="1440" w:gutter="0" w:footer="0" w:header="0"/>
        </w:sectPr>
      </w:pPr>
    </w:p>
    <w:bookmarkStart w:id="50" w:name="page51"/>
    <w:bookmarkEnd w:id="50"/>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depositary selected by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agreement must provide that the holders of such depositary receipts have all of the rights, privileges and preferences to which they are entitled as Beneficial Owners of the Preferred Shares represented by such depositary receipts. In lieu of fractional Preferred Shares that are not integral multiples of one one-thousandth of a Preferred Share, the Company may pay to the registered holders of Rights Certificates at the time that such Rights are exercised or exchanged as provided herein an amount in cash equal to the same fraction of the current market value of one one-thousandth of a Preferred Share. For purposes of this Section 14(b), the current market value of one one-thousandth of a Preferred Share will be one one-thousandth of the Current Per Share Market Price of a Preferred Share, calculated as of the Trading Day immediately prior to the date of such exercise or exchange.</w:t>
      </w:r>
    </w:p>
    <w:p>
      <w:pPr>
        <w:spacing w:after="0" w:line="189" w:lineRule="exact"/>
        <w:rPr>
          <w:sz w:val="20"/>
          <w:szCs w:val="20"/>
          <w:color w:val="auto"/>
        </w:rPr>
      </w:pPr>
    </w:p>
    <w:p>
      <w:pPr>
        <w:ind w:right="20" w:firstLine="921"/>
        <w:spacing w:after="0" w:line="297" w:lineRule="auto"/>
        <w:tabs>
          <w:tab w:leader="none" w:pos="1293"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Cash in Lieu of Fractional Common Shares</w:t>
      </w:r>
      <w:r>
        <w:rPr>
          <w:rFonts w:ascii="Arial" w:cs="Arial" w:eastAsia="Arial" w:hAnsi="Arial"/>
          <w:sz w:val="16"/>
          <w:szCs w:val="16"/>
          <w:color w:val="auto"/>
        </w:rPr>
        <w:t>. The Company is not required to issue fractions of Common Shares or to distribute certificates</w:t>
      </w:r>
      <w:r>
        <w:rPr>
          <w:rFonts w:ascii="Arial" w:cs="Arial" w:eastAsia="Arial" w:hAnsi="Arial"/>
          <w:sz w:val="16"/>
          <w:szCs w:val="16"/>
          <w:i w:val="1"/>
          <w:iCs w:val="1"/>
          <w:color w:val="auto"/>
        </w:rPr>
        <w:t xml:space="preserve"> </w:t>
      </w:r>
      <w:r>
        <w:rPr>
          <w:rFonts w:ascii="Arial" w:cs="Arial" w:eastAsia="Arial" w:hAnsi="Arial"/>
          <w:sz w:val="16"/>
          <w:szCs w:val="16"/>
          <w:color w:val="auto"/>
        </w:rPr>
        <w:t>that evidence fractional Common Shares upon the exercise or exchange of Rights. In lieu of such fractional Common Shares, the Company may pay to the registered holders of Rights Certificates at the time such Rights are exercised or exchanged as provided herein an amount in cash equal to the same fraction of the current market value of a Common Share. For purposes of this Section 14(c), the current market value of a Common Share will be the Current Per Share Market Price of a Common Share, calculated as of the Trading Day immediately prior to the date of such exercise or exchange.</w:t>
      </w:r>
    </w:p>
    <w:p>
      <w:pPr>
        <w:spacing w:after="0" w:line="158" w:lineRule="exact"/>
        <w:rPr>
          <w:rFonts w:ascii="Arial" w:cs="Arial" w:eastAsia="Arial" w:hAnsi="Arial"/>
          <w:sz w:val="16"/>
          <w:szCs w:val="16"/>
          <w:color w:val="auto"/>
        </w:rPr>
      </w:pPr>
    </w:p>
    <w:p>
      <w:pPr>
        <w:ind w:right="500" w:firstLine="921"/>
        <w:spacing w:after="0" w:line="342" w:lineRule="auto"/>
        <w:tabs>
          <w:tab w:leader="none" w:pos="1303"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Waiver of Fractional Rights</w:t>
      </w:r>
      <w:r>
        <w:rPr>
          <w:rFonts w:ascii="Arial" w:cs="Arial" w:eastAsia="Arial" w:hAnsi="Arial"/>
          <w:sz w:val="16"/>
          <w:szCs w:val="16"/>
          <w:color w:val="auto"/>
        </w:rPr>
        <w:t>. Except as permitted by this Section 14, the holder of a Right, by the acceptance of such Right, expressly</w:t>
      </w:r>
      <w:r>
        <w:rPr>
          <w:rFonts w:ascii="Arial" w:cs="Arial" w:eastAsia="Arial" w:hAnsi="Arial"/>
          <w:sz w:val="16"/>
          <w:szCs w:val="16"/>
          <w:i w:val="1"/>
          <w:iCs w:val="1"/>
          <w:color w:val="auto"/>
        </w:rPr>
        <w:t xml:space="preserve"> </w:t>
      </w:r>
      <w:r>
        <w:rPr>
          <w:rFonts w:ascii="Arial" w:cs="Arial" w:eastAsia="Arial" w:hAnsi="Arial"/>
          <w:sz w:val="16"/>
          <w:szCs w:val="16"/>
          <w:color w:val="auto"/>
        </w:rPr>
        <w:t>waives such holder’s right to receive any fractional Rights or any fractional shares of any security upon the exercise or exchange of a Right.</w:t>
      </w:r>
    </w:p>
    <w:p>
      <w:pPr>
        <w:spacing w:after="0" w:line="123" w:lineRule="exact"/>
        <w:rPr>
          <w:rFonts w:ascii="Arial" w:cs="Arial" w:eastAsia="Arial" w:hAnsi="Arial"/>
          <w:sz w:val="16"/>
          <w:szCs w:val="16"/>
          <w:color w:val="auto"/>
        </w:rPr>
      </w:pPr>
    </w:p>
    <w:p>
      <w:pPr>
        <w:ind w:right="60" w:firstLine="921"/>
        <w:spacing w:after="0" w:line="255" w:lineRule="auto"/>
        <w:tabs>
          <w:tab w:leader="none" w:pos="1293"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Procedure for Payment</w:t>
      </w:r>
      <w:r>
        <w:rPr>
          <w:rFonts w:ascii="Arial" w:cs="Arial" w:eastAsia="Arial" w:hAnsi="Arial"/>
          <w:sz w:val="18"/>
          <w:szCs w:val="18"/>
          <w:color w:val="auto"/>
        </w:rPr>
        <w:t>. Whenever a payment for fractional Rights, Preferred Shares or Common Shares is to be made by the Rights Agent</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this Plan, the Company will (i) promptly prepare and deliver to the Rights Agent a certificate setting forth in reasonable detail the facts related to such payment and the prices or formulas utilized in calculating such payments; and (ii) provide sufficient monies to the Rights Agent to make such payments. The Rights Agent will be fully protected in relying upon such certificate and will have no duty with respect thereto or the contents therein, and will not be deemed to have knowledge of any payment for fractional Rights, Preferred Shares or Common Shares pursuant to this Plan unless and until the Rights Agent has received such certificate and sufficient monies.</w:t>
      </w:r>
    </w:p>
    <w:p>
      <w:pPr>
        <w:spacing w:after="0" w:line="193"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 xml:space="preserve">Section 15. </w:t>
      </w:r>
      <w:r>
        <w:rPr>
          <w:rFonts w:ascii="Arial" w:cs="Arial" w:eastAsia="Arial" w:hAnsi="Arial"/>
          <w:sz w:val="17"/>
          <w:szCs w:val="17"/>
          <w:i w:val="1"/>
          <w:iCs w:val="1"/>
          <w:color w:val="auto"/>
        </w:rPr>
        <w:t>Rights of Action</w:t>
      </w:r>
      <w:r>
        <w:rPr>
          <w:rFonts w:ascii="Arial" w:cs="Arial" w:eastAsia="Arial" w:hAnsi="Arial"/>
          <w:sz w:val="17"/>
          <w:szCs w:val="17"/>
          <w:color w:val="auto"/>
        </w:rPr>
        <w:t>. All rights of action in respect of this Plan, except those rights of action given to the Rights Agent pursuant to this Plan, are vested in the respective registered holders of the Rights Certificates (and, prior to the Distribution Date, the registered holders of Common Shares). Any registered holder of any Rights Certificate (or, prior to the Distribution Date, any registered holder of Common Shares), without the consent of the Rights Agent or of the holder of any other Rights Certificate (or, prior to the Distribution Date, any other holder of Common Shares), may, on such holder’s own behalf and for such holder’s own benefit and the benefit of other holders of Rights, enforce, and may institute and maintain any suit, action or proceeding against the Company to enforce, this Plan or otherwise act in respect of such holder’s right to exercise such</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51" w:name="page52"/>
    <w:bookmarkEnd w:id="51"/>
    <w:p>
      <w:pPr>
        <w:ind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holder’s Rights evidenced by such Rights Certificate in the manner provided in such Rights Certificate and in this Plan. Without limiting the foregoing or any remedies available to the holders of Rights, it is specifically acknowledged that the holders of Rights would not have an adequate remedy at law for any breach of this Plan and will be entitled to specific performance of the obligations of any Person (including the Company) subject to this Plan, and injunctive relief against actual or threatened breaches or violations of this Plan by the Company, in each case without having to post a bond.</w:t>
      </w:r>
    </w:p>
    <w:p>
      <w:pPr>
        <w:spacing w:after="0" w:line="17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i w:val="1"/>
          <w:iCs w:val="1"/>
          <w:color w:val="auto"/>
        </w:rPr>
        <w:t>Agreement of Rights Holders</w:t>
      </w:r>
      <w:r>
        <w:rPr>
          <w:rFonts w:ascii="Arial" w:cs="Arial" w:eastAsia="Arial" w:hAnsi="Arial"/>
          <w:sz w:val="18"/>
          <w:szCs w:val="18"/>
          <w:color w:val="auto"/>
        </w:rPr>
        <w:t>. Every holder of a Right, by accepting the same, consents and agrees with the Company and the Rights Agent and with every other holder of a Right that:</w:t>
      </w:r>
    </w:p>
    <w:p>
      <w:pPr>
        <w:spacing w:after="0" w:line="170" w:lineRule="exact"/>
        <w:rPr>
          <w:sz w:val="20"/>
          <w:szCs w:val="20"/>
          <w:color w:val="auto"/>
        </w:rPr>
      </w:pPr>
    </w:p>
    <w:p>
      <w:pPr>
        <w:ind w:right="140" w:firstLine="921"/>
        <w:spacing w:after="0" w:line="277" w:lineRule="auto"/>
        <w:tabs>
          <w:tab w:leader="none" w:pos="1293"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prior to the Distribution Date, the Rights will not be evidenced by a Rights Certificate and will be transferable only in connection with the transfer of the Common Shares;</w:t>
      </w:r>
    </w:p>
    <w:p>
      <w:pPr>
        <w:spacing w:after="0" w:line="170" w:lineRule="exact"/>
        <w:rPr>
          <w:rFonts w:ascii="Arial" w:cs="Arial" w:eastAsia="Arial" w:hAnsi="Arial"/>
          <w:sz w:val="18"/>
          <w:szCs w:val="18"/>
          <w:color w:val="auto"/>
        </w:rPr>
      </w:pPr>
    </w:p>
    <w:p>
      <w:pPr>
        <w:ind w:firstLine="921"/>
        <w:spacing w:after="0" w:line="264" w:lineRule="auto"/>
        <w:tabs>
          <w:tab w:leader="none" w:pos="1303" w:val="left"/>
        </w:tabs>
        <w:numPr>
          <w:ilvl w:val="0"/>
          <w:numId w:val="59"/>
        </w:numPr>
        <w:rPr>
          <w:rFonts w:ascii="Arial" w:cs="Arial" w:eastAsia="Arial" w:hAnsi="Arial"/>
          <w:sz w:val="18"/>
          <w:szCs w:val="18"/>
          <w:color w:val="auto"/>
        </w:rPr>
      </w:pPr>
      <w:r>
        <w:rPr>
          <w:rFonts w:ascii="Arial" w:cs="Arial" w:eastAsia="Arial" w:hAnsi="Arial"/>
          <w:sz w:val="18"/>
          <w:szCs w:val="18"/>
          <w:color w:val="auto"/>
        </w:rPr>
        <w:t>after the Distribution Date, the Rights Certificates are transferable only on the transfer books of the Rights Agent if surrendered at the office of the Rights Agent designated for such purpose, duly endorsed or accompanied by a proper instrument of transfer and with the appropriate forms and certificates fully completed;</w:t>
      </w:r>
    </w:p>
    <w:p>
      <w:pPr>
        <w:spacing w:after="0" w:line="181" w:lineRule="exact"/>
        <w:rPr>
          <w:rFonts w:ascii="Arial" w:cs="Arial" w:eastAsia="Arial" w:hAnsi="Arial"/>
          <w:sz w:val="18"/>
          <w:szCs w:val="18"/>
          <w:color w:val="auto"/>
        </w:rPr>
      </w:pPr>
    </w:p>
    <w:p>
      <w:pPr>
        <w:ind w:right="120" w:firstLine="921"/>
        <w:spacing w:after="0" w:line="276" w:lineRule="auto"/>
        <w:tabs>
          <w:tab w:leader="none" w:pos="1293" w:val="left"/>
        </w:tabs>
        <w:numPr>
          <w:ilvl w:val="0"/>
          <w:numId w:val="59"/>
        </w:numPr>
        <w:rPr>
          <w:rFonts w:ascii="Arial" w:cs="Arial" w:eastAsia="Arial" w:hAnsi="Arial"/>
          <w:sz w:val="17"/>
          <w:szCs w:val="17"/>
          <w:color w:val="auto"/>
        </w:rPr>
      </w:pPr>
      <w:r>
        <w:rPr>
          <w:rFonts w:ascii="Arial" w:cs="Arial" w:eastAsia="Arial" w:hAnsi="Arial"/>
          <w:sz w:val="17"/>
          <w:szCs w:val="17"/>
          <w:color w:val="auto"/>
        </w:rPr>
        <w:t>subject to Section 6(a) and Section 7(f), the Company and the Rights Agent may deem and treat the Person in whose name the Rights Certificate (or, prior to the Distribution Date, the associated certificate for Common Shares or Book Entry Shares, as applicable) is registered as the absolute owner thereof and of the Rights evidenced thereby (notwithstanding any notations of ownership or writing on the Rights Certificates or the associated certificate for Common Shares or Book Entry Shares, as applicable, made by anyone other than the Company or the Rights Agent) for all purposes whatsoever, and neither the Company nor the Rights Agent (subject to Section 7(e)) will be affected by any notice to the contrary;</w:t>
      </w:r>
    </w:p>
    <w:p>
      <w:pPr>
        <w:spacing w:after="0" w:line="172" w:lineRule="exact"/>
        <w:rPr>
          <w:rFonts w:ascii="Arial" w:cs="Arial" w:eastAsia="Arial" w:hAnsi="Arial"/>
          <w:sz w:val="17"/>
          <w:szCs w:val="17"/>
          <w:color w:val="auto"/>
        </w:rPr>
      </w:pPr>
    </w:p>
    <w:p>
      <w:pPr>
        <w:ind w:right="200" w:firstLine="921"/>
        <w:spacing w:after="0" w:line="255" w:lineRule="auto"/>
        <w:tabs>
          <w:tab w:leader="none" w:pos="1303"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Plan, neither the Company nor the Rights Agent will have any liability to any holder of a Right (or a beneficial interest in a Right) or other Person as a result of the inability of the Company or the Rights Agent to perform any of their respective obligations pursuant to this Plan by reason of any preliminary or permanent injunction or other order, judgment, decree or ruling (whether interlocutory or final) issued by a court of competent jurisdiction or by a governmental, regulatory, self-regulatory or administrative agency or commission, or any statute, rule, regulation or executive order promulgated or enacted by any governmental authority, prohibiting or otherwise restraining performance of such obligation;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Company will use all reasonable efforts to have any such injunction, order, judgment, decree or ruling lifted or otherwise overturned as promptly as practicable;</w:t>
      </w:r>
    </w:p>
    <w:p>
      <w:pPr>
        <w:spacing w:after="0" w:line="189" w:lineRule="exact"/>
        <w:rPr>
          <w:rFonts w:ascii="Arial" w:cs="Arial" w:eastAsia="Arial" w:hAnsi="Arial"/>
          <w:sz w:val="18"/>
          <w:szCs w:val="18"/>
          <w:color w:val="auto"/>
        </w:rPr>
      </w:pPr>
    </w:p>
    <w:p>
      <w:pPr>
        <w:ind w:left="1300" w:hanging="379"/>
        <w:spacing w:after="0"/>
        <w:tabs>
          <w:tab w:leader="none" w:pos="13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Rights that are Beneficially Owned by certain Persons will, under the circumstances set forth in Section 7(e), become null and void; and</w:t>
      </w:r>
    </w:p>
    <w:p>
      <w:pPr>
        <w:spacing w:after="0" w:line="248" w:lineRule="exact"/>
        <w:rPr>
          <w:rFonts w:ascii="Arial" w:cs="Arial" w:eastAsia="Arial" w:hAnsi="Arial"/>
          <w:sz w:val="16"/>
          <w:szCs w:val="16"/>
          <w:color w:val="auto"/>
        </w:rPr>
      </w:pPr>
    </w:p>
    <w:p>
      <w:pPr>
        <w:ind w:left="1280" w:hanging="359"/>
        <w:spacing w:after="0"/>
        <w:tabs>
          <w:tab w:leader="none" w:pos="12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this Plan may be supplemented or amended from time to time in accordance with Section 28.</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274" w:right="279" w:bottom="1440" w:gutter="0" w:footer="0" w:header="0"/>
        </w:sectPr>
      </w:pPr>
    </w:p>
    <w:bookmarkStart w:id="52" w:name="page53"/>
    <w:bookmarkEnd w:id="52"/>
    <w:p>
      <w:pPr>
        <w:ind w:right="4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17. </w:t>
      </w:r>
      <w:r>
        <w:rPr>
          <w:rFonts w:ascii="Arial" w:cs="Arial" w:eastAsia="Arial" w:hAnsi="Arial"/>
          <w:sz w:val="16"/>
          <w:szCs w:val="16"/>
          <w:i w:val="1"/>
          <w:iCs w:val="1"/>
          <w:color w:val="auto"/>
        </w:rPr>
        <w:t>Holder of Rights Certificate Not Deemed to be a Stockholder</w:t>
      </w:r>
      <w:r>
        <w:rPr>
          <w:rFonts w:ascii="Arial" w:cs="Arial" w:eastAsia="Arial" w:hAnsi="Arial"/>
          <w:sz w:val="16"/>
          <w:szCs w:val="16"/>
          <w:color w:val="auto"/>
        </w:rPr>
        <w:t>. No holder, as such, of any Rights Certificate will be entitled to vote or receive dividends or be deemed for any purpose to be the holder of the number of one one-thousandths of a Preferred Share or any other securities of the Company that may at any time be issuable on the exercise or exchange of the Rights represented thereby, nor will anything contained herein or in any Rights Certificate be construed to confer upon the holder of any Rights Certificate,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specifically provided in Section 26), or to receive dividends or subscription rights, or otherwise, until the Rights evidenced by such Rights Certificate have been exercised or exchanged in accordance with the provisions hereof.</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i w:val="1"/>
          <w:iCs w:val="1"/>
          <w:color w:val="auto"/>
        </w:rPr>
        <w:t>Concerning the Rights Agent</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85" w:lineRule="auto"/>
        <w:tabs>
          <w:tab w:leader="none" w:pos="1293"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Compensation; Reimbursement; Indemnification</w:t>
      </w:r>
      <w:r>
        <w:rPr>
          <w:rFonts w:ascii="Arial" w:cs="Arial" w:eastAsia="Arial" w:hAnsi="Arial"/>
          <w:sz w:val="16"/>
          <w:szCs w:val="16"/>
          <w:color w:val="auto"/>
        </w:rPr>
        <w:t>. The Company agrees to pay to the Rights Agent reasonable compensation for all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rendered by it hereunder and, from time to time, on demand by the Rights Agent, the reasonable and documented out-of-pocket expenses and counsel fees and other disbursements incurred by the Rights Agent in connection with the preparation, negotiation, delivery, execution, amendment and administration of this Plan and the exercise and performance of its duties hereunder, including any taxes or governmental charges imposed on it as a result of any action taken by it pursuant to this Plan (other than taxes and governmental charges on the fees payable to it). The Company also agrees to indemnify the Rights Agent for, and to hold it harmless against, any loss, liability, damage, judgment, fine, penalty, claim, demand, settlement, cost or expense (including the reasonable and documented expenses and fees of its outside counsel) incurred without gross negligence, bad faith or willful misconduct on the part of the Rights Agent (which gross negligence, bad faith or willful misconduct must be determined by a final, non-appealable judgment of a court of competent jurisdiction) for any action taken, suffered or omitted to be taken by the Rights Agent in connection with the execution, acceptance, administration, exercise and performance of its duties pursuant to this Plan, including the costs and expenses of defending against any claim of liability. Notwithstanding anything contained in this Plan to the contrary, the Right Agent’s aggregate liability during any term of this Plan with respect to, arising from, or arising in connection with this Plan, or from all services provided or omitted to be provided under this Plan, whether in contract, tort or otherwise, is limited to, and shall not exceed, the amounts paid by the Company to the Rights Agent as fees and charges, but not including reimbursable expenses, during the 12 months immediately preceding the event for which recovery from the Rights Agent is being sought. In no event will the Rights Agent be liable for special, punitive, indirect, incidental or consequential loss or damage of any kind whatsoever (including lost profits), even if the Rights Agent has been advised of the possibility or likelihood of such loss or damage. The provisions of this Section 18 and Section 20 will survive the termination of this Plan, the exercise, exchange or expiration of the Rights and the resignation, replacement or removal of the Rights Agent.</w:t>
      </w:r>
    </w:p>
    <w:p>
      <w:pPr>
        <w:spacing w:after="0" w:line="175" w:lineRule="exact"/>
        <w:rPr>
          <w:rFonts w:ascii="Arial" w:cs="Arial" w:eastAsia="Arial" w:hAnsi="Arial"/>
          <w:sz w:val="16"/>
          <w:szCs w:val="16"/>
          <w:color w:val="auto"/>
        </w:rPr>
      </w:pPr>
    </w:p>
    <w:p>
      <w:pPr>
        <w:ind w:right="180" w:firstLine="921"/>
        <w:spacing w:after="0" w:line="277" w:lineRule="auto"/>
        <w:tabs>
          <w:tab w:leader="none" w:pos="1303"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Reliance by the Rights Agent</w:t>
      </w:r>
      <w:r>
        <w:rPr>
          <w:rFonts w:ascii="Arial" w:cs="Arial" w:eastAsia="Arial" w:hAnsi="Arial"/>
          <w:sz w:val="18"/>
          <w:szCs w:val="18"/>
          <w:color w:val="auto"/>
        </w:rPr>
        <w:t>. The Rights Agent is authorized to rely conclusively on, and will be protected and incur no liability for, or in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of, any action taken,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53" w:name="page54"/>
    <w:bookmarkEnd w:id="53"/>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suffered or omitted to be taken by it in connection with its acceptance and administration of this Plan, and the exercise and performance of its duties pursuant to this Plan, in reliance upon any (i) Rights Certificate; (ii) certificate (or registration on the transfer books of the Company, including, in the case of uncertificated shares, by notation in book entry accounts reflecting ownership) for Preferred Shares, Common Shares or other securities of the Company issuable upon exercise of Rights; or (iii) instrument of assignment or transfer, power of attorney, endorsement, affidavit, letter, notice, direction, consent, certificate, statement or other paper or document reasonably believed by it, in the absence of gross negligence, bad faith or willful misconduct (which gross negligence, bad faith or willful misconduct must be determined by a final, non-appealable judgment of a court of competent jurisdiction), to be genuine and to be duly executed and, where necessary, verified or acknowledged, by the proper Person, or otherwise upon the advice of counsel as set forth in Section 20. The Rights Agent will not be required to take notice, or be deemed to have any knowledge, of any fact, event or determination of which it was supposed to receive notice hereunder (including any dates or events defined in this Plan or the designation of any Person as an Acquiring Person or an Affiliate or Associate of an Acquiring Person), and the Rights Agent will be fully protected and will incur no liability for failing to take action in connection therewith, unless and until it has received such notice in writing.</w:t>
      </w:r>
    </w:p>
    <w:p>
      <w:pPr>
        <w:spacing w:after="0" w:line="29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i w:val="1"/>
          <w:iCs w:val="1"/>
          <w:color w:val="auto"/>
        </w:rPr>
        <w:t>Merger, Consolidation or Change of Name of Rights Agent</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69" w:lineRule="auto"/>
        <w:tabs>
          <w:tab w:leader="none" w:pos="1293" w:val="left"/>
        </w:tabs>
        <w:numPr>
          <w:ilvl w:val="0"/>
          <w:numId w:val="61"/>
        </w:numPr>
        <w:rPr>
          <w:rFonts w:ascii="Arial" w:cs="Arial" w:eastAsia="Arial" w:hAnsi="Arial"/>
          <w:sz w:val="17"/>
          <w:szCs w:val="17"/>
          <w:color w:val="auto"/>
        </w:rPr>
      </w:pPr>
      <w:r>
        <w:rPr>
          <w:rFonts w:ascii="Arial" w:cs="Arial" w:eastAsia="Arial" w:hAnsi="Arial"/>
          <w:sz w:val="17"/>
          <w:szCs w:val="17"/>
          <w:i w:val="1"/>
          <w:iCs w:val="1"/>
          <w:color w:val="auto"/>
        </w:rPr>
        <w:t>Merger or Consolidation of Rights Agent</w:t>
      </w:r>
      <w:r>
        <w:rPr>
          <w:rFonts w:ascii="Arial" w:cs="Arial" w:eastAsia="Arial" w:hAnsi="Arial"/>
          <w:sz w:val="17"/>
          <w:szCs w:val="17"/>
          <w:color w:val="auto"/>
        </w:rPr>
        <w:t>. Any Person into which the Rights Agent or any successor Rights Agent may be merged or with</w:t>
      </w:r>
      <w:r>
        <w:rPr>
          <w:rFonts w:ascii="Arial" w:cs="Arial" w:eastAsia="Arial" w:hAnsi="Arial"/>
          <w:sz w:val="17"/>
          <w:szCs w:val="17"/>
          <w:i w:val="1"/>
          <w:iCs w:val="1"/>
          <w:color w:val="auto"/>
        </w:rPr>
        <w:t xml:space="preserve"> </w:t>
      </w:r>
      <w:r>
        <w:rPr>
          <w:rFonts w:ascii="Arial" w:cs="Arial" w:eastAsia="Arial" w:hAnsi="Arial"/>
          <w:sz w:val="17"/>
          <w:szCs w:val="17"/>
          <w:color w:val="auto"/>
        </w:rPr>
        <w:t>which it may effect a share exchange or be consolidated, or any Person resulting from any merger, share exchange or consolidation to which the Rights Agent or any successor Rights Agent is a party, or any Person succeeding to the corporate trust, stock transfer or stockholder services business of the Rights Agent or any successor Rights Agent, will be the successor to the Rights Agent pursuant to this Plan without the execution or filing of any paper or any further act on the part of any of the parties hereto so long as such Person is eligible for appointment as a successor Rights Agent pursuant to the provisions of Section 21. The purchase of all or substantially all of the Rights Agent’s assets employed in the performance of this Plan, or transfer or rights agent services generally, will be deemed to be a merger, share exchange or consolidation for purposes of this Section 19. If at the time that such successor Rights Agent succeeds to the agency created by this Plan any of the Rights Certificates have been countersigned but not delivered, then any such successor Rights Agent may adopt the countersignature of any predecessor Rights Agent and deliver such Rights Certificates so countersigned, and if at that time any of the Rights Certificates have not been countersigned, then any successor Rights Agent may countersign such Rights Certificates either in the name of the predecessor Rights Agent or in the name of the successor Rights Agent. In all such cases, such Rights Certificates will have the full force and effect provided in the Rights Certificates and in this Plan.</w:t>
      </w:r>
    </w:p>
    <w:p>
      <w:pPr>
        <w:spacing w:after="0" w:line="179" w:lineRule="exact"/>
        <w:rPr>
          <w:rFonts w:ascii="Arial" w:cs="Arial" w:eastAsia="Arial" w:hAnsi="Arial"/>
          <w:sz w:val="17"/>
          <w:szCs w:val="17"/>
          <w:color w:val="auto"/>
        </w:rPr>
      </w:pPr>
    </w:p>
    <w:p>
      <w:pPr>
        <w:ind w:right="40" w:firstLine="921"/>
        <w:spacing w:after="0" w:line="257" w:lineRule="auto"/>
        <w:tabs>
          <w:tab w:leader="none" w:pos="1303"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Change of Name of Rights Agent</w:t>
      </w:r>
      <w:r>
        <w:rPr>
          <w:rFonts w:ascii="Arial" w:cs="Arial" w:eastAsia="Arial" w:hAnsi="Arial"/>
          <w:sz w:val="18"/>
          <w:szCs w:val="18"/>
          <w:color w:val="auto"/>
        </w:rPr>
        <w:t>. If at any time the name of the Rights Agent is changed and at such time any of the Rights Certificates</w:t>
      </w:r>
      <w:r>
        <w:rPr>
          <w:rFonts w:ascii="Arial" w:cs="Arial" w:eastAsia="Arial" w:hAnsi="Arial"/>
          <w:sz w:val="18"/>
          <w:szCs w:val="18"/>
          <w:i w:val="1"/>
          <w:iCs w:val="1"/>
          <w:color w:val="auto"/>
        </w:rPr>
        <w:t xml:space="preserve"> </w:t>
      </w:r>
      <w:r>
        <w:rPr>
          <w:rFonts w:ascii="Arial" w:cs="Arial" w:eastAsia="Arial" w:hAnsi="Arial"/>
          <w:sz w:val="18"/>
          <w:szCs w:val="18"/>
          <w:color w:val="auto"/>
        </w:rPr>
        <w:t>have been countersigned but not delivered, then the Rights Agent may adopt the countersignature under its prior name and deliver such Rights Certificates so countersigned, and if at any time any of the Rights Certificates have not have been countersigned, then the Rights Agent may countersign such Rights Certificates either in its prior name or in its changed name. In all such cases, such Rights Certificates will have the full force and effect provided in the Rights Certificates and in this Plan.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74" w:right="259" w:bottom="1440" w:gutter="0" w:footer="0" w:header="0"/>
        </w:sectPr>
      </w:pPr>
    </w:p>
    <w:bookmarkStart w:id="54" w:name="page55"/>
    <w:bookmarkEnd w:id="54"/>
    <w:p>
      <w:pPr>
        <w:ind w:right="16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20. </w:t>
      </w:r>
      <w:r>
        <w:rPr>
          <w:rFonts w:ascii="Arial" w:cs="Arial" w:eastAsia="Arial" w:hAnsi="Arial"/>
          <w:sz w:val="18"/>
          <w:szCs w:val="18"/>
          <w:i w:val="1"/>
          <w:iCs w:val="1"/>
          <w:color w:val="auto"/>
        </w:rPr>
        <w:t>Duties of Rights Agent</w:t>
      </w:r>
      <w:r>
        <w:rPr>
          <w:rFonts w:ascii="Arial" w:cs="Arial" w:eastAsia="Arial" w:hAnsi="Arial"/>
          <w:sz w:val="18"/>
          <w:szCs w:val="18"/>
          <w:color w:val="auto"/>
        </w:rPr>
        <w:t>. The Rights Agent undertakes to perform only the duties and obligations expressly imposed by this Plan (and no implied duties or obligations) upon the following terms and conditions, all of which the Company and the holders of Rights Certificates, by their acceptance thereof, will be bound:</w:t>
      </w:r>
    </w:p>
    <w:p>
      <w:pPr>
        <w:spacing w:after="0" w:line="181" w:lineRule="exact"/>
        <w:rPr>
          <w:sz w:val="20"/>
          <w:szCs w:val="20"/>
          <w:color w:val="auto"/>
        </w:rPr>
      </w:pPr>
    </w:p>
    <w:p>
      <w:pPr>
        <w:ind w:right="280" w:firstLine="921"/>
        <w:spacing w:after="0" w:line="276" w:lineRule="auto"/>
        <w:tabs>
          <w:tab w:leader="none" w:pos="1293" w:val="left"/>
        </w:tabs>
        <w:numPr>
          <w:ilvl w:val="0"/>
          <w:numId w:val="62"/>
        </w:numPr>
        <w:rPr>
          <w:rFonts w:ascii="Arial" w:cs="Arial" w:eastAsia="Arial" w:hAnsi="Arial"/>
          <w:sz w:val="17"/>
          <w:szCs w:val="17"/>
          <w:color w:val="auto"/>
        </w:rPr>
      </w:pPr>
      <w:r>
        <w:rPr>
          <w:rFonts w:ascii="Arial" w:cs="Arial" w:eastAsia="Arial" w:hAnsi="Arial"/>
          <w:sz w:val="17"/>
          <w:szCs w:val="17"/>
          <w:color w:val="auto"/>
        </w:rPr>
        <w:t>Before the Rights Agent acts or refrains from acting, the Rights Agent may consult with legal counsel that it selects (who may be legal counsel for the Company or an employee of the Rights Agent), and the advice or opinion of such counsel will be full and complete authorization and protection to the Rights Agent, and the Rights Agent will incur no liability for or in respect of, any action taken, suffered or omitted to be taken by it in the absence of gross negligence, bad faith or willful misconduct (which gross negligence, bad faith or willful misconduct must be determined by a final, non-appealable judgment of a court of competent jurisdiction) in accordance with such advice or opinion.</w:t>
      </w:r>
    </w:p>
    <w:p>
      <w:pPr>
        <w:spacing w:after="0" w:line="172" w:lineRule="exact"/>
        <w:rPr>
          <w:rFonts w:ascii="Arial" w:cs="Arial" w:eastAsia="Arial" w:hAnsi="Arial"/>
          <w:sz w:val="17"/>
          <w:szCs w:val="17"/>
          <w:color w:val="auto"/>
        </w:rPr>
      </w:pPr>
    </w:p>
    <w:p>
      <w:pPr>
        <w:ind w:firstLine="921"/>
        <w:spacing w:after="0" w:line="253" w:lineRule="auto"/>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Whenever in the performance of its duties pursuant to this Plan the Rights Agent deems it necessary or desirable that any fact or matter (including the identity of any Acquiring Person and the determination of the Current Per Share Market Price of any security) be proved or established by the Company prior to taking, suffering or omitting to take any action hereunder, such fact or matter (unless other evidence in respect thereof is specifically prescribed herein) may be deemed to be conclusively proved and established by a certificate signed by any one of the Chairman of the Board, Chief Executive Officer, President, Chief Financial Officer, Secretary, Assistant Secretary or any Senior Vice President of the Company and delivered to the Rights Agent, and such certificate will be full and complete authorization and protection to the Rights Agent, and the Rights Agent will incur no liability for or in respect of any action taken, suffered or omitted to be taken in the absence of gross negligence, bad faith or willful misconduct (which gross negligence, bad faith or willful misconduct must be determined by a final, non-appealable judgment of a court of competent jurisdiction) by it pursuant to the provisions of this Plan in reliance upon such certificate.</w:t>
      </w:r>
    </w:p>
    <w:p>
      <w:pPr>
        <w:spacing w:after="0" w:line="197" w:lineRule="exact"/>
        <w:rPr>
          <w:rFonts w:ascii="Arial" w:cs="Arial" w:eastAsia="Arial" w:hAnsi="Arial"/>
          <w:sz w:val="18"/>
          <w:szCs w:val="18"/>
          <w:color w:val="auto"/>
        </w:rPr>
      </w:pPr>
    </w:p>
    <w:p>
      <w:pPr>
        <w:ind w:right="180" w:firstLine="921"/>
        <w:spacing w:after="0" w:line="257" w:lineRule="auto"/>
        <w:tabs>
          <w:tab w:leader="none" w:pos="1289"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Rights Agent will not be liable hereunder for or by reason of any of the statements of fact or recitals contained in this Plan, the Rights Certificates or any certificate (or registration on the transfer books of the Company, including, in the case of uncertificated shares, by notation in book entry accounts reflecting ownership) for Preferred Shares, Common Shares or other securities of the Company issuable upon exercise of Rights, or be required to verify the same (except, in each case, its countersignature thereof, if applicable), and all such statements and recitals are and will be deemed to have been made by the Company only.</w:t>
      </w:r>
    </w:p>
    <w:p>
      <w:pPr>
        <w:spacing w:after="0" w:line="188" w:lineRule="exact"/>
        <w:rPr>
          <w:rFonts w:ascii="Arial" w:cs="Arial" w:eastAsia="Arial" w:hAnsi="Arial"/>
          <w:sz w:val="18"/>
          <w:szCs w:val="18"/>
          <w:color w:val="auto"/>
        </w:rPr>
      </w:pPr>
    </w:p>
    <w:p>
      <w:pPr>
        <w:ind w:right="20" w:firstLine="921"/>
        <w:spacing w:after="0" w:line="279" w:lineRule="auto"/>
        <w:tabs>
          <w:tab w:leader="none" w:pos="13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Rights Agent will not (i) have any liability for or be under any responsibility in respect of the validity of this Plan or the execution and delivery hereof (except the due authorization, execution and delivery hereof by the Rights Agent) or in respect of the validity or execution of any Rights Certificate (except its countersignature thereof) or any certificate (or registration on the transfer books of the Company, including, in the case of uncertificated shares, by notation in book entry accounts reflecting ownership) for Preferred Shares, Common Shares or other</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4" w:right="239" w:bottom="1440" w:gutter="0" w:footer="0" w:header="0"/>
        </w:sectPr>
      </w:pPr>
    </w:p>
    <w:bookmarkStart w:id="55" w:name="page56"/>
    <w:bookmarkEnd w:id="55"/>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of the Company issuable upon exercise of Rights (except, in each case, its countersignature thereof, if applicable); (ii) be responsible for any change in the exercisability or exchangeability of Rights (including certain Rights becoming null and void pursuant to Section 7(e)), except with respect to the exercise of Rights evidenced by Rights Certificates after notice of such change has been provided by the Company; (iii) be responsible for any breach by the Company of any covenant or failure by the Company to satisfy any condition contained in this Plan or any Rights Certificate; (iv) be responsible for (A) any adjustment or change required pursuant to Section 3, Section 11, Section 13, Section 23 or Section 24; (B) the manner, method or amount of any such adjustment or change; or (C) ascertaining the existence of facts that would require any such adjustment or change (except with respect to the exercise of Rights evidenced by Rights Certificates after receipt by the Rights Agent of a certificate furnished pursuant to Section 12 describing such adjustment or change); (v) be responsible for any determination by the Board of the Current Per Share Market Price of any security pursuant to this Plan; or (vi) by any act hereunder be deemed to make any representation or warranty as to the authorization or reservation of any securities to be issued pursuant to this Plan or any Rights Certificate or as to whether any such securities will, when issued, be duly and validly authorized and issued and fully paid and nonassessable.</w:t>
      </w:r>
    </w:p>
    <w:p>
      <w:pPr>
        <w:spacing w:after="0" w:line="169" w:lineRule="exact"/>
        <w:rPr>
          <w:sz w:val="20"/>
          <w:szCs w:val="20"/>
          <w:color w:val="auto"/>
        </w:rPr>
      </w:pPr>
    </w:p>
    <w:p>
      <w:pPr>
        <w:ind w:right="40" w:firstLine="921"/>
        <w:spacing w:after="0" w:line="264" w:lineRule="auto"/>
        <w:tabs>
          <w:tab w:leader="none" w:pos="1289"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Company agrees that it will perform, execute, acknowledge and deliver, or cause to be performed, executed, acknowledged and delivered, all such further and other acts, instruments and assurances as may reasonably be required by the Rights Agent for the carrying out or performing by the Rights Agent of its duties pursuant to this Plan.</w:t>
      </w:r>
    </w:p>
    <w:p>
      <w:pPr>
        <w:spacing w:after="0" w:line="181" w:lineRule="exact"/>
        <w:rPr>
          <w:rFonts w:ascii="Arial" w:cs="Arial" w:eastAsia="Arial" w:hAnsi="Arial"/>
          <w:sz w:val="18"/>
          <w:szCs w:val="18"/>
          <w:color w:val="auto"/>
        </w:rPr>
      </w:pPr>
    </w:p>
    <w:p>
      <w:pPr>
        <w:ind w:right="40" w:firstLine="921"/>
        <w:spacing w:after="0" w:line="268" w:lineRule="auto"/>
        <w:tabs>
          <w:tab w:leader="none" w:pos="1269"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Rights Agent is hereby authorized and directed to accept instructions with respect to the performance of its duties hereunder from any of the Chairman of the Board, Chief Executive Officer, President, Chief Financial Officer, Secretary, Assistant Secretary or any Senior Vice President of the Company, and it is authorized to apply to any such director or officer for advice or instructions in connection with its duties pursuant to this Plan. Such advice and instructions will be full and complete authorization and protection to the Rights Agent, and the Rights Agent will not be liable for or in respect of any action taken, suffered or omitted to be taken by it in accordance with the written advice or instructions of any such director or officer or for any delay in acting while waiting for those instructions, in each case in the absence of its own gross negligence, bad faith or willful misconduct (which gross negligence, bad faith or willful misconduct must be determined by a final, non-appealable judgment of a court of competent jurisdiction). The Rights Agent will be fully and completely authorized and protected in relying on the latest-dated instructions received from any such director or officer. Any application by the Rights Agent for written instructions from the Company may, at the option of the Rights Agent, set forth in writing any action proposed to be taken, suffered or omitted to be taken by the Rights Agent pursuant to this Plan and the date on or after which such action will be taken, suffered or omitted to be taken. The Rights Agent will not be liable for any action taken or suffered by, or omission of, the Rights Agent in accordance with a proposal included in any such application on or after (but not including) the date specified in such application (which date must not be less than five Business Days after, but not including, the date on which any such director or officer of the Company actually receives such application, unless any such director or officer has consented in writing to an earlier date) unless, prior to taking or suffering any such action (or the effective date in the case of an omission), the Rights Agent has received, in response to such application, written instructions with respect to the proposed action or omission specifying a different action to be taken, suffered or omitted to be taken.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74" w:right="239" w:bottom="1440" w:gutter="0" w:footer="0" w:header="0"/>
        </w:sectPr>
      </w:pPr>
    </w:p>
    <w:bookmarkStart w:id="56" w:name="page57"/>
    <w:bookmarkEnd w:id="56"/>
    <w:p>
      <w:pPr>
        <w:ind w:left="-8" w:firstLine="921"/>
        <w:spacing w:after="0" w:line="257" w:lineRule="auto"/>
        <w:tabs>
          <w:tab w:leader="none" w:pos="1295" w:val="left"/>
        </w:tabs>
        <w:numPr>
          <w:ilvl w:val="1"/>
          <w:numId w:val="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event that the Rights Agent believes any ambiguity or uncertainty exists under this Plan or in any notice, instruction, direction, request or other communication, paper or document received by the Rights Agent under this Plan, the Rights Agent, may, in its sole discretion, refrain from taking any action, and shall be fully protected and shall not be liable in any way to Company, the holder of any Rights Certificate or Book Entry Shares or any other person for refraining from taking such action, unless the Rights Agent receives written instructions signed by the Company that eliminates such ambiguity or uncertainty to the satisfaction of the Rights Agent.</w:t>
      </w:r>
    </w:p>
    <w:p>
      <w:pPr>
        <w:spacing w:after="0" w:line="188" w:lineRule="exact"/>
        <w:rPr>
          <w:rFonts w:ascii="Arial" w:cs="Arial" w:eastAsia="Arial" w:hAnsi="Arial"/>
          <w:sz w:val="18"/>
          <w:szCs w:val="18"/>
          <w:color w:val="auto"/>
        </w:rPr>
      </w:pPr>
    </w:p>
    <w:p>
      <w:pPr>
        <w:ind w:left="-8" w:right="140" w:firstLine="921"/>
        <w:spacing w:after="0" w:line="257" w:lineRule="auto"/>
        <w:tabs>
          <w:tab w:leader="none" w:pos="1292"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Rights Agent and any member, stockholder, director, officer, employee or Affiliate of the Rights Agent (in each case, other than an Acquiring Person) may buy, sell or deal in any of the Rights or other securities of the Company or become pecuniarily interested in any transaction in which the Company may be interested, or contract with or lend money to the Company or otherwise act as fully and freely as though it were not the Rights Agent pursuant to this Plan. Nothing herein will preclude the Rights Agent or any such member, stockholder, director, officer, employee or Affiliate from acting in any other capacity for the Company or for any other Person.</w:t>
      </w:r>
    </w:p>
    <w:p>
      <w:pPr>
        <w:spacing w:after="0" w:line="188" w:lineRule="exact"/>
        <w:rPr>
          <w:rFonts w:ascii="Arial" w:cs="Arial" w:eastAsia="Arial" w:hAnsi="Arial"/>
          <w:sz w:val="18"/>
          <w:szCs w:val="18"/>
          <w:color w:val="auto"/>
        </w:rPr>
      </w:pPr>
    </w:p>
    <w:p>
      <w:pPr>
        <w:ind w:left="-8" w:right="120" w:firstLine="921"/>
        <w:spacing w:after="0" w:line="255" w:lineRule="auto"/>
        <w:tabs>
          <w:tab w:leader="none" w:pos="1252"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Rights Agent may execute and exercise any of the rights or powers hereby vested in it or perform any duty hereunder either itself (including through its directors, officers and employees) or by or through its attorneys or agents, and the Rights Agent will not be answerable or accountable for any act, omission, default, neglect or misconduct of any such attorneys or agents or for any loss to the Company, to the holders of Rights or to any other Person resulting from any such act, omission, default, neglect or misconduct in the absence of gross negligence, bad faith or willful misconduct in the selection and continued employment thereof (which gross negligence, bad faith or willful misconduct must be determined by a final, non-appealable judgment of a court of competent jurisdiction).</w:t>
      </w:r>
    </w:p>
    <w:p>
      <w:pPr>
        <w:spacing w:after="0" w:line="193" w:lineRule="exact"/>
        <w:rPr>
          <w:rFonts w:ascii="Arial" w:cs="Arial" w:eastAsia="Arial" w:hAnsi="Arial"/>
          <w:sz w:val="18"/>
          <w:szCs w:val="18"/>
          <w:color w:val="auto"/>
        </w:rPr>
      </w:pPr>
    </w:p>
    <w:p>
      <w:pPr>
        <w:ind w:left="-8" w:right="100" w:firstLine="921"/>
        <w:spacing w:after="0" w:line="279" w:lineRule="auto"/>
        <w:tabs>
          <w:tab w:leader="none" w:pos="1255" w:val="left"/>
        </w:tabs>
        <w:numPr>
          <w:ilvl w:val="1"/>
          <w:numId w:val="64"/>
        </w:numPr>
        <w:rPr>
          <w:rFonts w:ascii="Arial" w:cs="Arial" w:eastAsia="Arial" w:hAnsi="Arial"/>
          <w:sz w:val="17"/>
          <w:szCs w:val="17"/>
          <w:color w:val="auto"/>
        </w:rPr>
      </w:pPr>
      <w:r>
        <w:rPr>
          <w:rFonts w:ascii="Arial" w:cs="Arial" w:eastAsia="Arial" w:hAnsi="Arial"/>
          <w:sz w:val="17"/>
          <w:szCs w:val="17"/>
          <w:color w:val="auto"/>
        </w:rPr>
        <w:t>No provision of this Plan requires the Rights Agent to expend or risk its own funds or otherwise incur any financial liability in the performance of any of its duties hereunder (other than costs and expenses incurred by the Rights Agent in providing services to the Company in the ordinary course of its business as the Rights Agent and for which the Rights Agent shall be compensated pursuant to Section 18) or in the exercise of its rights if it reasonably believes that repayment of such funds or adequate indemnification against such risk or liability is not reasonably assured to it.</w:t>
      </w:r>
    </w:p>
    <w:p>
      <w:pPr>
        <w:spacing w:after="0" w:line="171" w:lineRule="exact"/>
        <w:rPr>
          <w:rFonts w:ascii="Arial" w:cs="Arial" w:eastAsia="Arial" w:hAnsi="Arial"/>
          <w:sz w:val="17"/>
          <w:szCs w:val="17"/>
          <w:color w:val="auto"/>
        </w:rPr>
      </w:pPr>
    </w:p>
    <w:p>
      <w:pPr>
        <w:ind w:left="-8" w:right="220" w:firstLine="921"/>
        <w:spacing w:after="0" w:line="291" w:lineRule="auto"/>
        <w:tabs>
          <w:tab w:leader="none" w:pos="1295" w:val="left"/>
        </w:tabs>
        <w:numPr>
          <w:ilvl w:val="1"/>
          <w:numId w:val="64"/>
        </w:numPr>
        <w:rPr>
          <w:rFonts w:ascii="Arial" w:cs="Arial" w:eastAsia="Arial" w:hAnsi="Arial"/>
          <w:sz w:val="16"/>
          <w:szCs w:val="16"/>
          <w:color w:val="auto"/>
        </w:rPr>
      </w:pPr>
      <w:r>
        <w:rPr>
          <w:rFonts w:ascii="Arial" w:cs="Arial" w:eastAsia="Arial" w:hAnsi="Arial"/>
          <w:sz w:val="16"/>
          <w:szCs w:val="16"/>
          <w:color w:val="auto"/>
        </w:rPr>
        <w:t>If, with respect to any Rights Certificate surrendered to the Rights Agent for exercise or transfer, the certificate contained in the form of election to purchase or form of assignment, as the case may be, has either (i) not been properly completed or (ii) indicates an affirmative response to clause</w:t>
      </w:r>
    </w:p>
    <w:p>
      <w:pPr>
        <w:ind w:left="-8" w:right="40" w:firstLine="8"/>
        <w:spacing w:after="0" w:line="323" w:lineRule="auto"/>
        <w:tabs>
          <w:tab w:leader="none" w:pos="247" w:val="left"/>
        </w:tabs>
        <w:numPr>
          <w:ilvl w:val="0"/>
          <w:numId w:val="65"/>
        </w:numPr>
        <w:rPr>
          <w:rFonts w:ascii="Arial" w:cs="Arial" w:eastAsia="Arial" w:hAnsi="Arial"/>
          <w:sz w:val="16"/>
          <w:szCs w:val="16"/>
          <w:color w:val="auto"/>
        </w:rPr>
      </w:pPr>
      <w:r>
        <w:rPr>
          <w:rFonts w:ascii="Arial" w:cs="Arial" w:eastAsia="Arial" w:hAnsi="Arial"/>
          <w:sz w:val="16"/>
          <w:szCs w:val="16"/>
          <w:color w:val="auto"/>
        </w:rPr>
        <w:t xml:space="preserve">or clause (2) thereof, then the Rights Agent will not take any further action with respect to such requested exercise or transfer without first consulting with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Rights Agent shall not be liable for any delays arising from the duties under this Section 20(k).</w:t>
      </w:r>
    </w:p>
    <w:p>
      <w:pPr>
        <w:spacing w:after="0" w:line="7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92"/>
          </w:cols>
          <w:pgMar w:left="248" w:top="274" w:right="259" w:bottom="1440" w:gutter="0" w:footer="0" w:header="0"/>
        </w:sectPr>
      </w:pPr>
    </w:p>
    <w:bookmarkStart w:id="57" w:name="page58"/>
    <w:bookmarkEnd w:id="57"/>
    <w:p>
      <w:pPr>
        <w:ind w:right="340" w:firstLine="921"/>
        <w:spacing w:after="0" w:line="264" w:lineRule="auto"/>
        <w:tabs>
          <w:tab w:leader="none" w:pos="1263" w:val="left"/>
        </w:tabs>
        <w:numPr>
          <w:ilvl w:val="0"/>
          <w:numId w:val="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From time to time after the Distribution Date, upon the written request of the Company, the Rights Agent will promptly deliver to the Company a list, as of the most recent practicable date (or as of such earlier date as may be specified by the Company), of the record holders of Rights and Rights Certificates.</w:t>
      </w:r>
    </w:p>
    <w:p>
      <w:pPr>
        <w:spacing w:after="0" w:line="181" w:lineRule="exact"/>
        <w:rPr>
          <w:rFonts w:ascii="Arial" w:cs="Arial" w:eastAsia="Arial" w:hAnsi="Arial"/>
          <w:sz w:val="18"/>
          <w:szCs w:val="18"/>
          <w:color w:val="auto"/>
        </w:rPr>
      </w:pPr>
    </w:p>
    <w:p>
      <w:pPr>
        <w:ind w:firstLine="921"/>
        <w:spacing w:after="0" w:line="259" w:lineRule="auto"/>
        <w:tabs>
          <w:tab w:leader="none" w:pos="135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Rights Agent will not be required to take notice or be deemed to have notice of any fact, event or determination (including any dates or events defined in this Plan or the designation of any Person as an Acquiring Person or an Affiliate or Associate of an Acquiring Person) pursuant to this Plan unless and until the Rights Agent is specifically notified in writing of such fact, event or determination by the Company or by receipt of a properly completed and duly executed Rights Certificate (and form of election to purchase or form of assignment).</w:t>
      </w:r>
    </w:p>
    <w:p>
      <w:pPr>
        <w:spacing w:after="0" w:line="186" w:lineRule="exact"/>
        <w:rPr>
          <w:rFonts w:ascii="Arial" w:cs="Arial" w:eastAsia="Arial" w:hAnsi="Arial"/>
          <w:sz w:val="18"/>
          <w:szCs w:val="18"/>
          <w:color w:val="auto"/>
        </w:rPr>
      </w:pPr>
    </w:p>
    <w:p>
      <w:pPr>
        <w:ind w:right="80" w:firstLine="921"/>
        <w:spacing w:after="0" w:line="279" w:lineRule="auto"/>
        <w:tabs>
          <w:tab w:leader="none" w:pos="13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Rights Agent may rely on and be fully authorized and protected in acting or failing to act upon (i) any guaranty of signature by an “eligible guarantor institution” that is a member or participant in the Securities Transfer Agents Medallion Program or other comparable “signature guarantee program” or insurance program in addition to, or in substitution for, the foregoing; or (ii) any law, act, regulation or any interpretation of the same even though such law, act or regulation may thereafter have been altered, changed, amended or repealed.</w:t>
      </w:r>
    </w:p>
    <w:p>
      <w:pPr>
        <w:spacing w:after="0" w:line="171" w:lineRule="exact"/>
        <w:rPr>
          <w:rFonts w:ascii="Arial" w:cs="Arial" w:eastAsia="Arial" w:hAnsi="Arial"/>
          <w:sz w:val="17"/>
          <w:szCs w:val="17"/>
          <w:color w:val="auto"/>
        </w:rPr>
      </w:pPr>
    </w:p>
    <w:p>
      <w:pPr>
        <w:ind w:right="400" w:firstLine="921"/>
        <w:spacing w:after="0" w:line="308" w:lineRule="auto"/>
        <w:tabs>
          <w:tab w:leader="none" w:pos="13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Rights Agent shall not be liable or responsible for any failure of the Company to comply with any of its obligations relating to any registration statement filed with the Securities and Exchange Commission or this Plan, including obligations under applicable regulation or law.</w:t>
      </w:r>
    </w:p>
    <w:p>
      <w:pPr>
        <w:spacing w:after="0" w:line="14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i w:val="1"/>
          <w:iCs w:val="1"/>
          <w:color w:val="auto"/>
        </w:rPr>
        <w:t>Change of Rights Agent</w:t>
      </w:r>
      <w:r>
        <w:rPr>
          <w:rFonts w:ascii="Arial" w:cs="Arial" w:eastAsia="Arial" w:hAnsi="Arial"/>
          <w:sz w:val="16"/>
          <w:szCs w:val="16"/>
          <w:color w:val="auto"/>
        </w:rPr>
        <w:t xml:space="preserve">. The Rights Agent or any successor Rights Agent may resign and be discharged from its duties pursuant to this Plan upon 30 days’ written notice to the Company (or such lesser notice as is acceptable to the Company) and to each transfer agent of the Preferred Shares and the Common Shares (in the event that the Rights Agent or one of its Affiliates is not also such transfer agent), delivered to the Company in accordance with Section 27. In the event that any transfer agency relationship in effect between the Company and the Rights Agent or any of its Affiliates terminates, the Rights Agent will be deemed to have automatically resigned, and be discharged from its duties pursuant to this Plan, on the effective date of such termination, and the Company will be responsible for sending any required notices. The Company may remove the Rights Agent or any successor Rights Agent, with or without cause, upon 30 days’ notice in writing to the Rights Agent or any successor Rights Agent, as the case may be, and to each transfer agent of the Preferred Shares and the Common Shares (in the event that the Rights Agent or one of its Affiliates is not also such transfer agent), delivered to the Rights Agent in accordance with Section 27. If the Rights Agent resigns or is removed or otherwise becomes incapable of acting, then the resigning, removed or incapacitated Rights Agent must remit to the Company, or to any successor Rights Agent, all books, records, funds (other than any funds owed to the Rights Agent or its Affiliates under this Plan or under any other agreement or arrangement with the Company or its Affiliates), certificates or other documents or instruments of any kind then in its possession that were acquired by such resigning, removed or incapacitated Rights Agent in connection with its services as the Rights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Rights Agent may keep copies of same in accordance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74" w:right="239" w:bottom="1440" w:gutter="0" w:footer="0" w:header="0"/>
        </w:sectPr>
      </w:pPr>
    </w:p>
    <w:bookmarkStart w:id="58" w:name="page59"/>
    <w:bookmarkEnd w:id="58"/>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applicable law or its document retention policies or conventions. Following such removal, resignation or incapacity of the Rights Agent, the Company will appoint a successor to the Rights Agent. If the Company fails to make such appointment within a period of 30 days after giving written notice of such removal or after it has been notified in writing of such resignation or incapacity by the resigning or incapacitated Rights Agent or by the registered holder of a Rights Certificate (who must, together with such notice, submit such registered holder’s Rights Certificate for inspection by the Company), then such registered holder or the incumbent Rights Agent may apply, at the Company’s expense, to a court of competent jurisdiction for the appointment of a new Rights Agent. Any successor Rights Agent, whether appointed by the Company or by such court, must be either (a) a Person organized, in good standing and doing business pursuant to the laws of the United States or any state of the United States that is authorized pursuant to such laws to exercise corporate trust, stock transfer or stockholder services, is subject to supervision or examination by federal or state authorities and has at the time of its appointment as Rights Agent a combined capital and surplus of at least $50,000,000 or (b) an Affiliate or direct or indirect wholly owned Subsidiary of such Person. After appointment, the successor Rights Agent will be vested with the same powers, rights, duties and responsibilities as if it had been originally named as Rights Agent without further act or deed, and the predecessor Rights Agent must deliver and transfer to the successor Rights Agent any property at the time held by it hereunder, and execute and deliver any further assurance, conveyance, act or deed necessary for such purpose, but such predecessor Rights Agent shall not be required to make any additional expenditure or assume any additional liability in connection with the foregoing. Not later than the effective date of any such appointment, the Company will file notice thereof in writing with the predecessor Rights Agent and each transfer agent of the Preferred Shares and the Common Shares (in the event that the Rights Agent or one of its Affiliates is not also such transfer agent), and deliver such notice to the holders of Rights Certificates in accordance with Section 27. Notwithstanding anything to the contrary in this Plan, failure to give any notice provided for in this Section 21, or any defect therein, will not affect the legality or validity of the resignation or removal of the Rights Agent or the appointment of the successor Rights Agent, as the case may be. Upon appointment, any successor Rights Agent will, unless the context requires otherwise, be deemed to be the Rights Agent for all purposes of this Plan.</w:t>
      </w:r>
    </w:p>
    <w:p>
      <w:pPr>
        <w:spacing w:after="0" w:line="1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i w:val="1"/>
          <w:iCs w:val="1"/>
          <w:color w:val="auto"/>
        </w:rPr>
        <w:t>Issuance of New Rights Certificates</w:t>
      </w:r>
      <w:r>
        <w:rPr>
          <w:rFonts w:ascii="Arial" w:cs="Arial" w:eastAsia="Arial" w:hAnsi="Arial"/>
          <w:sz w:val="16"/>
          <w:szCs w:val="16"/>
          <w:color w:val="auto"/>
        </w:rPr>
        <w:t xml:space="preserve">. Notwithstanding anything to the contrary in this Plan or the Rights, the Company may, at its option, issue new Rights Certificates evidencing Rights in such form as may be approved by the Board to reflect any adjustment or change in the Exercise Price and the number or kind or class of shares or other securities or property purchasable pursuant to the Rights Certificates made in accordance with the provisions of this Plan. In addition, in connection with the issuance or sale of Common Shares following the Distribution Date and prior to the Expiration Date, the Company will, with respect to Common Shares so issued or sold (whether pursuant to the exercise of stock options or pursuant to any employee benefit plan or arrangement or upon the exercise, conversion or exchange of other securities of the Company outstanding as of the Rights Dividend Declaration Date or upon the exercise, conversion or exchange of securities issued by the Company after the Rights Dividend Declaration Date (except, in each case, as may otherwise be provided in the instruments governing such securities)), and may, in any other case, if deemed necessary or appropriate by the Board, issue Rights Certificates representing the appropriate number of Rights in connection with such issuance or sale;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no such Rights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274" w:right="279" w:bottom="1440" w:gutter="0" w:footer="0" w:header="0"/>
        </w:sectPr>
      </w:pPr>
    </w:p>
    <w:bookmarkStart w:id="59" w:name="page60"/>
    <w:bookmarkEnd w:id="59"/>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Certificate will be issued if, and to the extent that, the Company is advised by counsel that such issuance would create a significant risk of or result in material adverse tax consequences to the Company or the Person to whom such Rights Certificate would be issued or would create a significant risk of or result in such options or employee plans or arrangements failing to qualify for otherwise available special tax treatment; (b) no such Rights Certificate will be issued if, and to the extent that, appropriate adjustment will otherwise have been made in lieu of the issuance thereof; and (c) the Company will have no obligation to distribute Rights Certificates to any Acquiring Person, Affiliate or Associate of an Acquiring Person, Post-Event Transferee, Pre-Event Transferee, Subsequent Transferee or any nominee of any of the foregoing.</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i w:val="1"/>
          <w:iCs w:val="1"/>
          <w:color w:val="auto"/>
        </w:rPr>
        <w:t>Redemption</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89" w:lineRule="auto"/>
        <w:tabs>
          <w:tab w:leader="none" w:pos="1293" w:val="left"/>
        </w:tabs>
        <w:numPr>
          <w:ilvl w:val="0"/>
          <w:numId w:val="67"/>
        </w:numPr>
        <w:rPr>
          <w:rFonts w:ascii="Arial" w:cs="Arial" w:eastAsia="Arial" w:hAnsi="Arial"/>
          <w:sz w:val="16"/>
          <w:szCs w:val="16"/>
          <w:color w:val="auto"/>
        </w:rPr>
      </w:pPr>
      <w:r>
        <w:rPr>
          <w:rFonts w:ascii="Arial" w:cs="Arial" w:eastAsia="Arial" w:hAnsi="Arial"/>
          <w:sz w:val="16"/>
          <w:szCs w:val="16"/>
          <w:i w:val="1"/>
          <w:iCs w:val="1"/>
          <w:color w:val="auto"/>
        </w:rPr>
        <w:t>Right to Redeem</w:t>
      </w:r>
      <w:r>
        <w:rPr>
          <w:rFonts w:ascii="Arial" w:cs="Arial" w:eastAsia="Arial" w:hAnsi="Arial"/>
          <w:sz w:val="16"/>
          <w:szCs w:val="16"/>
          <w:color w:val="auto"/>
        </w:rPr>
        <w:t>. The Board may, at its option, at any time prior to the earlier of (i) the Distribution Date or (ii) the Close of Business on the</w:t>
      </w:r>
      <w:r>
        <w:rPr>
          <w:rFonts w:ascii="Arial" w:cs="Arial" w:eastAsia="Arial" w:hAnsi="Arial"/>
          <w:sz w:val="16"/>
          <w:szCs w:val="16"/>
          <w:i w:val="1"/>
          <w:iCs w:val="1"/>
          <w:color w:val="auto"/>
        </w:rPr>
        <w:t xml:space="preserve"> </w:t>
      </w:r>
      <w:r>
        <w:rPr>
          <w:rFonts w:ascii="Arial" w:cs="Arial" w:eastAsia="Arial" w:hAnsi="Arial"/>
          <w:sz w:val="16"/>
          <w:szCs w:val="16"/>
          <w:color w:val="auto"/>
        </w:rPr>
        <w:t>Final Expiration Date, redeem all but not less than all of the then outstanding Rights at a redemption price of $0.01 per Right, as such amount may be appropriately adjusted to reflect any stock split, stock dividend, recapitalization or similar transaction occurring after the Rights Dividend Declaration Date (such redemption price, the “</w:t>
      </w:r>
      <w:r>
        <w:rPr>
          <w:rFonts w:ascii="Arial" w:cs="Arial" w:eastAsia="Arial" w:hAnsi="Arial"/>
          <w:sz w:val="16"/>
          <w:szCs w:val="16"/>
          <w:b w:val="1"/>
          <w:bCs w:val="1"/>
          <w:color w:val="auto"/>
        </w:rPr>
        <w:t>Redemption Price</w:t>
      </w:r>
      <w:r>
        <w:rPr>
          <w:rFonts w:ascii="Arial" w:cs="Arial" w:eastAsia="Arial" w:hAnsi="Arial"/>
          <w:sz w:val="16"/>
          <w:szCs w:val="16"/>
          <w:color w:val="auto"/>
        </w:rPr>
        <w:t>”). Notwithstanding anything to the contrary in this Plan, the Rights will not be exercisable after the first occurrence of a Section 11(a)(ii) Event until such time as the Company’s right of redemption pursuant to this Section 23 has expired. The Company may, at its option, pay the Redemption Price in Common Shares (based on the Current Per Share Market Price of Common Shares at the time of redemption), cash or any other form of consideration deemed appropriate by the Board, in its sole discretion, to be at least equivalent to the Redemption Price. Such redemption of the Rights by the Board may be made effective at such time, on such basis and with such conditions as the Board in its sole discretion may establish. The date on which the Board elects to make the redemption effective is referred to as the “</w:t>
      </w:r>
      <w:r>
        <w:rPr>
          <w:rFonts w:ascii="Arial" w:cs="Arial" w:eastAsia="Arial" w:hAnsi="Arial"/>
          <w:sz w:val="16"/>
          <w:szCs w:val="16"/>
          <w:b w:val="1"/>
          <w:bCs w:val="1"/>
          <w:color w:val="auto"/>
        </w:rPr>
        <w:t>Redemption Date</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ind w:right="20" w:firstLine="921"/>
        <w:spacing w:after="0" w:line="253" w:lineRule="auto"/>
        <w:tabs>
          <w:tab w:leader="none" w:pos="1303"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General Redemption Procedures</w:t>
      </w:r>
      <w:r>
        <w:rPr>
          <w:rFonts w:ascii="Arial" w:cs="Arial" w:eastAsia="Arial" w:hAnsi="Arial"/>
          <w:sz w:val="18"/>
          <w:szCs w:val="18"/>
          <w:color w:val="auto"/>
        </w:rPr>
        <w:t>. Immediately upon the action of the Board ordering the redemption of the Rights (or at such later time 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Board may establish for the effectiveness of such redemption), evidence of which will have been filed with the Rights Agent, and without any further action and without any notice, the right to exercise the Rights will terminate and the only right thereafter of the holders of Rights will be to receive the Redemption Price for each Right so held. The Company will promptly give public notice of any such redemption (with prompt written notice thereof also provided to the Rights Agent). Promptly after the action of the Board ordering the redemption of the Rights, the Company will give, or cause to be given, notice of such redemption to the holders of Rights Certificates in accordance with Section 27;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any notice that is so provided will be deemed given, whether or not the holder receives the notice. Each such notice of redemption must state the method by which the payment of the Redemption Price is to be made. The failure to give, or any defect in, any notice required by this Section 23 will not affect the legality or validity of the action taken by the Board or of the redemption.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74" w:right="239" w:bottom="1440" w:gutter="0" w:footer="0" w:header="0"/>
        </w:sectPr>
      </w:pPr>
    </w:p>
    <w:bookmarkStart w:id="60" w:name="page61"/>
    <w:bookmarkEnd w:id="60"/>
    <w:p>
      <w:pPr>
        <w:ind w:left="-20" w:right="80" w:firstLine="921"/>
        <w:spacing w:after="0" w:line="255" w:lineRule="auto"/>
        <w:tabs>
          <w:tab w:leader="none" w:pos="1273"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Discharge of Obligations</w:t>
      </w:r>
      <w:r>
        <w:rPr>
          <w:rFonts w:ascii="Arial" w:cs="Arial" w:eastAsia="Arial" w:hAnsi="Arial"/>
          <w:sz w:val="18"/>
          <w:szCs w:val="18"/>
          <w:color w:val="auto"/>
        </w:rPr>
        <w:t>. Notwithstanding anything to the contrary in this Plan, in the event of a redemption pursuant to Section 23(a),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may, at its option, discharge all of its obligations with respect to the Rights by (i) issuing a press release or making a publicly-available filing with the Securities and Exchange Commission announcing the manner of redemption of the Rights and (ii) mailing payment of the Redemption Price to the holders of Rights at the addresses of such holders as shown on the transfer books of the Rights Agent or, prior to the Distribution Date, on the transfer books of the Company or the transfer agent for the Common Shares, and upon such action, all outstanding Rights Certificates will be null and void without any further action by the Company.</w:t>
      </w:r>
    </w:p>
    <w:p>
      <w:pPr>
        <w:spacing w:after="0" w:line="193" w:lineRule="exact"/>
        <w:rPr>
          <w:rFonts w:ascii="Arial" w:cs="Arial" w:eastAsia="Arial" w:hAnsi="Arial"/>
          <w:sz w:val="18"/>
          <w:szCs w:val="18"/>
          <w:color w:val="auto"/>
        </w:rPr>
      </w:pPr>
    </w:p>
    <w:p>
      <w:pPr>
        <w:ind w:left="-20" w:right="300" w:firstLine="921"/>
        <w:spacing w:after="0" w:line="264" w:lineRule="auto"/>
        <w:tabs>
          <w:tab w:leader="none" w:pos="1283"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Prohibited Purchases</w:t>
      </w:r>
      <w:r>
        <w:rPr>
          <w:rFonts w:ascii="Arial" w:cs="Arial" w:eastAsia="Arial" w:hAnsi="Arial"/>
          <w:sz w:val="18"/>
          <w:szCs w:val="18"/>
          <w:color w:val="auto"/>
        </w:rPr>
        <w:t>. Notwithstanding anything to the contrary in this Plan, neither the Company nor any of its Affiliates or Associates</w:t>
      </w:r>
      <w:r>
        <w:rPr>
          <w:rFonts w:ascii="Arial" w:cs="Arial" w:eastAsia="Arial" w:hAnsi="Arial"/>
          <w:sz w:val="18"/>
          <w:szCs w:val="18"/>
          <w:i w:val="1"/>
          <w:iCs w:val="1"/>
          <w:color w:val="auto"/>
        </w:rPr>
        <w:t xml:space="preserve"> </w:t>
      </w:r>
      <w:r>
        <w:rPr>
          <w:rFonts w:ascii="Arial" w:cs="Arial" w:eastAsia="Arial" w:hAnsi="Arial"/>
          <w:sz w:val="18"/>
          <w:szCs w:val="18"/>
          <w:color w:val="auto"/>
        </w:rPr>
        <w:t>may redeem, acquire or purchase for value any Rights at any time in any manner other than as specifically set forth in this Section 23 or in Section 24, or other than in connection with the purchase or repurchase of Common Shares prior to the Distribution Date.</w:t>
      </w:r>
    </w:p>
    <w:p>
      <w:pPr>
        <w:spacing w:after="0" w:line="2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i w:val="1"/>
          <w:iCs w:val="1"/>
          <w:color w:val="auto"/>
        </w:rPr>
        <w:t>Exchange</w:t>
      </w:r>
      <w:r>
        <w:rPr>
          <w:rFonts w:ascii="Arial" w:cs="Arial" w:eastAsia="Arial" w:hAnsi="Arial"/>
          <w:sz w:val="18"/>
          <w:szCs w:val="18"/>
          <w:color w:val="auto"/>
        </w:rPr>
        <w:t>.</w:t>
      </w:r>
    </w:p>
    <w:p>
      <w:pPr>
        <w:spacing w:after="0" w:line="117" w:lineRule="exact"/>
        <w:rPr>
          <w:sz w:val="20"/>
          <w:szCs w:val="20"/>
          <w:color w:val="auto"/>
        </w:rPr>
      </w:pPr>
    </w:p>
    <w:p>
      <w:pPr>
        <w:ind w:left="-20" w:right="20" w:firstLine="921"/>
        <w:spacing w:after="0" w:line="270" w:lineRule="auto"/>
        <w:tabs>
          <w:tab w:leader="none" w:pos="1273" w:val="left"/>
        </w:tabs>
        <w:numPr>
          <w:ilvl w:val="0"/>
          <w:numId w:val="69"/>
        </w:numPr>
        <w:rPr>
          <w:rFonts w:ascii="Arial" w:cs="Arial" w:eastAsia="Arial" w:hAnsi="Arial"/>
          <w:sz w:val="17"/>
          <w:szCs w:val="17"/>
          <w:color w:val="auto"/>
        </w:rPr>
      </w:pPr>
      <w:r>
        <w:rPr>
          <w:rFonts w:ascii="Arial" w:cs="Arial" w:eastAsia="Arial" w:hAnsi="Arial"/>
          <w:sz w:val="17"/>
          <w:szCs w:val="17"/>
          <w:i w:val="1"/>
          <w:iCs w:val="1"/>
          <w:color w:val="auto"/>
        </w:rPr>
        <w:t>Exchange of Common Shares for Rights</w:t>
      </w:r>
      <w:r>
        <w:rPr>
          <w:rFonts w:ascii="Arial" w:cs="Arial" w:eastAsia="Arial" w:hAnsi="Arial"/>
          <w:sz w:val="17"/>
          <w:szCs w:val="17"/>
          <w:color w:val="auto"/>
        </w:rPr>
        <w:t>. The Board may, at its option, at any time after any Person becomes an Acquiring Person, exchange</w:t>
      </w:r>
      <w:r>
        <w:rPr>
          <w:rFonts w:ascii="Arial" w:cs="Arial" w:eastAsia="Arial" w:hAnsi="Arial"/>
          <w:sz w:val="17"/>
          <w:szCs w:val="17"/>
          <w:i w:val="1"/>
          <w:iCs w:val="1"/>
          <w:color w:val="auto"/>
        </w:rPr>
        <w:t xml:space="preserve"> </w:t>
      </w:r>
      <w:r>
        <w:rPr>
          <w:rFonts w:ascii="Arial" w:cs="Arial" w:eastAsia="Arial" w:hAnsi="Arial"/>
          <w:sz w:val="17"/>
          <w:szCs w:val="17"/>
          <w:color w:val="auto"/>
        </w:rPr>
        <w:t>all or part of the then outstanding and exercisable Rights (which will not include Rights that have become null and void pursuant to the provisions of Section 7(e)) for Common Shares at an exchange ratio of one Common Share per Right, appropriately adjusted to reflect any stock split, stock dividend, recapitalization or similar transaction occurring after the Rights Dividend Declaration Date (such exchange ratio, the “</w:t>
      </w:r>
      <w:r>
        <w:rPr>
          <w:rFonts w:ascii="Arial" w:cs="Arial" w:eastAsia="Arial" w:hAnsi="Arial"/>
          <w:sz w:val="17"/>
          <w:szCs w:val="17"/>
          <w:b w:val="1"/>
          <w:bCs w:val="1"/>
          <w:color w:val="auto"/>
        </w:rPr>
        <w:t>Exchange Ratio</w:t>
      </w:r>
      <w:r>
        <w:rPr>
          <w:rFonts w:ascii="Arial" w:cs="Arial" w:eastAsia="Arial" w:hAnsi="Arial"/>
          <w:sz w:val="17"/>
          <w:szCs w:val="17"/>
          <w:color w:val="auto"/>
        </w:rPr>
        <w:t>,” and such determination by the Board to effect such exchange, an “</w:t>
      </w:r>
      <w:r>
        <w:rPr>
          <w:rFonts w:ascii="Arial" w:cs="Arial" w:eastAsia="Arial" w:hAnsi="Arial"/>
          <w:sz w:val="17"/>
          <w:szCs w:val="17"/>
          <w:b w:val="1"/>
          <w:bCs w:val="1"/>
          <w:color w:val="auto"/>
        </w:rPr>
        <w:t>Exchange Determination</w:t>
      </w:r>
      <w:r>
        <w:rPr>
          <w:rFonts w:ascii="Arial" w:cs="Arial" w:eastAsia="Arial" w:hAnsi="Arial"/>
          <w:sz w:val="17"/>
          <w:szCs w:val="17"/>
          <w:color w:val="auto"/>
        </w:rPr>
        <w:t>”). Notwithstanding the foregoing, the Board is not empowered to effect an Exchange Determination at any time after any Person (other than any Exempt Person), together with all Affiliates and Associates of such Person, becomes the Beneficial Owner of 50% or more of the Common Shares then outstanding. Notwithstanding the foregoing, from and after the occurrence of a Section 13 Event, any Rights that theretofore have not been exchanged pursuant to this Section 24(a) will thereafter be exercisable only in accordance with Section 13 and may not be exchanged (or eligible for exchange) pursuant to this Section 24(a).</w:t>
      </w:r>
    </w:p>
    <w:p>
      <w:pPr>
        <w:spacing w:after="0" w:line="289" w:lineRule="exact"/>
        <w:rPr>
          <w:rFonts w:ascii="Arial" w:cs="Arial" w:eastAsia="Arial" w:hAnsi="Arial"/>
          <w:sz w:val="17"/>
          <w:szCs w:val="17"/>
          <w:color w:val="auto"/>
        </w:rPr>
      </w:pPr>
    </w:p>
    <w:p>
      <w:pPr>
        <w:ind w:left="1300" w:hanging="399"/>
        <w:spacing w:after="0"/>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Exchange Procedures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 w:firstLine="1492"/>
        <w:spacing w:after="0" w:line="271" w:lineRule="auto"/>
        <w:tabs>
          <w:tab w:leader="none" w:pos="1813" w:val="left"/>
        </w:tabs>
        <w:numPr>
          <w:ilvl w:val="1"/>
          <w:numId w:val="69"/>
        </w:numPr>
        <w:rPr>
          <w:rFonts w:ascii="Arial" w:cs="Arial" w:eastAsia="Arial" w:hAnsi="Arial"/>
          <w:sz w:val="17"/>
          <w:szCs w:val="17"/>
          <w:color w:val="auto"/>
        </w:rPr>
      </w:pPr>
      <w:r>
        <w:rPr>
          <w:rFonts w:ascii="Arial" w:cs="Arial" w:eastAsia="Arial" w:hAnsi="Arial"/>
          <w:sz w:val="17"/>
          <w:szCs w:val="17"/>
          <w:color w:val="auto"/>
        </w:rPr>
        <w:t xml:space="preserve">Immediately following an Exchange Determination and without any further action or notice, the right to exercise such Rights will terminate and the only right thereafter of a holder of such Rights is to receive that number of Common Shares equal to the number of such Rights held by such holder multiplied by the Exchange Ratio. The Company will promptly give public notice of any such exchange (with prompt written notice thereof also provided to the Rights Agent), and thereafter will promptly give, or cause to be given, notice of such exchange to the holders of the then outstanding Rights (other than Rights that have become null and void pursuant to the provisions of Section 7(e)) by mailing such notice, in accordance with Section 27;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notice that is so provided will be deemed given, whether or not the holder receives the notice. Each such notice of exchange must state the</w:t>
      </w:r>
      <w:r>
        <w:rPr>
          <w:rFonts w:ascii="Arial" w:cs="Arial" w:eastAsia="Arial" w:hAnsi="Arial"/>
          <w:sz w:val="17"/>
          <w:szCs w:val="17"/>
          <w:i w:val="1"/>
          <w:iCs w:val="1"/>
          <w:color w:val="auto"/>
        </w:rPr>
        <w:t xml:space="preserve"> </w:t>
      </w:r>
      <w:r>
        <w:rPr>
          <w:rFonts w:ascii="Arial" w:cs="Arial" w:eastAsia="Arial" w:hAnsi="Arial"/>
          <w:sz w:val="17"/>
          <w:szCs w:val="17"/>
          <w:color w:val="auto"/>
        </w:rPr>
        <w:t>method by which the exchange of Common Shares for Rights is to be effected (including the actions that must be taken by the holders of Rights to receive Common Shares in exchange for Rights) and, in the event of any partial exchange, the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60" w:top="274" w:right="259" w:bottom="1440" w:gutter="0" w:footer="0" w:header="0"/>
        </w:sectPr>
      </w:pPr>
    </w:p>
    <w:bookmarkStart w:id="61" w:name="page62"/>
    <w:bookmarkEnd w:id="61"/>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number of Rights that are to be exchanged. Any partial exchange will be effected pro rata based on the number of Rights (other than Rights that have become null and void pursuant to the provisions of Section 7(e)) held by each holder of Rights. Following an Exchange Determination, the Company may implement such procedures as it deems appropriate, in its sole discretion, to minimize the possibility that any Common Shares (or other consideration) issuable pursuant to this Section 24 are received by Persons whose Rights are null and void pursuant to Section 7(e). Prior to effecting any exchange, the Company may require, or cause the trustee of the Trust to require, as a condition thereof, that any registered holder of Rights provide such evidence (including the identity of the Beneficial Owner (or former Beneficial Owner) thereof and the Affiliates or Associates of such Beneficial Owner or former Beneficial Owner) as the Company may reasonably request in order to determine if such Rights are null and void pursuant to Section 7(e). If such registered holder does not comply with the foregoing requirements, then the Company will be entitled to conclusively deem such Rights to be Beneficially Owned by an Acquiring Person (or an Affiliate or Associate of an Acquiring Person, a Post-Event Transferee, a Pre-Event Transferee, a Subsequent Transferee or any nominee of any of the foregoing) and, accordingly, such Rights will be null and void and not exchangeable in connection herewith. Any Common Shares (or other securities) issued at the direction of the Board in connection with an Exchange Determination will be duly and validly authorized and issued and fully paid and nonassessable, and the Company will be deemed to have received as consideration for such issuance a benefit having a value that is at least equal to the aggregate par value of the Common Shares (or other securities) so issued. The failure to give, or any defect in, any notice required by this Section 24 will not affect the legality or validity of the action taken by the Board or of such exchange.</w:t>
      </w:r>
    </w:p>
    <w:p>
      <w:pPr>
        <w:spacing w:after="0" w:line="172" w:lineRule="exact"/>
        <w:rPr>
          <w:sz w:val="20"/>
          <w:szCs w:val="20"/>
          <w:color w:val="auto"/>
        </w:rPr>
      </w:pPr>
    </w:p>
    <w:p>
      <w:pPr>
        <w:ind w:right="20" w:firstLine="1492"/>
        <w:spacing w:after="0" w:line="270" w:lineRule="auto"/>
        <w:tabs>
          <w:tab w:leader="none" w:pos="1880" w:val="left"/>
        </w:tabs>
        <w:numPr>
          <w:ilvl w:val="1"/>
          <w:numId w:val="70"/>
        </w:numPr>
        <w:rPr>
          <w:rFonts w:ascii="Arial" w:cs="Arial" w:eastAsia="Arial" w:hAnsi="Arial"/>
          <w:sz w:val="17"/>
          <w:szCs w:val="17"/>
          <w:color w:val="auto"/>
        </w:rPr>
      </w:pPr>
      <w:r>
        <w:rPr>
          <w:rFonts w:ascii="Arial" w:cs="Arial" w:eastAsia="Arial" w:hAnsi="Arial"/>
          <w:sz w:val="17"/>
          <w:szCs w:val="17"/>
          <w:color w:val="auto"/>
        </w:rPr>
        <w:t>The exchange of the Rights pursuant to Section 24(a) may be made effective at such time, on such basis and with such conditions as the Board, in its sole discretion, may establish. Without limiting the foregoing, prior to effecting an exchange pursuant to Section 24(a), the Board may direct the Company to enter into a trust agreement in such form and with such terms as the Board approves (the “</w:t>
      </w:r>
      <w:r>
        <w:rPr>
          <w:rFonts w:ascii="Arial" w:cs="Arial" w:eastAsia="Arial" w:hAnsi="Arial"/>
          <w:sz w:val="17"/>
          <w:szCs w:val="17"/>
          <w:b w:val="1"/>
          <w:bCs w:val="1"/>
          <w:color w:val="auto"/>
        </w:rPr>
        <w:t>Trust Agreement</w:t>
      </w:r>
      <w:r>
        <w:rPr>
          <w:rFonts w:ascii="Arial" w:cs="Arial" w:eastAsia="Arial" w:hAnsi="Arial"/>
          <w:sz w:val="17"/>
          <w:szCs w:val="17"/>
          <w:color w:val="auto"/>
        </w:rPr>
        <w:t>”). If the Board so directs, then the Company must enter into the Trust Agreement and must issue to the trust created by such agreement (the “</w:t>
      </w:r>
      <w:r>
        <w:rPr>
          <w:rFonts w:ascii="Arial" w:cs="Arial" w:eastAsia="Arial" w:hAnsi="Arial"/>
          <w:sz w:val="17"/>
          <w:szCs w:val="17"/>
          <w:b w:val="1"/>
          <w:bCs w:val="1"/>
          <w:color w:val="auto"/>
        </w:rPr>
        <w:t>Trust</w:t>
      </w:r>
      <w:r>
        <w:rPr>
          <w:rFonts w:ascii="Arial" w:cs="Arial" w:eastAsia="Arial" w:hAnsi="Arial"/>
          <w:sz w:val="17"/>
          <w:szCs w:val="17"/>
          <w:color w:val="auto"/>
        </w:rPr>
        <w:t>”) all of the Common Shares (or other consideration) issuable pursuant to the exchange (or any portion thereof that has not theretofore been issued in connection with the exchange). From and after the time at which such Common Shares (or other consideration) are issued to the Trust, all stockholders then entitled to receive Common Shares (or other consideration) pursuant to the exchange will be entitled to receive such shares or consideration (and any dividends or distributions made thereon after the date on which such shares or consideration are deposited into the Trust) only from the Trust and solely upon compliance with the relevant terms and provisions of the Trust Agreement.</w:t>
      </w:r>
    </w:p>
    <w:p>
      <w:pPr>
        <w:spacing w:after="0" w:line="181" w:lineRule="exact"/>
        <w:rPr>
          <w:rFonts w:ascii="Arial" w:cs="Arial" w:eastAsia="Arial" w:hAnsi="Arial"/>
          <w:sz w:val="17"/>
          <w:szCs w:val="17"/>
          <w:color w:val="auto"/>
        </w:rPr>
      </w:pPr>
    </w:p>
    <w:p>
      <w:pPr>
        <w:ind w:right="40" w:firstLine="921"/>
        <w:spacing w:after="0" w:line="279" w:lineRule="auto"/>
        <w:tabs>
          <w:tab w:leader="none" w:pos="1293" w:val="left"/>
        </w:tabs>
        <w:numPr>
          <w:ilvl w:val="0"/>
          <w:numId w:val="71"/>
        </w:numPr>
        <w:rPr>
          <w:rFonts w:ascii="Arial" w:cs="Arial" w:eastAsia="Arial" w:hAnsi="Arial"/>
          <w:sz w:val="17"/>
          <w:szCs w:val="17"/>
          <w:color w:val="auto"/>
        </w:rPr>
      </w:pPr>
      <w:r>
        <w:rPr>
          <w:rFonts w:ascii="Arial" w:cs="Arial" w:eastAsia="Arial" w:hAnsi="Arial"/>
          <w:sz w:val="17"/>
          <w:szCs w:val="17"/>
          <w:i w:val="1"/>
          <w:iCs w:val="1"/>
          <w:color w:val="auto"/>
        </w:rPr>
        <w:t>Insufficient Shares</w:t>
      </w:r>
      <w:r>
        <w:rPr>
          <w:rFonts w:ascii="Arial" w:cs="Arial" w:eastAsia="Arial" w:hAnsi="Arial"/>
          <w:sz w:val="17"/>
          <w:szCs w:val="17"/>
          <w:color w:val="auto"/>
        </w:rPr>
        <w:t>. In the event that there are not sufficient Common Shares issued but not outstanding or authorized but unissued to permit</w:t>
      </w:r>
      <w:r>
        <w:rPr>
          <w:rFonts w:ascii="Arial" w:cs="Arial" w:eastAsia="Arial" w:hAnsi="Arial"/>
          <w:sz w:val="17"/>
          <w:szCs w:val="17"/>
          <w:i w:val="1"/>
          <w:iCs w:val="1"/>
          <w:color w:val="auto"/>
        </w:rPr>
        <w:t xml:space="preserve"> </w:t>
      </w:r>
      <w:r>
        <w:rPr>
          <w:rFonts w:ascii="Arial" w:cs="Arial" w:eastAsia="Arial" w:hAnsi="Arial"/>
          <w:sz w:val="17"/>
          <w:szCs w:val="17"/>
          <w:color w:val="auto"/>
        </w:rPr>
        <w:t>any exchange of Rights as contemplated in accordance with Section 24(a), then the Company will either take such action as may be necessary to authorize additional Common Shares for issuance upon exchange of the Rights or alternatively, at the option of the Board, with respect to each Right (i) pay cash in an amount equal to the Current Exchange Value in lieu of issuing Common Shares in exchange therefor;</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74" w:right="239" w:bottom="1440" w:gutter="0" w:footer="0" w:header="0"/>
        </w:sectPr>
      </w:pPr>
    </w:p>
    <w:bookmarkStart w:id="62" w:name="page63"/>
    <w:bookmarkEnd w:id="62"/>
    <w:p>
      <w:pPr>
        <w:ind w:left="-8" w:right="60" w:firstLine="8"/>
        <w:spacing w:after="0" w:line="288" w:lineRule="auto"/>
        <w:tabs>
          <w:tab w:leader="none" w:pos="257" w:val="left"/>
        </w:tabs>
        <w:numPr>
          <w:ilvl w:val="0"/>
          <w:numId w:val="7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issue debt or equity securities (or a combination thereof) having a value equal to the Current Exchange Value in lieu of issuing Common Shares in exchange for each such Right, where the value of such securities will be determined by the Board based upon the advice of a nationally recognized investment banking firm selected by the Board, which determination will be described in a written statement filed with the Rights Agent and will be binding on the Rights Agent and the holders of Rights; or (iii) deliver any combination of cash, property, Common Shares, Preferred Shares, Equivalent Shares or other securities having a value equal to the Current Exchange Value in exchange for each Right. To the extent that the Company determines that some action need be taken pursuant to this Section 24(c), then the Board may temporarily suspend the exercisability of the Rights for a period of up to 120 days following the date on which the Exchange Determination has occurred in order to seek any authorization of additional Common Shares or to decide the appropriate form of distribution to be made pursuant to the above provision and to determine the value thereof. Upon any such suspension, the Company will issue a public announcement stating, and notify the Rights Agent in writing, that the exercisability of the Rights has been temporarily suspended, as well as issue a public announcement, and notify the Rights Agent in writing, at such time as the suspension is no longer in effect.</w:t>
      </w:r>
    </w:p>
    <w:p>
      <w:pPr>
        <w:spacing w:after="0" w:line="169" w:lineRule="exact"/>
        <w:rPr>
          <w:rFonts w:ascii="Arial" w:cs="Arial" w:eastAsia="Arial" w:hAnsi="Arial"/>
          <w:sz w:val="16"/>
          <w:szCs w:val="16"/>
          <w:color w:val="auto"/>
        </w:rPr>
      </w:pPr>
    </w:p>
    <w:p>
      <w:pPr>
        <w:ind w:left="-8" w:right="120" w:firstLine="921"/>
        <w:spacing w:after="0" w:line="257" w:lineRule="auto"/>
        <w:tabs>
          <w:tab w:leader="none" w:pos="1295" w:val="left"/>
        </w:tabs>
        <w:numPr>
          <w:ilvl w:val="1"/>
          <w:numId w:val="72"/>
        </w:numPr>
        <w:rPr>
          <w:rFonts w:ascii="Arial" w:cs="Arial" w:eastAsia="Arial" w:hAnsi="Arial"/>
          <w:sz w:val="18"/>
          <w:szCs w:val="18"/>
          <w:color w:val="auto"/>
        </w:rPr>
      </w:pPr>
      <w:r>
        <w:rPr>
          <w:rFonts w:ascii="Arial" w:cs="Arial" w:eastAsia="Arial" w:hAnsi="Arial"/>
          <w:sz w:val="18"/>
          <w:szCs w:val="18"/>
          <w:i w:val="1"/>
          <w:iCs w:val="1"/>
          <w:color w:val="auto"/>
        </w:rPr>
        <w:t>Cash in Lieu of Fractional Common Shares</w:t>
      </w:r>
      <w:r>
        <w:rPr>
          <w:rFonts w:ascii="Arial" w:cs="Arial" w:eastAsia="Arial" w:hAnsi="Arial"/>
          <w:sz w:val="18"/>
          <w:szCs w:val="18"/>
          <w:color w:val="auto"/>
        </w:rPr>
        <w:t>. In connection with an Exchange Determination, the Company will not be required to issue</w:t>
      </w:r>
      <w:r>
        <w:rPr>
          <w:rFonts w:ascii="Arial" w:cs="Arial" w:eastAsia="Arial" w:hAnsi="Arial"/>
          <w:sz w:val="18"/>
          <w:szCs w:val="18"/>
          <w:i w:val="1"/>
          <w:iCs w:val="1"/>
          <w:color w:val="auto"/>
        </w:rPr>
        <w:t xml:space="preserve"> </w:t>
      </w:r>
      <w:r>
        <w:rPr>
          <w:rFonts w:ascii="Arial" w:cs="Arial" w:eastAsia="Arial" w:hAnsi="Arial"/>
          <w:sz w:val="18"/>
          <w:szCs w:val="18"/>
          <w:color w:val="auto"/>
        </w:rPr>
        <w:t>fractions of Common Shares or to distribute certificates that evidence fractional Common Shares. In lieu of such fractional Common Shares, the Company may pay to the registered holders of Rights Certificates with regard to which such fractional Common Shares would otherwise be issuable an amount in cash equal to the same fraction of the Current Per Share Market Price of a Common Share, calculated as of the Trading Day immediately prior to the date of the Exchange Determination</w:t>
      </w:r>
    </w:p>
    <w:p>
      <w:pPr>
        <w:spacing w:after="0" w:line="296" w:lineRule="exact"/>
        <w:rPr>
          <w:sz w:val="20"/>
          <w:szCs w:val="20"/>
          <w:color w:val="auto"/>
        </w:rPr>
      </w:pPr>
    </w:p>
    <w:p>
      <w:pPr>
        <w:ind w:left="452"/>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i w:val="1"/>
          <w:iCs w:val="1"/>
          <w:color w:val="auto"/>
        </w:rPr>
        <w:t>Process to Seek Exemption Prior to Trigger Event</w:t>
      </w:r>
      <w:r>
        <w:rPr>
          <w:rFonts w:ascii="Arial" w:cs="Arial" w:eastAsia="Arial" w:hAnsi="Arial"/>
          <w:sz w:val="18"/>
          <w:szCs w:val="18"/>
          <w:color w:val="auto"/>
        </w:rPr>
        <w:t>.</w:t>
      </w:r>
    </w:p>
    <w:p>
      <w:pPr>
        <w:spacing w:after="0" w:line="117" w:lineRule="exact"/>
        <w:rPr>
          <w:sz w:val="20"/>
          <w:szCs w:val="20"/>
          <w:color w:val="auto"/>
        </w:rPr>
      </w:pPr>
    </w:p>
    <w:p>
      <w:pPr>
        <w:ind w:left="-8" w:firstLine="921"/>
        <w:spacing w:after="0" w:line="287" w:lineRule="auto"/>
        <w:tabs>
          <w:tab w:leader="none" w:pos="1285"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Waiver Prior to a Stock Acquisition Date</w:t>
      </w:r>
      <w:r>
        <w:rPr>
          <w:rFonts w:ascii="Arial" w:cs="Arial" w:eastAsia="Arial" w:hAnsi="Arial"/>
          <w:sz w:val="16"/>
          <w:szCs w:val="16"/>
          <w:color w:val="auto"/>
        </w:rPr>
        <w:t>. Any Person who desires to effect any acquisition of Common Stock that would, if consummated,</w:t>
      </w:r>
      <w:r>
        <w:rPr>
          <w:rFonts w:ascii="Arial" w:cs="Arial" w:eastAsia="Arial" w:hAnsi="Arial"/>
          <w:sz w:val="16"/>
          <w:szCs w:val="16"/>
          <w:i w:val="1"/>
          <w:iCs w:val="1"/>
          <w:color w:val="auto"/>
        </w:rPr>
        <w:t xml:space="preserve"> </w:t>
      </w:r>
      <w:r>
        <w:rPr>
          <w:rFonts w:ascii="Arial" w:cs="Arial" w:eastAsia="Arial" w:hAnsi="Arial"/>
          <w:sz w:val="16"/>
          <w:szCs w:val="16"/>
          <w:color w:val="auto"/>
        </w:rPr>
        <w:t>result in such Person beneficially owning 4.99% or more of the then outstanding Common Shares (a “</w:t>
      </w:r>
      <w:r>
        <w:rPr>
          <w:rFonts w:ascii="Arial" w:cs="Arial" w:eastAsia="Arial" w:hAnsi="Arial"/>
          <w:sz w:val="16"/>
          <w:szCs w:val="16"/>
          <w:b w:val="1"/>
          <w:bCs w:val="1"/>
          <w:color w:val="auto"/>
        </w:rPr>
        <w:t>Requesting Person</w:t>
      </w:r>
      <w:r>
        <w:rPr>
          <w:rFonts w:ascii="Arial" w:cs="Arial" w:eastAsia="Arial" w:hAnsi="Arial"/>
          <w:sz w:val="16"/>
          <w:szCs w:val="16"/>
          <w:color w:val="auto"/>
        </w:rPr>
        <w:t>”) may, prior to the Stock Acquisition Date and in accordance with this Section 25(a), request that the Board grant an exemption with respect to such acquisition under this Plan so that such Person would be deemed to be an “Exempt Person” under subsection (ii) of Section 1(v) for purposes of this Plan (an “</w:t>
      </w:r>
      <w:r>
        <w:rPr>
          <w:rFonts w:ascii="Arial" w:cs="Arial" w:eastAsia="Arial" w:hAnsi="Arial"/>
          <w:sz w:val="16"/>
          <w:szCs w:val="16"/>
          <w:b w:val="1"/>
          <w:bCs w:val="1"/>
          <w:color w:val="auto"/>
        </w:rPr>
        <w:t>Exemption Request</w:t>
      </w:r>
      <w:r>
        <w:rPr>
          <w:rFonts w:ascii="Arial" w:cs="Arial" w:eastAsia="Arial" w:hAnsi="Arial"/>
          <w:sz w:val="16"/>
          <w:szCs w:val="16"/>
          <w:color w:val="auto"/>
        </w:rPr>
        <w:t>”). An Exemption Request must be in proper form and must be delivered by overnight delivery service or first-class mail, postage prepaid, to the Secretary of the Company at the principal executive office of the Company. The Exemption Request must be deemed made upon receipt by the Secretary of the Company. To be in proper form, an Exemption Request must set forth (i) the name and address of the Requesting Person, (ii) the number and percentage of Common Shares then Beneficially Owned by the Requesting Person, together with all Affiliates and Associates of the Requesting Person, and (iii) a reasonably detailed description of the transaction or transactions by which the Requesting Person would propose to acquire Beneficial Ownership of Common Shares aggregating 4.99% or more of the then outstanding Common Shares and the maximum number and percentage of shares of Common Shares that the Requesting Person proposes to acquire. The Board will make a determination whether to grant an exemption in response to an</w:t>
      </w:r>
    </w:p>
    <w:p>
      <w:pPr>
        <w:spacing w:after="0" w:line="10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12"/>
          </w:cols>
          <w:pgMar w:left="248" w:top="274" w:right="239" w:bottom="1440" w:gutter="0" w:footer="0" w:header="0"/>
        </w:sectPr>
      </w:pPr>
    </w:p>
    <w:bookmarkStart w:id="63" w:name="page64"/>
    <w:bookmarkEnd w:id="63"/>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Exemption Request as promptly as practicable (and, in any event, within ten (10) Business Days) after receipt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failure of the Board to make a determination within such period will be deemed to constitute the denial by the Board of the Exemption Request. The Requesting Person must respond promptly to reasonable and appropriate requests for additional information from the Board and its advisors to assist the Board in making its determination. For purposes of considering the Exemption Request, any calculation of the number of Common Shares outstanding at any particular time, including for purposes of determining the particular percentage of such outstanding Common Shares of which any Person is the Beneficial Owner, will be made pursuant to and in accordance with Section 382. The Board will only grant an exemption in response to an Exemption Request if the Board determines in its sole discretion that the acquisition of Beneficial Ownership of Common Shares by the Requesting Person (A) will not adversely impact in any material respect the time period in which the Company could use the Tax Benefits or limit or impair the availability to the Company of the Tax Benefits; or (B) is in the best interests of the Company despite the fact that it may adversely impact in a material respect the time period in which the Company could use the Tax Benefits or limit or impair the availability to the Company of the Tax Benefits. Any exemption granted hereunder may be granted in whole or in part, and may be subject to limitations or conditions (including a requirement that the Requesting Person agree that it will not acquire Beneficial Ownership of Common Shares in excess of the maximum number and percentage of shares approved by the Board), in each case as and to the extent the Board determines necessary or desirable to provide for the protection of the Tax Benefits. Any Exemption Request may be submitted on a confidential basis and, except to the extent required by applicable law, the Company will maintain the confidentiality of such Exemption Request and the Board’s determination with respect thereto, unless the information contained in the Exemption Request or the Board’s determination with respect thereto otherwise becomes publicly available. The Exemption Request will be considered and evaluated by directors serving on the Board who are independent of the Company and the Requesting Person and disinterested with respect to the Exemption Request, and the action of a majority of such independent and disinterested directors will be deemed to be the determination of the Board for purposes of such Exemption Request.</w:t>
      </w:r>
    </w:p>
    <w:p>
      <w:pPr>
        <w:spacing w:after="0" w:line="169" w:lineRule="exact"/>
        <w:rPr>
          <w:sz w:val="20"/>
          <w:szCs w:val="20"/>
          <w:color w:val="auto"/>
        </w:rPr>
      </w:pPr>
    </w:p>
    <w:p>
      <w:pPr>
        <w:ind w:firstLine="921"/>
        <w:spacing w:after="0" w:line="270" w:lineRule="auto"/>
        <w:tabs>
          <w:tab w:leader="none" w:pos="1303" w:val="left"/>
        </w:tabs>
        <w:numPr>
          <w:ilvl w:val="0"/>
          <w:numId w:val="74"/>
        </w:numPr>
        <w:rPr>
          <w:rFonts w:ascii="Arial" w:cs="Arial" w:eastAsia="Arial" w:hAnsi="Arial"/>
          <w:sz w:val="17"/>
          <w:szCs w:val="17"/>
          <w:color w:val="auto"/>
        </w:rPr>
      </w:pPr>
      <w:r>
        <w:rPr>
          <w:rFonts w:ascii="Arial" w:cs="Arial" w:eastAsia="Arial" w:hAnsi="Arial"/>
          <w:sz w:val="17"/>
          <w:szCs w:val="17"/>
          <w:i w:val="1"/>
          <w:iCs w:val="1"/>
          <w:color w:val="auto"/>
        </w:rPr>
        <w:t>Waiver Subsequent to Stock Acquisition Date</w:t>
      </w:r>
      <w:r>
        <w:rPr>
          <w:rFonts w:ascii="Arial" w:cs="Arial" w:eastAsia="Arial" w:hAnsi="Arial"/>
          <w:sz w:val="17"/>
          <w:szCs w:val="17"/>
          <w:color w:val="auto"/>
        </w:rPr>
        <w:t>. The Board may, of its own accord or upon the request of a stockholder (a “</w:t>
      </w:r>
      <w:r>
        <w:rPr>
          <w:rFonts w:ascii="Arial" w:cs="Arial" w:eastAsia="Arial" w:hAnsi="Arial"/>
          <w:sz w:val="17"/>
          <w:szCs w:val="17"/>
          <w:b w:val="1"/>
          <w:bCs w:val="1"/>
          <w:color w:val="auto"/>
        </w:rPr>
        <w:t>Waiver</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Request</w:t>
      </w:r>
      <w:r>
        <w:rPr>
          <w:rFonts w:ascii="Arial" w:cs="Arial" w:eastAsia="Arial" w:hAnsi="Arial"/>
          <w:sz w:val="17"/>
          <w:szCs w:val="17"/>
          <w:color w:val="auto"/>
        </w:rPr>
        <w:t>”), subsequent to a Stock Acquisition Date and prior to the Distribution Date, and in accordance with this Section 25(b), grant an exemption with</w:t>
      </w:r>
      <w:r>
        <w:rPr>
          <w:rFonts w:ascii="Arial" w:cs="Arial" w:eastAsia="Arial" w:hAnsi="Arial"/>
          <w:sz w:val="17"/>
          <w:szCs w:val="17"/>
          <w:b w:val="1"/>
          <w:bCs w:val="1"/>
          <w:color w:val="auto"/>
        </w:rPr>
        <w:t xml:space="preserve"> </w:t>
      </w:r>
      <w:r>
        <w:rPr>
          <w:rFonts w:ascii="Arial" w:cs="Arial" w:eastAsia="Arial" w:hAnsi="Arial"/>
          <w:sz w:val="17"/>
          <w:szCs w:val="17"/>
          <w:color w:val="auto"/>
        </w:rPr>
        <w:t>respect to any Acquiring Person under this Plan so that such Acquiring Person would be deemed to be an “Exempt Person” under subsection (ii) of Section 1(v) for purposes of this Plan. A Waiver Request must be in proper form and must be delivered by overnight delivery service or first-class mail, postage prepaid, to the Secretary of the Company at the principal executive office of the Company. The Waiver Request will be deemed made upon receipt by the Secretary of the Company. To be in proper form, a Waiver Request must set forth (i) the name and address of the Acquiring Person, (ii) the number and percentage of Common Shares then Beneficially Owned by the Acquiring Person, together with all Affiliates and Associates of the Acquiring Person, and (iii) a reasonably detailed description of the transaction or transactions by which the Acquiring Person acquired Beneficial Ownership of Common Shares aggregating 4.99% or more of the then outstanding Common Stock and the maximum number and percentage of Common Shares that the Acquiring Person proposes to acquire. The Board will make a determination whether to grant an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74" w:right="239" w:bottom="1440" w:gutter="0" w:footer="0" w:header="0"/>
        </w:sectPr>
      </w:pPr>
    </w:p>
    <w:bookmarkStart w:id="64" w:name="page65"/>
    <w:bookmarkEnd w:id="64"/>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exemption in response to a Waiver Request as promptly as practicable (and, in any event, within 10 Business Days) after receipt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failure of the Board to make a determination within such period will be deemed to constitute the denial by the Board of the Waiver Request. The Acquiring Person must respond promptly to reasonable and appropriate requests for additional information from the Board and its advisors to assist the Board in making its determination. For purposes of considering the Waiver Request, any calculation of the number of Common Shares outstanding at any particular time, including for purposes of determining the particular percentage of such outstanding Common Shares of which any Person is the Beneficial Owner, will be made pursuant to and in accordance with Section 382. The Board will only grant an exemption for an Acquiring Person if the Board determines in its sole discretion that the acquisition of Beneficial Ownership of Common Stock by such Acquiring Person does not adversely impact in any material respect the time period in which the Company could use the Tax Benefits or limit or impair the availability to the Company of the Tax Benefits. Any exemption granted hereunder may be granted in whole or in part, and may be subject to limitations or conditions (including a requirement that such Acquiring Person agree that it will not acquire Beneficial Ownership of Common Shares in excess of the maximum number and percentage of shares approved by the Board), in each case as and to the extent the Board determines necessary or desirable to provide for the protection of the Tax Benefits. The facts and circumstances with respect to the Triggering Event, including whether to grant an exemption, will be considered and evaluated by directors serving on the Board, or a duly constituted committee thereof, who are independent of the Company and such Acquiring Person and disinterested with respect to the Triggering Event, and the action of a majority of such independent and disinterested directors will be deemed to be the determination of the Board for purposes of any exemption granted pursuant to this Section 25(b).</w:t>
      </w:r>
    </w:p>
    <w:p>
      <w:pPr>
        <w:spacing w:after="0" w:line="29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i w:val="1"/>
          <w:iCs w:val="1"/>
          <w:color w:val="auto"/>
        </w:rPr>
        <w:t>Notice of Certain Events</w:t>
      </w:r>
      <w:r>
        <w:rPr>
          <w:rFonts w:ascii="Arial" w:cs="Arial" w:eastAsia="Arial" w:hAnsi="Arial"/>
          <w:sz w:val="18"/>
          <w:szCs w:val="18"/>
          <w:color w:val="auto"/>
        </w:rPr>
        <w:t>.</w:t>
      </w:r>
    </w:p>
    <w:p>
      <w:pPr>
        <w:spacing w:after="0" w:line="117" w:lineRule="exact"/>
        <w:rPr>
          <w:sz w:val="20"/>
          <w:szCs w:val="20"/>
          <w:color w:val="auto"/>
        </w:rPr>
      </w:pPr>
    </w:p>
    <w:p>
      <w:pPr>
        <w:ind w:right="20" w:firstLine="921"/>
        <w:spacing w:after="0" w:line="269" w:lineRule="auto"/>
        <w:tabs>
          <w:tab w:leader="none" w:pos="1293" w:val="left"/>
        </w:tabs>
        <w:numPr>
          <w:ilvl w:val="0"/>
          <w:numId w:val="75"/>
        </w:numPr>
        <w:rPr>
          <w:rFonts w:ascii="Arial" w:cs="Arial" w:eastAsia="Arial" w:hAnsi="Arial"/>
          <w:sz w:val="17"/>
          <w:szCs w:val="17"/>
          <w:color w:val="auto"/>
        </w:rPr>
      </w:pPr>
      <w:r>
        <w:rPr>
          <w:rFonts w:ascii="Arial" w:cs="Arial" w:eastAsia="Arial" w:hAnsi="Arial"/>
          <w:sz w:val="17"/>
          <w:szCs w:val="17"/>
          <w:i w:val="1"/>
          <w:iCs w:val="1"/>
          <w:color w:val="auto"/>
        </w:rPr>
        <w:t>Certain Distributions</w:t>
      </w:r>
      <w:r>
        <w:rPr>
          <w:rFonts w:ascii="Arial" w:cs="Arial" w:eastAsia="Arial" w:hAnsi="Arial"/>
          <w:sz w:val="17"/>
          <w:szCs w:val="17"/>
          <w:color w:val="auto"/>
        </w:rPr>
        <w:t>. If the Company proposes, at any time after the Distribution Date, to (i) declare or pay any dividend payable in stock</w:t>
      </w:r>
      <w:r>
        <w:rPr>
          <w:rFonts w:ascii="Arial" w:cs="Arial" w:eastAsia="Arial" w:hAnsi="Arial"/>
          <w:sz w:val="17"/>
          <w:szCs w:val="17"/>
          <w:i w:val="1"/>
          <w:iCs w:val="1"/>
          <w:color w:val="auto"/>
        </w:rPr>
        <w:t xml:space="preserve"> </w:t>
      </w:r>
      <w:r>
        <w:rPr>
          <w:rFonts w:ascii="Arial" w:cs="Arial" w:eastAsia="Arial" w:hAnsi="Arial"/>
          <w:sz w:val="17"/>
          <w:szCs w:val="17"/>
          <w:color w:val="auto"/>
        </w:rPr>
        <w:t>of any class to the holders of Preferred Shares or to make any other distribution to the holders of Preferred Shares (other than a regular quarterly or periodic cash dividend out of earnings or retained earnings of the Company); (ii) offer to the holders of Preferred Shares rights or warrants to subscribe for or to purchase any additional Preferred Shares or shares of stock of any class or any other securities, rights or options; (iii) effect any reclassification of the Preferred Shares (other than a reclassification involving only the subdivision of outstanding Preferred Shares); (iv) effect any share exchange, consolidation or merger into or with any other Person (other than a wholly owned Subsidiary of the Company in a transaction that complies with Section 11(m)); (v) effect any sale or other transfer (or permit one or more of its Subsidiaries to effect any sale or other transfer), in one transaction or a series of related transactions, of more than 50% of the assets, cash flow or earning power of the Company and its Subsidiaries (taken as a whole) to any other Person; (vi) effect the liquidation, dissolution or winding up of the Company; (vii) declare or pay any dividend on the Common Shares payable in Common Shares; or (viii) effect a subdivision, combination or consolidation of the Common Shares (by reclassification or otherwise than by payment of dividends in Common Shares), then, in each such case, the Company will give written notice of such proposed action to the Rights Agent and the holders of Rights Certificates in accordance with Section 27, which notice must specify the record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74" w:right="239" w:bottom="1440" w:gutter="0" w:footer="0" w:header="0"/>
        </w:sectPr>
      </w:pPr>
    </w:p>
    <w:bookmarkStart w:id="65" w:name="page66"/>
    <w:bookmarkEnd w:id="65"/>
    <w:p>
      <w:pPr>
        <w:ind w:right="1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date for the purposes of such stock dividend, distribution of rights or warrants, or the date on which such subdivision, combination, reclassification, share exchange, consolidation, merger, sale, transfer, liquidation, dissolution or winding up is to take place and the date of participation therein by the holders of Preferred Shares or Common Shares, if any such date is to be fixed, and such notice must be so given in the case of any action covered by clause (i) or (ii) above at least 10 Business Days prior to but not including the record date for determining holders of Preferred Shares for purposes of such action, and in the case of any such other action, at least 10 Business Days prior to but not including the date of the taking of such proposed action or the date of participation therein by the holders of Preferred Shares or Common Shares, whichever is earlier.</w:t>
      </w:r>
    </w:p>
    <w:p>
      <w:pPr>
        <w:spacing w:after="0" w:line="178" w:lineRule="exact"/>
        <w:rPr>
          <w:sz w:val="20"/>
          <w:szCs w:val="20"/>
          <w:color w:val="auto"/>
        </w:rPr>
      </w:pPr>
    </w:p>
    <w:p>
      <w:pPr>
        <w:ind w:right="20" w:firstLine="921"/>
        <w:spacing w:after="0" w:line="279" w:lineRule="auto"/>
        <w:tabs>
          <w:tab w:leader="none" w:pos="1303" w:val="left"/>
        </w:tabs>
        <w:numPr>
          <w:ilvl w:val="0"/>
          <w:numId w:val="76"/>
        </w:numPr>
        <w:rPr>
          <w:rFonts w:ascii="Arial" w:cs="Arial" w:eastAsia="Arial" w:hAnsi="Arial"/>
          <w:sz w:val="17"/>
          <w:szCs w:val="17"/>
          <w:color w:val="auto"/>
        </w:rPr>
      </w:pPr>
      <w:r>
        <w:rPr>
          <w:rFonts w:ascii="Arial" w:cs="Arial" w:eastAsia="Arial" w:hAnsi="Arial"/>
          <w:sz w:val="17"/>
          <w:szCs w:val="17"/>
          <w:i w:val="1"/>
          <w:iCs w:val="1"/>
          <w:color w:val="auto"/>
        </w:rPr>
        <w:t>Certain Events</w:t>
      </w:r>
      <w:r>
        <w:rPr>
          <w:rFonts w:ascii="Arial" w:cs="Arial" w:eastAsia="Arial" w:hAnsi="Arial"/>
          <w:sz w:val="17"/>
          <w:szCs w:val="17"/>
          <w:color w:val="auto"/>
        </w:rPr>
        <w:t>. If any Triggering Event has occurred, then (i) the Company will as soon as practicable thereafter give, or cause to be given,</w:t>
      </w:r>
      <w:r>
        <w:rPr>
          <w:rFonts w:ascii="Arial" w:cs="Arial" w:eastAsia="Arial" w:hAnsi="Arial"/>
          <w:sz w:val="17"/>
          <w:szCs w:val="17"/>
          <w:i w:val="1"/>
          <w:iCs w:val="1"/>
          <w:color w:val="auto"/>
        </w:rPr>
        <w:t xml:space="preserve"> </w:t>
      </w:r>
      <w:r>
        <w:rPr>
          <w:rFonts w:ascii="Arial" w:cs="Arial" w:eastAsia="Arial" w:hAnsi="Arial"/>
          <w:sz w:val="17"/>
          <w:szCs w:val="17"/>
          <w:color w:val="auto"/>
        </w:rPr>
        <w:t>to the Rights Agent and each holder of Rights Certificates a notice in accordance with Section 27 of the occurrence of such Triggering Event, which notice must specify the event and the consequences of the event to holders of Rights pursuant to Section 11(a)(ii) or Section 13; and (ii) all references in this Section 26 to Preferred Shares will thereafter be deemed to be references to Common Shares or, if appropriate, other securities.</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i w:val="1"/>
          <w:iCs w:val="1"/>
          <w:color w:val="auto"/>
        </w:rPr>
        <w:t>Notices</w:t>
      </w:r>
      <w:r>
        <w:rPr>
          <w:rFonts w:ascii="Arial" w:cs="Arial" w:eastAsia="Arial" w:hAnsi="Arial"/>
          <w:sz w:val="18"/>
          <w:szCs w:val="18"/>
          <w:color w:val="auto"/>
        </w:rPr>
        <w:t>. Notices or demands authorized by this Plan to be given or made by the Rights Agent or by the holder of any Rights Certificate (or, prior to the Distribution Date, of any Common Share) to or on the Company will be sufficiently given or made if in writing and when sent by a recognized national overnight delivery service or first-class mail, postage prepaid, addressed (in each case, until another address is filed in writing with the Rights Agent by the Company) as follows:</w:t>
      </w:r>
    </w:p>
    <w:p>
      <w:pPr>
        <w:spacing w:after="0" w:line="7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FLUIDIGM CORPORATION</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7000 Shoreline Court, Suite 100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South San Francisco, CA 94080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Attn: Nicholas S. Khadder, Senior Vice President and General Counsel</w:t>
      </w:r>
    </w:p>
    <w:p>
      <w:pPr>
        <w:spacing w:after="0" w:line="10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with a copy (which will not constitute notice) to:</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Wilson Sonsini Goodrich &amp; Rosati</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Professional Corporation</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650 Page Mill Road</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Palo Alto, CA 94304-1050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Attn: Robert F. Kornegay</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David J. Berger</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Robert T. Ishii</w:t>
      </w:r>
    </w:p>
    <w:p>
      <w:pPr>
        <w:spacing w:after="0" w:line="21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Subject to the provisions of Section 21, any notice or demand authorized by this Plan to be given or made by the Company or by the holder of any Rights Certificate (or, prior to the Distribution Date, of any Common Share) to or on the Rights Agent will be sufficiently given or made if in writing and sent by a recognized national overnight delivery service or first-class mail,</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274" w:right="27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postage prepaid, addressed (in each case, until another address is filed in writing with the Company by the Rights Agent) as follows:</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Computershare Inc.</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250 Royall Street</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Canton, MA 02021</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Attn:Client Services</w:t>
      </w:r>
    </w:p>
    <w:p>
      <w:pPr>
        <w:spacing w:after="0" w:line="21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Notices or demands authorized by this Plan to be given or made by the Company or the Rights Agent to the holders of Rights or Rights Certificates (or, if prior to the Distribution Date, to the holders of Common Shares) will be sufficiently given or made if in writing and when sent by a recognized national overnight delivery service or first-class mail, postage prepaid, addressed to such holder at the address of such holder as shown on the transfer books of the Rights Agent or the Company or the transfer agent for the Common Shares. Any notice that is sent or mailed in the manner herein provided will be deemed given whether or not the holder receives the notice. Notwithstanding anything to the contrary in this Plan, prior to the Distribution Date, the issuance of a press release or the making of a publicly-available filing by the Company with the Securities and Exchange Commission will constitute sufficient notice by the Rights Agent or the Company to the holders of securities of the Company, including the Rights, for all purposes of this Plan and no other notice need be given.</w:t>
      </w:r>
    </w:p>
    <w:p>
      <w:pPr>
        <w:spacing w:after="0" w:line="192"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 xml:space="preserve">Section 28. </w:t>
      </w:r>
      <w:r>
        <w:rPr>
          <w:rFonts w:ascii="Arial" w:cs="Arial" w:eastAsia="Arial" w:hAnsi="Arial"/>
          <w:sz w:val="17"/>
          <w:szCs w:val="17"/>
          <w:i w:val="1"/>
          <w:iCs w:val="1"/>
          <w:color w:val="auto"/>
        </w:rPr>
        <w:t>Supplements and Amendments</w:t>
      </w:r>
      <w:r>
        <w:rPr>
          <w:rFonts w:ascii="Arial" w:cs="Arial" w:eastAsia="Arial" w:hAnsi="Arial"/>
          <w:sz w:val="17"/>
          <w:szCs w:val="17"/>
          <w:color w:val="auto"/>
        </w:rPr>
        <w:t xml:space="preserve">. Prior to the occurrence of a Distribution Date, the Company may in its sole discretion supplement or amend this Plan in any respect without the approval of any holders of Rights Certificates, Preferred Shares or Common Shares, and the Rights Agent must, if the Company so directs, execute such supplement or amendment. From and after the occurrence of a Distribution Date, the Company and the Rights Agent may from time to time supplement or amend this Plan without the approval of any holders of Rights Certificates in order to (i) cure any ambiguity; (ii) correct or supplement any provision contained herein that may be defective or inconsistent with any other provisions herein or otherwise defective, including any change in order to satisfy any applicable law, rule or regulation; (iii) shorten or lengthen any time period hereunder; or (iv) change or supplement the provisions hereunder in any manner that the Company may deem necessary or desirable and that does not adversely affect the interests of the Rights Agent or the holders of Rights (other than an Acquiring Person, an Affiliate or Associate of an Acquiring Person, a Post-Event Transferee, a Pre-Event Transferee, a Subsequent Transferee or any nominee of any of the foregoing), including extending the Final Expiration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this Plan may not be supplemented or amended to lengthen, pursuant to clause (iii) of this sentence, a time period relating to when the Rights may be redeemed at a time when the Rights are not then redeemable;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right of the Board to extend the Distribution Date does not require any amendment or supplement hereunder. Upon the delivery of a certificate from the Chairman of the Board, Chief Executive Officer, President, Chief Financial Officer, Secretary, Assistant Secretary or any Senior Vice President of the Company that states that the proposed supplement or amendment is in compliance with the terms of this Section 28. Notwithstanding anything to the contrary in this Plan, the Rights Agent may, but will not be required to, execute any such supplement or amendment that it has determined would adversely affects its</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274" w:right="279" w:bottom="1440" w:gutter="0" w:footer="0" w:header="0"/>
        </w:sectPr>
      </w:pPr>
    </w:p>
    <w:bookmarkStart w:id="67" w:name="page68"/>
    <w:bookmarkEnd w:id="67"/>
    <w:p>
      <w:pPr>
        <w:ind w:right="2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rights, duties, obligations or immunities under this Plan. No supplement or amendment to this Plan shall be effective unless duly executed by the Rights Agent. Prior to the Distribution Date, the interests of the holders of Rights and Rights Certificates will be deemed to be coincident with the interests of the holders of Common Shares.</w:t>
      </w:r>
    </w:p>
    <w:p>
      <w:pPr>
        <w:spacing w:after="0" w:line="18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i w:val="1"/>
          <w:iCs w:val="1"/>
          <w:color w:val="auto"/>
        </w:rPr>
        <w:t>Successors</w:t>
      </w:r>
      <w:r>
        <w:rPr>
          <w:rFonts w:ascii="Arial" w:cs="Arial" w:eastAsia="Arial" w:hAnsi="Arial"/>
          <w:sz w:val="18"/>
          <w:szCs w:val="18"/>
          <w:color w:val="auto"/>
        </w:rPr>
        <w:t>. All the covenants and provisions of this Plan by or for the benefit of the Company or the Rights Agent will bind and inure to the benefit of their respective successors and assigns hereunder.</w:t>
      </w:r>
    </w:p>
    <w:p>
      <w:pPr>
        <w:spacing w:after="0" w:line="170"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 xml:space="preserve">Section 30. </w:t>
      </w:r>
      <w:r>
        <w:rPr>
          <w:rFonts w:ascii="Arial" w:cs="Arial" w:eastAsia="Arial" w:hAnsi="Arial"/>
          <w:sz w:val="16"/>
          <w:szCs w:val="16"/>
          <w:i w:val="1"/>
          <w:iCs w:val="1"/>
          <w:color w:val="auto"/>
        </w:rPr>
        <w:t>Determinations and Actions by the Board</w:t>
      </w:r>
      <w:r>
        <w:rPr>
          <w:rFonts w:ascii="Arial" w:cs="Arial" w:eastAsia="Arial" w:hAnsi="Arial"/>
          <w:sz w:val="16"/>
          <w:szCs w:val="16"/>
          <w:color w:val="auto"/>
        </w:rPr>
        <w:t>. The Board (or an authorized committee thereof) has the exclusive power and authority to administer this Plan and to exercise all rights and powers specifically granted to the Board or the Company pursuant hereto, or as may be necessary or advisable in the administration of this Plan, including the right and power to (a) interpret the provisions of this Plan and (b) make all determinations deemed necessary or advisable for the administration of this Plan (including a determination as to whether to redeem the Rights or to amend this Plan). All such actions, calculations, interpretations and determinations (including, for purposes of clause (ii) below, all omissions with respect to the foregoing) that are done or made by the Board (or an authorized committee thereof) in good faith will (i) be final, conclusive and binding on the Company, the Rights Agent (except with respect to the rights, obligations, duties and immunities of the Rights Agent under this Plan), the holders of Rights Certificates and all other Persons; and</w:t>
      </w:r>
    </w:p>
    <w:p>
      <w:pPr>
        <w:spacing w:after="0" w:line="3" w:lineRule="exact"/>
        <w:rPr>
          <w:sz w:val="20"/>
          <w:szCs w:val="20"/>
          <w:color w:val="auto"/>
        </w:rPr>
      </w:pPr>
    </w:p>
    <w:p>
      <w:pPr>
        <w:ind w:right="40" w:firstLine="8"/>
        <w:spacing w:after="0" w:line="271" w:lineRule="auto"/>
        <w:tabs>
          <w:tab w:leader="none" w:pos="265" w:val="left"/>
        </w:tabs>
        <w:numPr>
          <w:ilvl w:val="0"/>
          <w:numId w:val="77"/>
        </w:numPr>
        <w:rPr>
          <w:rFonts w:ascii="Arial" w:cs="Arial" w:eastAsia="Arial" w:hAnsi="Arial"/>
          <w:sz w:val="17"/>
          <w:szCs w:val="17"/>
          <w:color w:val="auto"/>
        </w:rPr>
      </w:pPr>
      <w:r>
        <w:rPr>
          <w:rFonts w:ascii="Arial" w:cs="Arial" w:eastAsia="Arial" w:hAnsi="Arial"/>
          <w:sz w:val="17"/>
          <w:szCs w:val="17"/>
          <w:color w:val="auto"/>
        </w:rPr>
        <w:t>not subject the Board (or an authorized committee thereof) or any of the directors serving on the Board to any liability to any Person, including the Rights Agent and the holders of Rights Certificates. In administering this Plan and exercising the rights and powers specifically granted to the Board and to the Company hereunder, and in interpreting this Plan and making any determination hereunder, the Board (or an authorized committee thereof) may consider any and all facts, circumstances or information that it deems to be necessary, useful or appropriate. The Rights Agent is always entitled to assume that the Board acted in good faith and will be fully protected and incur no liability in reliance thereon.</w:t>
      </w:r>
    </w:p>
    <w:p>
      <w:pPr>
        <w:spacing w:after="0" w:line="17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i w:val="1"/>
          <w:iCs w:val="1"/>
          <w:color w:val="auto"/>
        </w:rPr>
        <w:t>Benefits of this Plan</w:t>
      </w:r>
      <w:r>
        <w:rPr>
          <w:rFonts w:ascii="Arial" w:cs="Arial" w:eastAsia="Arial" w:hAnsi="Arial"/>
          <w:sz w:val="18"/>
          <w:szCs w:val="18"/>
          <w:color w:val="auto"/>
        </w:rPr>
        <w:t>. Nothing in this Plan may be construed to give to any Person other than the Company, the Rights Agent and the registered holders of Rights Certificates (and, prior to the Distribution Date, the registered holders of Common Shares) any legal or equitable right, remedy or claim pursuant to this Plan. This Plan is for the sole and exclusive benefit of the Company, the Rights Agent and the registered holders of Rights Certificates (and, prior to the Distribution Date, the registered holders of Common Shares).</w:t>
      </w:r>
    </w:p>
    <w:p>
      <w:pPr>
        <w:spacing w:after="0" w:line="18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i w:val="1"/>
          <w:iCs w:val="1"/>
          <w:color w:val="auto"/>
        </w:rPr>
        <w:t>Severability</w:t>
      </w:r>
      <w:r>
        <w:rPr>
          <w:rFonts w:ascii="Arial" w:cs="Arial" w:eastAsia="Arial" w:hAnsi="Arial"/>
          <w:sz w:val="16"/>
          <w:szCs w:val="16"/>
          <w:color w:val="auto"/>
        </w:rPr>
        <w:t xml:space="preserve">. If any term, provision, covenant or restriction of this Plan is held by a court of competent jurisdiction or other authority to be invalid, void or unenforceable, the remainder of the terms, provisions, covenants and restrictions of this Plan will remain in full force and effect and will in no way be affected, impaired or invalidated;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notwithstanding anything to the contrary in this Plan, if any such term, provision, covenant or restriction is held by such court or authority to be invalid, void or unenforceable and the Board determines in its good faith judgment that severing the invalid language from this Plan would adversely affect the purpose or effect of this Plan, then the right of redemption set forth in Section 23</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274" w:right="259" w:bottom="1440" w:gutter="0" w:footer="0" w:header="0"/>
        </w:sectPr>
      </w:pPr>
    </w:p>
    <w:bookmarkStart w:id="68" w:name="page69"/>
    <w:bookmarkEnd w:id="68"/>
    <w:p>
      <w:pPr>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will be reinstated and will not expire until the Close of Business on the 10th Business Day following the date of such determination by the Board;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if such excluded provision shall affect the rights, immunities, liabilities, duties or obligations of the Rights Agent, then the Rights Agent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entitled to resign immediately upon written notice to the Company.</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i w:val="1"/>
          <w:iCs w:val="1"/>
          <w:color w:val="auto"/>
        </w:rPr>
        <w:t>Governing Law; Exclusive Jurisdiction</w:t>
      </w:r>
      <w:r>
        <w:rPr>
          <w:rFonts w:ascii="Arial" w:cs="Arial" w:eastAsia="Arial" w:hAnsi="Arial"/>
          <w:sz w:val="18"/>
          <w:szCs w:val="18"/>
          <w:color w:val="auto"/>
        </w:rPr>
        <w:t>.</w:t>
      </w:r>
    </w:p>
    <w:p>
      <w:pPr>
        <w:spacing w:after="0" w:line="117" w:lineRule="exact"/>
        <w:rPr>
          <w:sz w:val="20"/>
          <w:szCs w:val="20"/>
          <w:color w:val="auto"/>
        </w:rPr>
      </w:pPr>
    </w:p>
    <w:p>
      <w:pPr>
        <w:ind w:right="360" w:firstLine="921"/>
        <w:spacing w:after="0" w:line="264" w:lineRule="auto"/>
        <w:tabs>
          <w:tab w:leader="none" w:pos="1293"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This Plan and each Right and Rights Certificate issued hereunder will be deemed to be a contract made pursuant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laws of the State of Delaware and for all purposes will be governed by and construed in accordance with the laws of the State of Delaware applicable to contracts made and to be performed entirely within the State of Delaware.</w:t>
      </w:r>
    </w:p>
    <w:p>
      <w:pPr>
        <w:spacing w:after="0" w:line="289" w:lineRule="exact"/>
        <w:rPr>
          <w:rFonts w:ascii="Arial" w:cs="Arial" w:eastAsia="Arial" w:hAnsi="Arial"/>
          <w:sz w:val="18"/>
          <w:szCs w:val="18"/>
          <w:color w:val="auto"/>
        </w:rPr>
      </w:pPr>
    </w:p>
    <w:p>
      <w:pPr>
        <w:ind w:left="1320" w:hanging="399"/>
        <w:spacing w:after="0"/>
        <w:tabs>
          <w:tab w:leader="none" w:pos="132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Exclusive Jurisdiction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40" w:firstLine="1492"/>
        <w:spacing w:after="0" w:line="255" w:lineRule="auto"/>
        <w:tabs>
          <w:tab w:leader="none" w:pos="1830"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Company and the registered holders of Rights Certificates (and, prior to the Distribution Date, the registered holders of Common Shares) each hereby irrevocably submits to the exclusive jurisdiction of the Court of Chancery of the State of Delaware, or, if such court lacks subject matter jurisdiction, the United States District Court for the District of Delaware, over any suit, action or proceeding arising out of or relating to or concerning this Plan. The Company and the registered holders of Rights Certificates (and, prior to the Distribution Date, the registered holders of Common Shares) each acknowledge that the forum designated by this Section 33(b)(i) has a reasonable relation to this Plan and to such Persons’ relationship with one another.</w:t>
      </w:r>
    </w:p>
    <w:p>
      <w:pPr>
        <w:spacing w:after="0" w:line="193" w:lineRule="exact"/>
        <w:rPr>
          <w:rFonts w:ascii="Arial" w:cs="Arial" w:eastAsia="Arial" w:hAnsi="Arial"/>
          <w:sz w:val="18"/>
          <w:szCs w:val="18"/>
          <w:color w:val="auto"/>
        </w:rPr>
      </w:pPr>
    </w:p>
    <w:p>
      <w:pPr>
        <w:ind w:firstLine="1492"/>
        <w:spacing w:after="0" w:line="254" w:lineRule="auto"/>
        <w:tabs>
          <w:tab w:leader="none" w:pos="18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Company and the registered holders of Rights Certificates (and, prior to the Distribution Date, the registered holders of Common Shares) each hereby waive, to the fullest extent permitted by applicable law, any objection that they now or hereafter have to personal jurisdiction or to the laying of venue of any such suit, action or proceeding brought in any court referred to in Section 33(b)(i) (or the appellate courts thereof). The Company and the registered holders of Rights Certificates (and, prior to the Distribution Date, the registered holders of Common Shares) each undertake not to commence any action subject to this Plan in any forum other than the forum described in Section 33(b)(i). The Company and the registered holders of Rights Certificates (and, prior to the Distribution Date, the registered holders of Common Shares) each hereby agree that, to the fullest extent permitted by applicable law, a final and non-appealable judgment in any such suit, action or proceeding brought in any such court will be conclusive and binding upon such Persons.</w:t>
      </w:r>
    </w:p>
    <w:p>
      <w:pPr>
        <w:spacing w:after="0" w:line="192"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 xml:space="preserve">Section 34. </w:t>
      </w:r>
      <w:r>
        <w:rPr>
          <w:rFonts w:ascii="Arial" w:cs="Arial" w:eastAsia="Arial" w:hAnsi="Arial"/>
          <w:sz w:val="16"/>
          <w:szCs w:val="16"/>
          <w:i w:val="1"/>
          <w:iCs w:val="1"/>
          <w:color w:val="auto"/>
        </w:rPr>
        <w:t>Counterparts</w:t>
      </w:r>
      <w:r>
        <w:rPr>
          <w:rFonts w:ascii="Arial" w:cs="Arial" w:eastAsia="Arial" w:hAnsi="Arial"/>
          <w:sz w:val="16"/>
          <w:szCs w:val="16"/>
          <w:color w:val="auto"/>
        </w:rPr>
        <w:t>. This Plan and any supplements or amendments hereto may be executed in any number of counterparts and each of such counterparts will for all purposes be deemed to be an original, and all such counterparts will together constitute one and the same instrument, it being understood that all parties need not sign the same counterpart. A signature to this Plan transmitted electronically (including by fax and .pdf) will have the same authority, effect and enforceability as an original signature. No party hereto may raise the use of such electronic transmission to deliver a signature, or the fact that any signature or agreement or instrument was transmitted or communicated through such electronic transmission, as a defense to the formation of a contract, and each party forever waives any such defense, except to the extent such defense relates to lack of authenticity.</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74" w:right="239" w:bottom="1440" w:gutter="0" w:footer="0" w:header="0"/>
        </w:sectPr>
      </w:pPr>
    </w:p>
    <w:bookmarkStart w:id="69" w:name="page70"/>
    <w:bookmarkEnd w:id="6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35. </w:t>
      </w:r>
      <w:r>
        <w:rPr>
          <w:rFonts w:ascii="Arial" w:cs="Arial" w:eastAsia="Arial" w:hAnsi="Arial"/>
          <w:sz w:val="18"/>
          <w:szCs w:val="18"/>
          <w:i w:val="1"/>
          <w:iCs w:val="1"/>
          <w:color w:val="auto"/>
        </w:rPr>
        <w:t>Descriptive Headings; Interpretation</w:t>
      </w:r>
      <w:r>
        <w:rPr>
          <w:rFonts w:ascii="Arial" w:cs="Arial" w:eastAsia="Arial" w:hAnsi="Arial"/>
          <w:sz w:val="18"/>
          <w:szCs w:val="18"/>
          <w:color w:val="auto"/>
        </w:rPr>
        <w:t>.</w:t>
      </w:r>
    </w:p>
    <w:p>
      <w:pPr>
        <w:spacing w:after="0" w:line="117" w:lineRule="exact"/>
        <w:rPr>
          <w:sz w:val="20"/>
          <w:szCs w:val="20"/>
          <w:color w:val="auto"/>
        </w:rPr>
      </w:pPr>
    </w:p>
    <w:p>
      <w:pPr>
        <w:ind w:right="20" w:firstLine="921"/>
        <w:spacing w:after="0" w:line="277" w:lineRule="auto"/>
        <w:tabs>
          <w:tab w:leader="none" w:pos="1293"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Descriptive Headings</w:t>
      </w:r>
      <w:r>
        <w:rPr>
          <w:rFonts w:ascii="Arial" w:cs="Arial" w:eastAsia="Arial" w:hAnsi="Arial"/>
          <w:sz w:val="18"/>
          <w:szCs w:val="18"/>
          <w:color w:val="auto"/>
        </w:rPr>
        <w:t>. The table of contents and descriptive headings of the several Sections of this Plan are inserted for convenience only</w:t>
      </w:r>
      <w:r>
        <w:rPr>
          <w:rFonts w:ascii="Arial" w:cs="Arial" w:eastAsia="Arial" w:hAnsi="Arial"/>
          <w:sz w:val="18"/>
          <w:szCs w:val="18"/>
          <w:i w:val="1"/>
          <w:iCs w:val="1"/>
          <w:color w:val="auto"/>
        </w:rPr>
        <w:t xml:space="preserve"> </w:t>
      </w:r>
      <w:r>
        <w:rPr>
          <w:rFonts w:ascii="Arial" w:cs="Arial" w:eastAsia="Arial" w:hAnsi="Arial"/>
          <w:sz w:val="18"/>
          <w:szCs w:val="18"/>
          <w:color w:val="auto"/>
        </w:rPr>
        <w:t>and will not control or affect the meaning or construction of any of the provisions hereof.</w:t>
      </w:r>
    </w:p>
    <w:p>
      <w:pPr>
        <w:spacing w:after="0" w:line="170" w:lineRule="exact"/>
        <w:rPr>
          <w:rFonts w:ascii="Arial" w:cs="Arial" w:eastAsia="Arial" w:hAnsi="Arial"/>
          <w:sz w:val="18"/>
          <w:szCs w:val="18"/>
          <w:color w:val="auto"/>
        </w:rPr>
      </w:pPr>
    </w:p>
    <w:p>
      <w:pPr>
        <w:ind w:left="1320" w:hanging="399"/>
        <w:spacing w:after="0"/>
        <w:tabs>
          <w:tab w:leader="none" w:pos="132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Interpretation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492"/>
        <w:spacing w:after="0" w:line="264" w:lineRule="auto"/>
        <w:tabs>
          <w:tab w:leader="none" w:pos="1833" w:val="left"/>
        </w:tabs>
        <w:numPr>
          <w:ilvl w:val="1"/>
          <w:numId w:val="79"/>
        </w:numPr>
        <w:rPr>
          <w:rFonts w:ascii="Arial" w:cs="Arial" w:eastAsia="Arial" w:hAnsi="Arial"/>
          <w:sz w:val="18"/>
          <w:szCs w:val="18"/>
          <w:color w:val="auto"/>
        </w:rPr>
      </w:pPr>
      <w:r>
        <w:rPr>
          <w:rFonts w:ascii="Arial" w:cs="Arial" w:eastAsia="Arial" w:hAnsi="Arial"/>
          <w:sz w:val="18"/>
          <w:szCs w:val="18"/>
          <w:color w:val="auto"/>
        </w:rPr>
        <w:t>Unless otherwise indicated, all references herein to Sections or Exhibits will be deemed to refer to Sections or Exhibits of or to this Plan, as applicable. Any capitalized terms used in any Exhibit but not otherwise defined therein have the meaning set forth in this Plan. All Exhibits attached hereto or referred to herein are hereby incorporated in and made a part of this Plan as if fully set forth herein.</w:t>
      </w:r>
    </w:p>
    <w:p>
      <w:pPr>
        <w:spacing w:after="0" w:line="181" w:lineRule="exact"/>
        <w:rPr>
          <w:rFonts w:ascii="Arial" w:cs="Arial" w:eastAsia="Arial" w:hAnsi="Arial"/>
          <w:sz w:val="18"/>
          <w:szCs w:val="18"/>
          <w:color w:val="auto"/>
        </w:rPr>
      </w:pPr>
    </w:p>
    <w:p>
      <w:pPr>
        <w:ind w:right="320" w:firstLine="1492"/>
        <w:spacing w:after="0" w:line="277" w:lineRule="auto"/>
        <w:tabs>
          <w:tab w:leader="none" w:pos="1883" w:val="left"/>
        </w:tabs>
        <w:numPr>
          <w:ilvl w:val="1"/>
          <w:numId w:val="79"/>
        </w:numPr>
        <w:rPr>
          <w:rFonts w:ascii="Arial" w:cs="Arial" w:eastAsia="Arial" w:hAnsi="Arial"/>
          <w:sz w:val="18"/>
          <w:szCs w:val="18"/>
          <w:color w:val="auto"/>
        </w:rPr>
      </w:pPr>
      <w:r>
        <w:rPr>
          <w:rFonts w:ascii="Arial" w:cs="Arial" w:eastAsia="Arial" w:hAnsi="Arial"/>
          <w:sz w:val="18"/>
          <w:szCs w:val="18"/>
          <w:color w:val="auto"/>
        </w:rPr>
        <w:t>Unless otherwise indicated, the words “include,” “includes” and “including,” when used herein, are deemed in each case to be followed by the words “without limitation.”</w:t>
      </w:r>
    </w:p>
    <w:p>
      <w:pPr>
        <w:spacing w:after="0" w:line="170" w:lineRule="exact"/>
        <w:rPr>
          <w:rFonts w:ascii="Arial" w:cs="Arial" w:eastAsia="Arial" w:hAnsi="Arial"/>
          <w:sz w:val="18"/>
          <w:szCs w:val="18"/>
          <w:color w:val="auto"/>
        </w:rPr>
      </w:pPr>
    </w:p>
    <w:p>
      <w:pPr>
        <w:ind w:right="20" w:firstLine="1492"/>
        <w:spacing w:after="0" w:line="277" w:lineRule="auto"/>
        <w:tabs>
          <w:tab w:leader="none" w:pos="1930"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words “hereof,” “herein,” “herewith” and words of similar import will, unless otherwise stated, be constructed to refer to this Plan as whole and not to any particular provision of this Plan.</w:t>
      </w:r>
    </w:p>
    <w:p>
      <w:pPr>
        <w:spacing w:after="0" w:line="170" w:lineRule="exact"/>
        <w:rPr>
          <w:rFonts w:ascii="Arial" w:cs="Arial" w:eastAsia="Arial" w:hAnsi="Arial"/>
          <w:sz w:val="18"/>
          <w:szCs w:val="18"/>
          <w:color w:val="auto"/>
        </w:rPr>
      </w:pPr>
    </w:p>
    <w:p>
      <w:pPr>
        <w:ind w:left="1920" w:hanging="428"/>
        <w:spacing w:after="0"/>
        <w:tabs>
          <w:tab w:leader="none" w:pos="1920" w:val="left"/>
        </w:tabs>
        <w:numPr>
          <w:ilvl w:val="1"/>
          <w:numId w:val="79"/>
        </w:numPr>
        <w:rPr>
          <w:rFonts w:ascii="Arial" w:cs="Arial" w:eastAsia="Arial" w:hAnsi="Arial"/>
          <w:sz w:val="16"/>
          <w:szCs w:val="16"/>
          <w:color w:val="auto"/>
        </w:rPr>
      </w:pPr>
      <w:r>
        <w:rPr>
          <w:rFonts w:ascii="Arial" w:cs="Arial" w:eastAsia="Arial" w:hAnsi="Arial"/>
          <w:sz w:val="16"/>
          <w:szCs w:val="16"/>
          <w:color w:val="auto"/>
        </w:rPr>
        <w:t>The word “or” is used in the inclusive sense of “and/or.” Unless the context requires otherwise, the terms “or,” “any” and “either”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are not exclusive.</w:t>
      </w:r>
    </w:p>
    <w:p>
      <w:pPr>
        <w:spacing w:after="0" w:line="210" w:lineRule="exact"/>
        <w:rPr>
          <w:rFonts w:ascii="Arial" w:cs="Arial" w:eastAsia="Arial" w:hAnsi="Arial"/>
          <w:sz w:val="16"/>
          <w:szCs w:val="16"/>
          <w:color w:val="auto"/>
        </w:rPr>
      </w:pPr>
    </w:p>
    <w:p>
      <w:pPr>
        <w:ind w:right="20" w:firstLine="1492"/>
        <w:spacing w:after="0" w:line="277" w:lineRule="auto"/>
        <w:tabs>
          <w:tab w:leader="none" w:pos="1870" w:val="left"/>
        </w:tabs>
        <w:numPr>
          <w:ilvl w:val="1"/>
          <w:numId w:val="79"/>
        </w:numPr>
        <w:rPr>
          <w:rFonts w:ascii="Arial" w:cs="Arial" w:eastAsia="Arial" w:hAnsi="Arial"/>
          <w:sz w:val="18"/>
          <w:szCs w:val="18"/>
          <w:color w:val="auto"/>
        </w:rPr>
      </w:pPr>
      <w:r>
        <w:rPr>
          <w:rFonts w:ascii="Arial" w:cs="Arial" w:eastAsia="Arial" w:hAnsi="Arial"/>
          <w:sz w:val="18"/>
          <w:szCs w:val="18"/>
          <w:color w:val="auto"/>
        </w:rPr>
        <w:t>Whenever the context may require, any pronouns used in this Plan include the corresponding masculine, feminine or neuter forms, and the singular form of nouns and pronouns includes the plural and vice versa.</w:t>
      </w:r>
    </w:p>
    <w:p>
      <w:pPr>
        <w:spacing w:after="0" w:line="170" w:lineRule="exact"/>
        <w:rPr>
          <w:rFonts w:ascii="Arial" w:cs="Arial" w:eastAsia="Arial" w:hAnsi="Arial"/>
          <w:sz w:val="18"/>
          <w:szCs w:val="18"/>
          <w:color w:val="auto"/>
        </w:rPr>
      </w:pPr>
    </w:p>
    <w:p>
      <w:pPr>
        <w:ind w:left="1920" w:hanging="428"/>
        <w:spacing w:after="0"/>
        <w:tabs>
          <w:tab w:leader="none" w:pos="19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Where a word or phrase is defined, each of its other grammatical forms has a corresponding meaning.</w:t>
      </w:r>
    </w:p>
    <w:p>
      <w:pPr>
        <w:spacing w:after="0" w:line="225" w:lineRule="exact"/>
        <w:rPr>
          <w:rFonts w:ascii="Arial" w:cs="Arial" w:eastAsia="Arial" w:hAnsi="Arial"/>
          <w:sz w:val="18"/>
          <w:szCs w:val="18"/>
          <w:color w:val="auto"/>
        </w:rPr>
      </w:pPr>
    </w:p>
    <w:p>
      <w:pPr>
        <w:ind w:left="1980" w:hanging="488"/>
        <w:spacing w:after="0"/>
        <w:tabs>
          <w:tab w:leader="none" w:pos="1980" w:val="left"/>
        </w:tabs>
        <w:numPr>
          <w:ilvl w:val="1"/>
          <w:numId w:val="79"/>
        </w:numPr>
        <w:rPr>
          <w:rFonts w:ascii="Arial" w:cs="Arial" w:eastAsia="Arial" w:hAnsi="Arial"/>
          <w:sz w:val="18"/>
          <w:szCs w:val="18"/>
          <w:color w:val="auto"/>
        </w:rPr>
      </w:pPr>
      <w:r>
        <w:rPr>
          <w:rFonts w:ascii="Arial" w:cs="Arial" w:eastAsia="Arial" w:hAnsi="Arial"/>
          <w:sz w:val="18"/>
          <w:szCs w:val="18"/>
          <w:color w:val="auto"/>
        </w:rPr>
        <w:t>References to “$” are to the lawful currency of the United States of America.</w:t>
      </w:r>
    </w:p>
    <w:p>
      <w:pPr>
        <w:spacing w:after="0" w:line="225" w:lineRule="exact"/>
        <w:rPr>
          <w:rFonts w:ascii="Arial" w:cs="Arial" w:eastAsia="Arial" w:hAnsi="Arial"/>
          <w:sz w:val="18"/>
          <w:szCs w:val="18"/>
          <w:color w:val="auto"/>
        </w:rPr>
      </w:pPr>
    </w:p>
    <w:p>
      <w:pPr>
        <w:ind w:right="120" w:firstLine="1492"/>
        <w:spacing w:after="0" w:line="264" w:lineRule="auto"/>
        <w:tabs>
          <w:tab w:leader="none" w:pos="2023" w:val="left"/>
        </w:tabs>
        <w:numPr>
          <w:ilvl w:val="1"/>
          <w:numId w:val="79"/>
        </w:numPr>
        <w:rPr>
          <w:rFonts w:ascii="Arial" w:cs="Arial" w:eastAsia="Arial" w:hAnsi="Arial"/>
          <w:sz w:val="18"/>
          <w:szCs w:val="18"/>
          <w:color w:val="auto"/>
        </w:rPr>
      </w:pPr>
      <w:r>
        <w:rPr>
          <w:rFonts w:ascii="Arial" w:cs="Arial" w:eastAsia="Arial" w:hAnsi="Arial"/>
          <w:sz w:val="18"/>
          <w:szCs w:val="18"/>
          <w:color w:val="auto"/>
        </w:rPr>
        <w:t>References to any statute will be deemed to refer to such statute as amended from time to time and any rules or regulations promulgated thereunder. References to any agreement or contract will be to that agreement or contract as amended, modified or supplemented from time to time.</w:t>
      </w:r>
    </w:p>
    <w:p>
      <w:pPr>
        <w:spacing w:after="0" w:line="18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i w:val="1"/>
          <w:iCs w:val="1"/>
          <w:color w:val="auto"/>
        </w:rPr>
        <w:t>Costs of Enforcement</w:t>
      </w:r>
      <w:r>
        <w:rPr>
          <w:rFonts w:ascii="Arial" w:cs="Arial" w:eastAsia="Arial" w:hAnsi="Arial"/>
          <w:sz w:val="18"/>
          <w:szCs w:val="18"/>
          <w:color w:val="auto"/>
        </w:rPr>
        <w:t>. The Company agrees with each registered holder of Rights Certificates (and, prior to the Distribution Date, the registered holders of Common Shares) that if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00"/>
          </w:cols>
          <w:pgMar w:left="240" w:top="274" w:right="359" w:bottom="1440" w:gutter="0" w:footer="0" w:header="0"/>
        </w:sectPr>
      </w:pPr>
    </w:p>
    <w:bookmarkStart w:id="70" w:name="page71"/>
    <w:bookmarkEnd w:id="70"/>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or any other Person the securities of which are purchasable upon exercise of the Rights fails to fulfill any of its obligations pursuant to this Plan, then the Company or such other Person must reimburse any registered holder of Rights Certificates for the costs and expenses (including legal fees) incurred by such holder in any action to enforce such holder’s rights pursuant to any Right or this Plan.</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i w:val="1"/>
          <w:iCs w:val="1"/>
          <w:color w:val="auto"/>
        </w:rPr>
        <w:t>Force Majeure</w:t>
      </w:r>
      <w:r>
        <w:rPr>
          <w:rFonts w:ascii="Arial" w:cs="Arial" w:eastAsia="Arial" w:hAnsi="Arial"/>
          <w:sz w:val="18"/>
          <w:szCs w:val="18"/>
          <w:color w:val="auto"/>
        </w:rPr>
        <w:t>. Notwithstanding anything to the contrary in this Plan, the Rights Agent will not be liable for any delays or failures in performance resulting from acts beyond its reasonable control, including fires, floods, natural disasters, acts of God, terrorist acts, shortage of supply, legal restrictions, breakdowns or malfunctions, interruptions or malfunction of computer facilities, or loss of data due to power failures or mechanical difficulties with information storage or retrieval systems, labor difficulties, war or civil unrest.</w:t>
      </w:r>
    </w:p>
    <w:p>
      <w:pPr>
        <w:spacing w:after="0" w:line="18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Section 38. </w:t>
      </w:r>
      <w:r>
        <w:rPr>
          <w:rFonts w:ascii="Arial" w:cs="Arial" w:eastAsia="Arial" w:hAnsi="Arial"/>
          <w:sz w:val="16"/>
          <w:szCs w:val="16"/>
          <w:i w:val="1"/>
          <w:iCs w:val="1"/>
          <w:color w:val="auto"/>
        </w:rPr>
        <w:t>USA PATRIOT Act</w:t>
      </w:r>
      <w:r>
        <w:rPr>
          <w:rFonts w:ascii="Arial" w:cs="Arial" w:eastAsia="Arial" w:hAnsi="Arial"/>
          <w:sz w:val="16"/>
          <w:szCs w:val="16"/>
          <w:color w:val="auto"/>
        </w:rPr>
        <w:t>. The Company acknowledges that the Rights Agent is subject to the customer identification program requirements pursuant to the USA PATRIOT Act and its implementing regulations, and that the Rights Agent must obtain, verify and record information that allows the Rights Agent to identify the Company. Accordingly, prior to accepting an appointment hereunder, the Rights Agent has received information from the Company that will help the Rights Agent to identify the Company, including the Company’s physical address, tax identification number, organizational documents, certificate of good standing, license to do business or such other information that the Rights Agent deems necessary and, pending verification of such received information, the Rights Agent may request additional such information. The Company agrees to provide all reasonably requested information necessary for the Rights Agent to verify the Company’s identity in accordance with such customer identification program requirements.</w:t>
      </w:r>
    </w:p>
    <w:p>
      <w:pPr>
        <w:spacing w:after="0" w:line="16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00"/>
          </w:cols>
          <w:pgMar w:left="240" w:top="274" w:right="35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Plan to be duly executed as of the day and year first above written.</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FLUIDIGM CORPORATION</w:t>
      </w:r>
    </w:p>
    <w:p>
      <w:pPr>
        <w:spacing w:after="0" w:line="229"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Vikram Jog</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Vikram Jog</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COMPUTERSHARE, INC.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V. Moccia</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Dennis V. Moccia</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Manager, Contract Administration</w:t>
            </w:r>
          </w:p>
        </w:tc>
      </w:tr>
    </w:tbl>
    <w:p>
      <w:pPr>
        <w:spacing w:after="0" w:line="202"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[Signature Page to Tax Benefit Preservation Plan]</w:t>
      </w:r>
    </w:p>
    <w:p>
      <w:pPr>
        <w:sectPr>
          <w:pgSz w:w="11900" w:h="16838" w:orient="portrait"/>
          <w:cols w:equalWidth="0" w:num="1">
            <w:col w:w="10960"/>
          </w:cols>
          <w:pgMar w:left="700" w:top="274"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DESIGNATION OF RIGHTS, PREFERENCES AND PRIVILEGES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SERIES A PARTICIPATING PREFERRED STOCK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228600</wp:posOffset>
            </wp:positionV>
            <wp:extent cx="304419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151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Corporation Law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237490</wp:posOffset>
            </wp:positionV>
            <wp:extent cx="304419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jc w:val="both"/>
        <w:ind w:right="60" w:firstLine="456"/>
        <w:spacing w:after="0" w:line="282" w:lineRule="auto"/>
        <w:rPr>
          <w:sz w:val="20"/>
          <w:szCs w:val="20"/>
          <w:color w:val="auto"/>
        </w:rPr>
      </w:pPr>
      <w:r>
        <w:rPr>
          <w:rFonts w:ascii="Arial" w:cs="Arial" w:eastAsia="Arial" w:hAnsi="Arial"/>
          <w:sz w:val="18"/>
          <w:szCs w:val="18"/>
          <w:color w:val="auto"/>
        </w:rPr>
        <w:t>FLUIDIGM CORPORATION, a corporation organized and existing under the General Corporation Law of the State of Delaware (the “</w:t>
      </w:r>
      <w:r>
        <w:rPr>
          <w:rFonts w:ascii="Arial" w:cs="Arial" w:eastAsia="Arial" w:hAnsi="Arial"/>
          <w:sz w:val="18"/>
          <w:szCs w:val="18"/>
          <w:b w:val="1"/>
          <w:bCs w:val="1"/>
          <w:color w:val="auto"/>
        </w:rPr>
        <w:t>Corporation</w:t>
      </w:r>
      <w:r>
        <w:rPr>
          <w:rFonts w:ascii="Arial" w:cs="Arial" w:eastAsia="Arial" w:hAnsi="Arial"/>
          <w:sz w:val="18"/>
          <w:szCs w:val="18"/>
          <w:color w:val="auto"/>
        </w:rPr>
        <w:t>”), in accordance with the provisions of Section 103 thereof, does hereby certify:</w:t>
      </w:r>
    </w:p>
    <w:p>
      <w:pPr>
        <w:spacing w:after="0" w:line="162" w:lineRule="exact"/>
        <w:rPr>
          <w:sz w:val="20"/>
          <w:szCs w:val="20"/>
          <w:color w:val="auto"/>
        </w:rPr>
      </w:pPr>
    </w:p>
    <w:p>
      <w:pPr>
        <w:jc w:val="both"/>
        <w:ind w:right="40" w:firstLine="456"/>
        <w:spacing w:after="0" w:line="266" w:lineRule="auto"/>
        <w:rPr>
          <w:sz w:val="20"/>
          <w:szCs w:val="20"/>
          <w:color w:val="auto"/>
        </w:rPr>
      </w:pPr>
      <w:r>
        <w:rPr>
          <w:rFonts w:ascii="Arial" w:cs="Arial" w:eastAsia="Arial" w:hAnsi="Arial"/>
          <w:sz w:val="18"/>
          <w:szCs w:val="18"/>
          <w:color w:val="auto"/>
        </w:rPr>
        <w:t>That pursuant to the authority conferred upon the Board of Directors of the Corporation (the “</w:t>
      </w:r>
      <w:r>
        <w:rPr>
          <w:rFonts w:ascii="Arial" w:cs="Arial" w:eastAsia="Arial" w:hAnsi="Arial"/>
          <w:sz w:val="18"/>
          <w:szCs w:val="18"/>
          <w:b w:val="1"/>
          <w:bCs w:val="1"/>
          <w:color w:val="auto"/>
        </w:rPr>
        <w:t>Board</w:t>
      </w:r>
      <w:r>
        <w:rPr>
          <w:rFonts w:ascii="Arial" w:cs="Arial" w:eastAsia="Arial" w:hAnsi="Arial"/>
          <w:sz w:val="18"/>
          <w:szCs w:val="18"/>
          <w:color w:val="auto"/>
        </w:rPr>
        <w:t>”) by the Eighth Amended and Restated Certificate of Incorporation of the Corporation, on November 21, 2016, the Board adopted the following resolutions creating a series of preferred stock, par value $0.001 per share (“</w:t>
      </w:r>
      <w:r>
        <w:rPr>
          <w:rFonts w:ascii="Arial" w:cs="Arial" w:eastAsia="Arial" w:hAnsi="Arial"/>
          <w:sz w:val="18"/>
          <w:szCs w:val="18"/>
          <w:b w:val="1"/>
          <w:bCs w:val="1"/>
          <w:color w:val="auto"/>
        </w:rPr>
        <w:t>Preferred Stock</w:t>
      </w:r>
      <w:r>
        <w:rPr>
          <w:rFonts w:ascii="Arial" w:cs="Arial" w:eastAsia="Arial" w:hAnsi="Arial"/>
          <w:sz w:val="18"/>
          <w:szCs w:val="18"/>
          <w:color w:val="auto"/>
        </w:rPr>
        <w:t>”), of the Corporation designated as Series A Participating Preferred Stock:</w:t>
      </w:r>
    </w:p>
    <w:p>
      <w:pPr>
        <w:spacing w:after="0" w:line="176" w:lineRule="exact"/>
        <w:rPr>
          <w:sz w:val="20"/>
          <w:szCs w:val="20"/>
          <w:color w:val="auto"/>
        </w:rPr>
      </w:pPr>
    </w:p>
    <w:p>
      <w:pPr>
        <w:ind w:right="180" w:firstLine="456"/>
        <w:spacing w:after="0" w:line="261"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pursuant to the authority vested in the Board by the Eighth Amended and Restated Certificate of Incorporation of the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color w:val="auto"/>
        </w:rPr>
        <w:t>Charter</w:t>
      </w:r>
      <w:r>
        <w:rPr>
          <w:rFonts w:ascii="Arial" w:cs="Arial" w:eastAsia="Arial" w:hAnsi="Arial"/>
          <w:sz w:val="18"/>
          <w:szCs w:val="18"/>
          <w:color w:val="auto"/>
        </w:rPr>
        <w:t>”), the Board does hereby provide for the issuance of a series of Preferred Stock of the Corporation and does hereby fix and herein state and express the designations, powers, preferences and relative and other special rights, and the qualifications, limitations and restrictions, of such series of Preferred Stock as follows:</w:t>
      </w:r>
    </w:p>
    <w:p>
      <w:pPr>
        <w:spacing w:after="0" w:line="180" w:lineRule="exact"/>
        <w:rPr>
          <w:sz w:val="20"/>
          <w:szCs w:val="20"/>
          <w:color w:val="auto"/>
        </w:rPr>
      </w:pPr>
    </w:p>
    <w:p>
      <w:pPr>
        <w:ind w:firstLine="456"/>
        <w:spacing w:after="0" w:line="274"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i w:val="1"/>
          <w:iCs w:val="1"/>
          <w:color w:val="auto"/>
        </w:rPr>
        <w:t>Designation and Amount</w:t>
      </w:r>
      <w:r>
        <w:rPr>
          <w:rFonts w:ascii="Arial" w:cs="Arial" w:eastAsia="Arial" w:hAnsi="Arial"/>
          <w:sz w:val="17"/>
          <w:szCs w:val="17"/>
          <w:color w:val="auto"/>
        </w:rPr>
        <w:t>. The shares of such series shall be designated as “</w:t>
      </w:r>
      <w:r>
        <w:rPr>
          <w:rFonts w:ascii="Arial" w:cs="Arial" w:eastAsia="Arial" w:hAnsi="Arial"/>
          <w:sz w:val="17"/>
          <w:szCs w:val="17"/>
          <w:b w:val="1"/>
          <w:bCs w:val="1"/>
          <w:color w:val="auto"/>
        </w:rPr>
        <w:t>Series A Participating Preferred Stock</w:t>
      </w:r>
      <w:r>
        <w:rPr>
          <w:rFonts w:ascii="Arial" w:cs="Arial" w:eastAsia="Arial" w:hAnsi="Arial"/>
          <w:sz w:val="17"/>
          <w:szCs w:val="17"/>
          <w:color w:val="auto"/>
        </w:rPr>
        <w:t xml:space="preserve">.” The Series A Participating Preferred Stock shall have a par value of $0.001 per share, and the number of shares constituting such series shall be 50,000. Such number of shares may be increased or decreased by resolution of the Board;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decrease shall reduce the number of shares of Series A Participating Preferred Stock to a number less than the number of shares then outstanding plus the number of shares reserved for issuance upon the exercise of outstanding options, rights or warrants or upon the exercise of any options, rights or warrants issuable upon conversion of any outstanding securities issued by the Corporation convertible into Series A Participating Preferred Stock.</w:t>
      </w:r>
    </w:p>
    <w:p>
      <w:pPr>
        <w:spacing w:after="0" w:line="178"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i w:val="1"/>
          <w:iCs w:val="1"/>
          <w:color w:val="auto"/>
        </w:rPr>
        <w:t>Proportional Adjustment</w:t>
      </w:r>
      <w:r>
        <w:rPr>
          <w:rFonts w:ascii="Arial" w:cs="Arial" w:eastAsia="Arial" w:hAnsi="Arial"/>
          <w:sz w:val="16"/>
          <w:szCs w:val="16"/>
          <w:color w:val="auto"/>
        </w:rPr>
        <w:t>. In the event that the Corporation shall at any time after the issuance of any share or shares of Series A Participating Preferred Stock (the “</w:t>
      </w:r>
      <w:r>
        <w:rPr>
          <w:rFonts w:ascii="Arial" w:cs="Arial" w:eastAsia="Arial" w:hAnsi="Arial"/>
          <w:sz w:val="16"/>
          <w:szCs w:val="16"/>
          <w:b w:val="1"/>
          <w:bCs w:val="1"/>
          <w:color w:val="auto"/>
        </w:rPr>
        <w:t>Rights Declaration Date</w:t>
      </w:r>
      <w:r>
        <w:rPr>
          <w:rFonts w:ascii="Arial" w:cs="Arial" w:eastAsia="Arial" w:hAnsi="Arial"/>
          <w:sz w:val="16"/>
          <w:szCs w:val="16"/>
          <w:color w:val="auto"/>
        </w:rPr>
        <w:t>”) (a) declare any dividend on the common stock of the Corporation, par value $0.001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payable in shares of Common Stock, (b) subdivide the outstanding Common Stock or (c) combine the outstanding Common Stock into a smaller number of shares, then in each such case the Corporation shall simultaneously effect a proportional adjustment to the number of outstanding shares of Series A Participating Preferred Stock by an amount the numerator of which is the number of shares of Common Stock outstanding immediately after such event and the denominator of which is the number of shares of Common Stock that were outstanding immediately prior to such event.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0" w:right="239" w:bottom="1440" w:gutter="0" w:footer="0" w:header="0"/>
        </w:sectPr>
      </w:pPr>
    </w:p>
    <w:bookmarkStart w:id="73" w:name="page74"/>
    <w:bookmarkEnd w:id="73"/>
    <w:p>
      <w:pPr>
        <w:ind w:left="460"/>
        <w:spacing w:after="0"/>
        <w:tabs>
          <w:tab w:leader="none" w:pos="13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3.</w:t>
      </w:r>
      <w:r>
        <w:rPr>
          <w:sz w:val="20"/>
          <w:szCs w:val="20"/>
          <w:color w:val="auto"/>
        </w:rPr>
        <w:tab/>
      </w:r>
      <w:r>
        <w:rPr>
          <w:rFonts w:ascii="Arial" w:cs="Arial" w:eastAsia="Arial" w:hAnsi="Arial"/>
          <w:sz w:val="16"/>
          <w:szCs w:val="16"/>
          <w:i w:val="1"/>
          <w:iCs w:val="1"/>
          <w:color w:val="auto"/>
        </w:rPr>
        <w:t>Dividends and Distributions</w:t>
      </w:r>
      <w:r>
        <w:rPr>
          <w:rFonts w:ascii="Arial" w:cs="Arial" w:eastAsia="Arial" w:hAnsi="Arial"/>
          <w:sz w:val="16"/>
          <w:szCs w:val="16"/>
          <w:color w:val="auto"/>
        </w:rPr>
        <w:t>.</w:t>
      </w:r>
    </w:p>
    <w:p>
      <w:pPr>
        <w:spacing w:after="0" w:line="117" w:lineRule="exact"/>
        <w:rPr>
          <w:sz w:val="20"/>
          <w:szCs w:val="20"/>
          <w:color w:val="auto"/>
        </w:rPr>
      </w:pPr>
    </w:p>
    <w:p>
      <w:pPr>
        <w:ind w:firstLine="921"/>
        <w:spacing w:after="0" w:line="270" w:lineRule="auto"/>
        <w:tabs>
          <w:tab w:leader="none" w:pos="1293" w:val="left"/>
        </w:tabs>
        <w:numPr>
          <w:ilvl w:val="0"/>
          <w:numId w:val="80"/>
        </w:numPr>
        <w:rPr>
          <w:rFonts w:ascii="Arial" w:cs="Arial" w:eastAsia="Arial" w:hAnsi="Arial"/>
          <w:sz w:val="17"/>
          <w:szCs w:val="17"/>
          <w:color w:val="auto"/>
        </w:rPr>
      </w:pPr>
      <w:r>
        <w:rPr>
          <w:rFonts w:ascii="Arial" w:cs="Arial" w:eastAsia="Arial" w:hAnsi="Arial"/>
          <w:sz w:val="17"/>
          <w:szCs w:val="17"/>
          <w:color w:val="auto"/>
        </w:rPr>
        <w:t>Subject to Section 2 and to the prior and superior rights of the holders of any shares of any series of Preferred Stock ranking prior and superior to the shares of Series A Participating Preferred Stock with respect to dividends, the holders of shares of Series A Participating Preferred Stock shall be entitled to receive, when, as and if declared by the Board out of funds legally available for the purpose, quarterly dividends payable in cash on the last day of October, January, April and July in each year (each such date being referred to herein as a “</w:t>
      </w:r>
      <w:r>
        <w:rPr>
          <w:rFonts w:ascii="Arial" w:cs="Arial" w:eastAsia="Arial" w:hAnsi="Arial"/>
          <w:sz w:val="17"/>
          <w:szCs w:val="17"/>
          <w:b w:val="1"/>
          <w:bCs w:val="1"/>
          <w:color w:val="auto"/>
        </w:rPr>
        <w:t>Quarterly Dividend Payment Date</w:t>
      </w:r>
      <w:r>
        <w:rPr>
          <w:rFonts w:ascii="Arial" w:cs="Arial" w:eastAsia="Arial" w:hAnsi="Arial"/>
          <w:sz w:val="17"/>
          <w:szCs w:val="17"/>
          <w:color w:val="auto"/>
        </w:rPr>
        <w:t>”), commencing on the first Quarterly Dividend Payment Date after the first issuance of a share or fraction of a share of Series A Participating Preferred Stock, in an amount per share (rounded to the nearest cent) equal to the greater of (i) $1.00 and (ii) subject to Section 2, 1,000 times the aggregate per share amount of all cash dividends, and 1,000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 Participating Preferred Stock.</w:t>
      </w:r>
    </w:p>
    <w:p>
      <w:pPr>
        <w:spacing w:after="0" w:line="177" w:lineRule="exact"/>
        <w:rPr>
          <w:rFonts w:ascii="Arial" w:cs="Arial" w:eastAsia="Arial" w:hAnsi="Arial"/>
          <w:sz w:val="17"/>
          <w:szCs w:val="17"/>
          <w:color w:val="auto"/>
        </w:rPr>
      </w:pPr>
    </w:p>
    <w:p>
      <w:pPr>
        <w:ind w:right="20" w:firstLine="921"/>
        <w:spacing w:after="0" w:line="257" w:lineRule="auto"/>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The Corporation shall declare a dividend or distribution on the Series A Participating Preferred Stock as provided in paragraph (a) above immediately after it declares a dividend or distribution on the Common Stock (other than a dividend payable in shares of Common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the event that no dividend or distribution shall have been declared on the Common Stock during the period between any Quarterly Dividend Payment Date and the next subsequent Quarterly Dividend Payment Date, a dividend of $1.00 per share on the Series A Participating Preferred Stock shall nevertheless be payable on such subsequent Quarterly Dividend Payment Date.</w:t>
      </w:r>
    </w:p>
    <w:p>
      <w:pPr>
        <w:spacing w:after="0" w:line="188" w:lineRule="exact"/>
        <w:rPr>
          <w:rFonts w:ascii="Arial" w:cs="Arial" w:eastAsia="Arial" w:hAnsi="Arial"/>
          <w:sz w:val="18"/>
          <w:szCs w:val="18"/>
          <w:color w:val="auto"/>
        </w:rPr>
      </w:pPr>
    </w:p>
    <w:p>
      <w:pPr>
        <w:ind w:firstLine="921"/>
        <w:spacing w:after="0" w:line="270" w:lineRule="auto"/>
        <w:tabs>
          <w:tab w:leader="none" w:pos="1293" w:val="left"/>
        </w:tabs>
        <w:numPr>
          <w:ilvl w:val="0"/>
          <w:numId w:val="80"/>
        </w:numPr>
        <w:rPr>
          <w:rFonts w:ascii="Arial" w:cs="Arial" w:eastAsia="Arial" w:hAnsi="Arial"/>
          <w:sz w:val="17"/>
          <w:szCs w:val="17"/>
          <w:color w:val="auto"/>
        </w:rPr>
      </w:pPr>
      <w:r>
        <w:rPr>
          <w:rFonts w:ascii="Arial" w:cs="Arial" w:eastAsia="Arial" w:hAnsi="Arial"/>
          <w:sz w:val="17"/>
          <w:szCs w:val="17"/>
          <w:color w:val="auto"/>
        </w:rPr>
        <w:t>Dividends shall begin to accrue and be cumulative on outstanding shares of Series A Participating Preferred Stock from the Quarterly Dividend Payment Date next preceding the date of issue of such shares of Series A Participating Preferred Stock,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 Participating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A Participating Preferred Stock in an amount less than the total amount of such dividends at the time accrued and payable on such shares shall be allocated pro rata on a share-by-share basis among all such shares at the time outstanding. The Board may fix a record date for the determination of holders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274" w:right="239" w:bottom="1440" w:gutter="0" w:footer="0" w:header="0"/>
        </w:sectPr>
      </w:pPr>
    </w:p>
    <w:bookmarkStart w:id="74" w:name="page75"/>
    <w:bookmarkEnd w:id="74"/>
    <w:p>
      <w:pPr>
        <w:ind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shares of Series A Participating Preferred Stock entitled to receive payment of a dividend or distribution declared thereon, which record date shall be no more than 60 days prior to the date fixed for the payment thereof.</w:t>
      </w:r>
    </w:p>
    <w:p>
      <w:pPr>
        <w:spacing w:after="0" w:line="170"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i w:val="1"/>
          <w:iCs w:val="1"/>
          <w:color w:val="auto"/>
        </w:rPr>
        <w:t>Voting Rights</w:t>
      </w:r>
      <w:r>
        <w:rPr>
          <w:rFonts w:ascii="Arial" w:cs="Arial" w:eastAsia="Arial" w:hAnsi="Arial"/>
          <w:sz w:val="16"/>
          <w:szCs w:val="16"/>
          <w:color w:val="auto"/>
        </w:rPr>
        <w:t>. The holders of shares of Series A Participating Preferred Stock shall have the following voting rights:</w:t>
      </w:r>
    </w:p>
    <w:p>
      <w:pPr>
        <w:spacing w:after="0" w:line="225" w:lineRule="exact"/>
        <w:rPr>
          <w:sz w:val="20"/>
          <w:szCs w:val="20"/>
          <w:color w:val="auto"/>
        </w:rPr>
      </w:pPr>
    </w:p>
    <w:p>
      <w:pPr>
        <w:ind w:right="280" w:firstLine="921"/>
        <w:spacing w:after="0" w:line="288" w:lineRule="auto"/>
        <w:tabs>
          <w:tab w:leader="none" w:pos="1293" w:val="left"/>
        </w:tabs>
        <w:numPr>
          <w:ilvl w:val="1"/>
          <w:numId w:val="81"/>
        </w:numPr>
        <w:rPr>
          <w:rFonts w:ascii="Arial" w:cs="Arial" w:eastAsia="Arial" w:hAnsi="Arial"/>
          <w:sz w:val="16"/>
          <w:szCs w:val="16"/>
          <w:color w:val="auto"/>
        </w:rPr>
      </w:pPr>
      <w:r>
        <w:rPr>
          <w:rFonts w:ascii="Arial" w:cs="Arial" w:eastAsia="Arial" w:hAnsi="Arial"/>
          <w:sz w:val="16"/>
          <w:szCs w:val="16"/>
          <w:color w:val="auto"/>
        </w:rPr>
        <w:t>Subject to the provision for adjustment hereinafter set forth, each share of Series A Participating Preferred Stock shall entitle the holder thereof to 1,000 votes on all matters submitted to a vote of the stockholders of the Corporation. In the event that the Corporation shall at any time after the Rights Declaration Date (i) declare any dividend on Common Stock payable in shares of Common Stock, (ii) subdivide the outstanding Common Stock or</w:t>
      </w:r>
    </w:p>
    <w:p>
      <w:pPr>
        <w:ind w:right="20" w:firstLine="8"/>
        <w:spacing w:after="0" w:line="254" w:lineRule="auto"/>
        <w:tabs>
          <w:tab w:leader="none" w:pos="315"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combine the outstanding Common Stock into a smaller number of shares, then in each such case the number of votes per share to which holders of shares of Series A Participating Preferred Stock were entitled immediately prior to such event shall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89" w:lineRule="exact"/>
        <w:rPr>
          <w:rFonts w:ascii="Arial" w:cs="Arial" w:eastAsia="Arial" w:hAnsi="Arial"/>
          <w:sz w:val="18"/>
          <w:szCs w:val="18"/>
          <w:color w:val="auto"/>
        </w:rPr>
      </w:pPr>
    </w:p>
    <w:p>
      <w:pPr>
        <w:jc w:val="both"/>
        <w:ind w:right="260" w:firstLine="921"/>
        <w:spacing w:after="0" w:line="312" w:lineRule="auto"/>
        <w:tabs>
          <w:tab w:leader="none" w:pos="1303" w:val="left"/>
        </w:tabs>
        <w:numPr>
          <w:ilvl w:val="1"/>
          <w:numId w:val="82"/>
        </w:numPr>
        <w:rPr>
          <w:rFonts w:ascii="Arial" w:cs="Arial" w:eastAsia="Arial" w:hAnsi="Arial"/>
          <w:sz w:val="16"/>
          <w:szCs w:val="16"/>
          <w:color w:val="auto"/>
        </w:rPr>
      </w:pPr>
      <w:r>
        <w:rPr>
          <w:rFonts w:ascii="Arial" w:cs="Arial" w:eastAsia="Arial" w:hAnsi="Arial"/>
          <w:sz w:val="16"/>
          <w:szCs w:val="16"/>
          <w:color w:val="auto"/>
        </w:rPr>
        <w:t>Except as otherwise provided herein, in any other Certificate of Designation creating a series of Preferred Stock or any similar stock, the Charter or the Amended and Restated Bylaws of the Corporation (the “</w:t>
      </w:r>
      <w:r>
        <w:rPr>
          <w:rFonts w:ascii="Arial" w:cs="Arial" w:eastAsia="Arial" w:hAnsi="Arial"/>
          <w:sz w:val="16"/>
          <w:szCs w:val="16"/>
          <w:b w:val="1"/>
          <w:bCs w:val="1"/>
          <w:color w:val="auto"/>
        </w:rPr>
        <w:t>Bylaws</w:t>
      </w:r>
      <w:r>
        <w:rPr>
          <w:rFonts w:ascii="Arial" w:cs="Arial" w:eastAsia="Arial" w:hAnsi="Arial"/>
          <w:sz w:val="16"/>
          <w:szCs w:val="16"/>
          <w:color w:val="auto"/>
        </w:rPr>
        <w:t>”), or by law, the holders of shares of Series A Participating Preferred Stock and the holders of shares of Common Stock shall vote together as one class on all matters submitted to a vote of stockholders of the Corporation.</w:t>
      </w:r>
    </w:p>
    <w:p>
      <w:pPr>
        <w:spacing w:after="0" w:line="146" w:lineRule="exact"/>
        <w:rPr>
          <w:rFonts w:ascii="Arial" w:cs="Arial" w:eastAsia="Arial" w:hAnsi="Arial"/>
          <w:sz w:val="16"/>
          <w:szCs w:val="16"/>
          <w:color w:val="auto"/>
        </w:rPr>
      </w:pPr>
    </w:p>
    <w:p>
      <w:pPr>
        <w:ind w:right="40" w:firstLine="921"/>
        <w:spacing w:after="0" w:line="264" w:lineRule="auto"/>
        <w:tabs>
          <w:tab w:leader="none" w:pos="1293" w:val="left"/>
        </w:tabs>
        <w:numPr>
          <w:ilvl w:val="1"/>
          <w:numId w:val="82"/>
        </w:numPr>
        <w:rPr>
          <w:rFonts w:ascii="Arial" w:cs="Arial" w:eastAsia="Arial" w:hAnsi="Arial"/>
          <w:sz w:val="18"/>
          <w:szCs w:val="18"/>
          <w:color w:val="auto"/>
        </w:rPr>
      </w:pPr>
      <w:r>
        <w:rPr>
          <w:rFonts w:ascii="Arial" w:cs="Arial" w:eastAsia="Arial" w:hAnsi="Arial"/>
          <w:sz w:val="18"/>
          <w:szCs w:val="18"/>
          <w:color w:val="auto"/>
        </w:rPr>
        <w:t>Except as set forth herein or as required by law, the holders of Series A Participating Preferred Stock shall have no special voting rights and their consent shall not be required (except to the extent that they are entitled to vote with holders of Common Stock as set forth herein) for taking any corporate action.</w:t>
      </w:r>
    </w:p>
    <w:p>
      <w:pPr>
        <w:spacing w:after="0" w:line="181" w:lineRule="exact"/>
        <w:rPr>
          <w:rFonts w:ascii="Arial" w:cs="Arial" w:eastAsia="Arial" w:hAnsi="Arial"/>
          <w:sz w:val="18"/>
          <w:szCs w:val="18"/>
          <w:color w:val="auto"/>
        </w:rPr>
      </w:pPr>
    </w:p>
    <w:p>
      <w:pPr>
        <w:ind w:firstLine="921"/>
        <w:spacing w:after="0" w:line="255" w:lineRule="auto"/>
        <w:tabs>
          <w:tab w:leader="none" w:pos="1303" w:val="left"/>
        </w:tabs>
        <w:numPr>
          <w:ilvl w:val="1"/>
          <w:numId w:val="82"/>
        </w:numPr>
        <w:rPr>
          <w:rFonts w:ascii="Arial" w:cs="Arial" w:eastAsia="Arial" w:hAnsi="Arial"/>
          <w:sz w:val="18"/>
          <w:szCs w:val="18"/>
          <w:color w:val="auto"/>
        </w:rPr>
      </w:pPr>
      <w:r>
        <w:rPr>
          <w:rFonts w:ascii="Arial" w:cs="Arial" w:eastAsia="Arial" w:hAnsi="Arial"/>
          <w:sz w:val="18"/>
          <w:szCs w:val="18"/>
          <w:color w:val="auto"/>
        </w:rPr>
        <w:t>(i) If at any time dividends on any Series A Participating Preferred Stock shall be in arrears in an amount equal to six quarterly dividends thereon, then the occurrence of such contingency shall mark the beginning of a period (herein called a “</w:t>
      </w:r>
      <w:r>
        <w:rPr>
          <w:rFonts w:ascii="Arial" w:cs="Arial" w:eastAsia="Arial" w:hAnsi="Arial"/>
          <w:sz w:val="18"/>
          <w:szCs w:val="18"/>
          <w:b w:val="1"/>
          <w:bCs w:val="1"/>
          <w:color w:val="auto"/>
        </w:rPr>
        <w:t>default period</w:t>
      </w:r>
      <w:r>
        <w:rPr>
          <w:rFonts w:ascii="Arial" w:cs="Arial" w:eastAsia="Arial" w:hAnsi="Arial"/>
          <w:sz w:val="18"/>
          <w:szCs w:val="18"/>
          <w:color w:val="auto"/>
        </w:rPr>
        <w:t>”) that shall extend until such time as all accrued and unpaid dividends for all previous quarterly dividend periods and for the current quarterly dividend period on all shares of Series A Participating Preferred Stock then outstanding shall have been declared and paid or set apart for payment. During each default period, all holders of Preferred Stock (including holders of Series A Participating Preferred Stock) with dividends in arrears in an amount equal to six quarterly dividends thereon, voting as a class, irrespective of series, shall have the right to elect two directors.</w:t>
      </w:r>
    </w:p>
    <w:p>
      <w:pPr>
        <w:spacing w:after="0" w:line="193" w:lineRule="exact"/>
        <w:rPr>
          <w:sz w:val="20"/>
          <w:szCs w:val="20"/>
          <w:color w:val="auto"/>
        </w:rPr>
      </w:pPr>
    </w:p>
    <w:p>
      <w:pPr>
        <w:ind w:right="120" w:firstLine="1492"/>
        <w:spacing w:after="0" w:line="259" w:lineRule="auto"/>
        <w:tabs>
          <w:tab w:leader="none" w:pos="1883"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During any default period, such voting right of the holders of Series A Participating Preferred Stock may be exercised initially at a special meeting called pursuant to subparagraph (iii) of this Section 4(d) or at any annual meeting of stockholders, and thereafter at annual meetings of stockholders;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voting right shall not be exercised unless the holders of at least one-third in number of shares of Preferred Stock outstanding shall be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00"/>
          </w:cols>
          <w:pgMar w:left="240" w:top="274" w:right="259" w:bottom="1440" w:gutter="0" w:footer="0" w:header="0"/>
        </w:sectPr>
      </w:pPr>
    </w:p>
    <w:bookmarkStart w:id="75" w:name="page76"/>
    <w:bookmarkEnd w:id="75"/>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present in person or by proxy. The absence of a quorum of the holders of Common Stock shall not affect the exercise by the holders of Preferred Stock of such voting right. At any meeting at which the holders of Preferred Stock shall exercise such voting right initially during an existing default period, they shall have the right, voting as a class, to elect directors to fill such vacancies, if any, in the Board as may then exist up to two directors or, if such right is exercised at an annual meeting of stockholders, to elect two directors. If the number that may be so elected at any special meeting does not amount to the required number, the holders of Preferred Stock shall have the right to make such increase in the number of directors as shall be necessary to permit the election by them of the required number. After the holders of Preferred Stock shall have exercised their right to elect directors in any default period and during the continuance of such period, the number of directors shall not be increased or decreased except by vote of the holders of Preferred Stock as herein provided or pursuant to the rights of any equity securities ranking senior to or pari passu with the Series A Participating Preferred Stock.</w:t>
      </w:r>
    </w:p>
    <w:p>
      <w:pPr>
        <w:spacing w:after="0" w:line="166" w:lineRule="exact"/>
        <w:rPr>
          <w:sz w:val="20"/>
          <w:szCs w:val="20"/>
          <w:color w:val="auto"/>
        </w:rPr>
      </w:pPr>
    </w:p>
    <w:p>
      <w:pPr>
        <w:ind w:firstLine="1492"/>
        <w:spacing w:after="0" w:line="269" w:lineRule="auto"/>
        <w:tabs>
          <w:tab w:leader="none" w:pos="1933" w:val="left"/>
        </w:tabs>
        <w:numPr>
          <w:ilvl w:val="0"/>
          <w:numId w:val="84"/>
        </w:numPr>
        <w:rPr>
          <w:rFonts w:ascii="Arial" w:cs="Arial" w:eastAsia="Arial" w:hAnsi="Arial"/>
          <w:sz w:val="17"/>
          <w:szCs w:val="17"/>
          <w:color w:val="auto"/>
        </w:rPr>
      </w:pPr>
      <w:r>
        <w:rPr>
          <w:rFonts w:ascii="Arial" w:cs="Arial" w:eastAsia="Arial" w:hAnsi="Arial"/>
          <w:sz w:val="17"/>
          <w:szCs w:val="17"/>
          <w:color w:val="auto"/>
        </w:rPr>
        <w:t>Unless the holders of Preferred Stock shall, during an existing default period, have previously exercised their right to elect directors, the Board may order, or any stockholder or stockholders owning in the aggregate not less than 10% of the total number of shares of Preferred Stock outstanding, irrespective of series, may request, the calling of a special meeting of the holders of Preferred Stock, which meeting shall thereupon be called by the Chairman of the Board, Chief Executive Officer, President, Chief Financial Officer, Secretary, Assistant Secretary or any Senior Vice President of the Corporation. Notice of such meeting and of any annual meeting at which holders of Preferred Stock are entitled to vote pursuant to this paragraph (d)(iii) shall be given to each holder of record of Preferred Stock by mailing a copy of such notice to such holder at such holder’s last address as the same appears on the books of the Corporation. Such meeting shall be called for a time not earlier than 20 days and not later than 60 days after such order or request, or in default of the calling of such meeting within 60 days after such order or request, such meeting may be called on similar notice by any stockholder or stockholders owning in the aggregate not less than 10% of the total number of shares of Preferred Stock outstanding. Notwithstanding the provisions of this paragraph (d) (iii), no such special meeting shall be called during the period within 60 days immediately preceding the date fixed for the next annual meeting of the stockholders.</w:t>
      </w:r>
    </w:p>
    <w:p>
      <w:pPr>
        <w:spacing w:after="0" w:line="182" w:lineRule="exact"/>
        <w:rPr>
          <w:rFonts w:ascii="Arial" w:cs="Arial" w:eastAsia="Arial" w:hAnsi="Arial"/>
          <w:sz w:val="17"/>
          <w:szCs w:val="17"/>
          <w:color w:val="auto"/>
        </w:rPr>
      </w:pPr>
    </w:p>
    <w:p>
      <w:pPr>
        <w:ind w:right="60" w:firstLine="1492"/>
        <w:spacing w:after="0" w:line="272" w:lineRule="auto"/>
        <w:tabs>
          <w:tab w:leader="none" w:pos="1923" w:val="left"/>
        </w:tabs>
        <w:numPr>
          <w:ilvl w:val="0"/>
          <w:numId w:val="84"/>
        </w:numPr>
        <w:rPr>
          <w:rFonts w:ascii="Arial" w:cs="Arial" w:eastAsia="Arial" w:hAnsi="Arial"/>
          <w:sz w:val="17"/>
          <w:szCs w:val="17"/>
          <w:color w:val="auto"/>
        </w:rPr>
      </w:pPr>
      <w:r>
        <w:rPr>
          <w:rFonts w:ascii="Arial" w:cs="Arial" w:eastAsia="Arial" w:hAnsi="Arial"/>
          <w:sz w:val="17"/>
          <w:szCs w:val="17"/>
          <w:color w:val="auto"/>
        </w:rPr>
        <w:t>In any default period, the holders of Common Stock and other classes of stock of the Corporation, if applicable, shall continue to be entitled to elect the whole number of directors until the holders of Preferred Stock shall have exercised their right to elect two directors voting as a class, after the exercise of which right (A) the directors so elected by the holders of Preferred Stock shall continue in office until their successors shall have been elected by such holders or until the expiration of the default period, and (B) any vacancy in the Board may (except as provided in subparagraph (ii) of this Section 4(d)) be filled by vote of a majority of the remaining directors theretofore elected by the holders of the class of stock that elected the director whose office shall have become vacant. References in this Section 4(d) to directors elected by the holders of a particular class of stock shall include directors elected by such directors to fill vacancies as provided in clause (B) of the foregoing sentence.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274" w:right="239" w:bottom="1440" w:gutter="0" w:footer="0" w:header="0"/>
        </w:sectPr>
      </w:pPr>
    </w:p>
    <w:bookmarkStart w:id="76" w:name="page77"/>
    <w:bookmarkEnd w:id="76"/>
    <w:p>
      <w:pPr>
        <w:ind w:left="-80" w:firstLine="1492"/>
        <w:spacing w:after="0" w:line="297" w:lineRule="auto"/>
        <w:tabs>
          <w:tab w:leader="none" w:pos="1793" w:val="left"/>
        </w:tabs>
        <w:numPr>
          <w:ilvl w:val="0"/>
          <w:numId w:val="8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Immediately upon the expiration of a default period, (A) the right of the holders of Preferred Stock as a class to elect directors shall cease, (B) the term of any directors elected by the holders of Preferred Stock as a class shall terminate and (C) the number of directors shall be such number as may be provided for in the Charter or the Bylaws irrespective of any increase made pursuant to the provisions of subparagraph (ii) of this Section 4(d) (such number being subject, however, to change thereafter in any manner provided by law or in the Charter or Bylaws). Any vacancies in the Board effected by the provisions of clauses (B) and (C) in the preceding sentence may be filled by a majority of the remaining directors.</w:t>
      </w:r>
    </w:p>
    <w:p>
      <w:pPr>
        <w:spacing w:after="0" w:line="266" w:lineRule="exact"/>
        <w:rPr>
          <w:sz w:val="20"/>
          <w:szCs w:val="20"/>
          <w:color w:val="auto"/>
        </w:rPr>
      </w:pPr>
    </w:p>
    <w:p>
      <w:pPr>
        <w:ind w:left="380"/>
        <w:spacing w:after="0"/>
        <w:tabs>
          <w:tab w:leader="none" w:pos="126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6"/>
          <w:szCs w:val="16"/>
          <w:i w:val="1"/>
          <w:iCs w:val="1"/>
          <w:color w:val="auto"/>
        </w:rPr>
        <w:t>Certain Restrictions</w:t>
      </w:r>
      <w:r>
        <w:rPr>
          <w:rFonts w:ascii="Arial" w:cs="Arial" w:eastAsia="Arial" w:hAnsi="Arial"/>
          <w:sz w:val="16"/>
          <w:szCs w:val="16"/>
          <w:color w:val="auto"/>
        </w:rPr>
        <w:t>.</w:t>
      </w:r>
    </w:p>
    <w:p>
      <w:pPr>
        <w:spacing w:after="0" w:line="117" w:lineRule="exact"/>
        <w:rPr>
          <w:sz w:val="20"/>
          <w:szCs w:val="20"/>
          <w:color w:val="auto"/>
        </w:rPr>
      </w:pPr>
    </w:p>
    <w:p>
      <w:pPr>
        <w:ind w:left="-80" w:firstLine="921"/>
        <w:spacing w:after="0" w:line="264" w:lineRule="auto"/>
        <w:tabs>
          <w:tab w:leader="none" w:pos="1209"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Corporation shall not declare any dividend on, make any distribution on, or redeem or purchase or otherwise acquire for consideration any shares of Common Stock after the first issuance of a share or fraction of a share of Series A Participating Preferred Stock unless concurrently therewith it shall declare a dividend on the Series A Participating Preferred Stock as required by Section 3 hereof.</w:t>
      </w:r>
    </w:p>
    <w:p>
      <w:pPr>
        <w:spacing w:after="0" w:line="181" w:lineRule="exact"/>
        <w:rPr>
          <w:rFonts w:ascii="Arial" w:cs="Arial" w:eastAsia="Arial" w:hAnsi="Arial"/>
          <w:sz w:val="18"/>
          <w:szCs w:val="18"/>
          <w:color w:val="auto"/>
        </w:rPr>
      </w:pPr>
    </w:p>
    <w:p>
      <w:pPr>
        <w:ind w:left="-80" w:right="420" w:firstLine="921"/>
        <w:spacing w:after="0" w:line="264" w:lineRule="auto"/>
        <w:tabs>
          <w:tab w:leader="none" w:pos="12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Whenever quarterly dividends or other dividends or distributions payable on the Series A Participating Preferred Stock as provided in Section 3 hereof are in arrears, thereafter and until all accrued and unpaid dividends and distributions, whether or not declared, on shares of Series A Participating Preferred Stock outstanding shall have been paid in full, the Corporation shall not:</w:t>
      </w:r>
    </w:p>
    <w:p>
      <w:pPr>
        <w:spacing w:after="0" w:line="181" w:lineRule="exact"/>
        <w:rPr>
          <w:rFonts w:ascii="Arial" w:cs="Arial" w:eastAsia="Arial" w:hAnsi="Arial"/>
          <w:sz w:val="18"/>
          <w:szCs w:val="18"/>
          <w:color w:val="auto"/>
        </w:rPr>
      </w:pPr>
    </w:p>
    <w:p>
      <w:pPr>
        <w:ind w:left="-80" w:right="360" w:firstLine="1492"/>
        <w:spacing w:after="0" w:line="342" w:lineRule="auto"/>
        <w:tabs>
          <w:tab w:leader="none" w:pos="1753" w:val="left"/>
        </w:tabs>
        <w:numPr>
          <w:ilvl w:val="1"/>
          <w:numId w:val="86"/>
        </w:numPr>
        <w:rPr>
          <w:rFonts w:ascii="Arial" w:cs="Arial" w:eastAsia="Arial" w:hAnsi="Arial"/>
          <w:sz w:val="16"/>
          <w:szCs w:val="16"/>
          <w:color w:val="auto"/>
        </w:rPr>
      </w:pPr>
      <w:r>
        <w:rPr>
          <w:rFonts w:ascii="Arial" w:cs="Arial" w:eastAsia="Arial" w:hAnsi="Arial"/>
          <w:sz w:val="16"/>
          <w:szCs w:val="16"/>
          <w:color w:val="auto"/>
        </w:rPr>
        <w:t>declare or pay dividends on, make any other distributions on, or redeem or purchase or otherwise acquire for consideration any shares of stock ranking junior (either as to dividends or upon liquidation, dissolution or winding up) to the Series A Participating Preferred Stock;</w:t>
      </w:r>
    </w:p>
    <w:p>
      <w:pPr>
        <w:spacing w:after="0" w:line="123" w:lineRule="exact"/>
        <w:rPr>
          <w:rFonts w:ascii="Arial" w:cs="Arial" w:eastAsia="Arial" w:hAnsi="Arial"/>
          <w:sz w:val="16"/>
          <w:szCs w:val="16"/>
          <w:color w:val="auto"/>
        </w:rPr>
      </w:pPr>
    </w:p>
    <w:p>
      <w:pPr>
        <w:ind w:left="-80" w:firstLine="1492"/>
        <w:spacing w:after="0" w:line="259" w:lineRule="auto"/>
        <w:tabs>
          <w:tab w:leader="none" w:pos="1803"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declare or pay dividends, or make any other distributions, on any shares of stock ranking on a parity (either as to dividends or upon liquidation, dissolution or winding up) with the Series A Participating Preferred Stock, except dividends paid ratably on the Series A Participating Preferred Stock and all such parity stock on which dividends are payable or in arrears in proportion to the total amounts to which the holders of all such shares are then entitled;</w:t>
      </w:r>
    </w:p>
    <w:p>
      <w:pPr>
        <w:spacing w:after="0" w:line="186" w:lineRule="exact"/>
        <w:rPr>
          <w:rFonts w:ascii="Arial" w:cs="Arial" w:eastAsia="Arial" w:hAnsi="Arial"/>
          <w:sz w:val="18"/>
          <w:szCs w:val="18"/>
          <w:color w:val="auto"/>
        </w:rPr>
      </w:pPr>
    </w:p>
    <w:p>
      <w:pPr>
        <w:ind w:left="-80" w:right="60" w:firstLine="1492"/>
        <w:spacing w:after="0" w:line="279" w:lineRule="auto"/>
        <w:tabs>
          <w:tab w:leader="none" w:pos="1853" w:val="left"/>
        </w:tabs>
        <w:numPr>
          <w:ilvl w:val="1"/>
          <w:numId w:val="86"/>
        </w:numPr>
        <w:rPr>
          <w:rFonts w:ascii="Arial" w:cs="Arial" w:eastAsia="Arial" w:hAnsi="Arial"/>
          <w:sz w:val="17"/>
          <w:szCs w:val="17"/>
          <w:color w:val="auto"/>
        </w:rPr>
      </w:pPr>
      <w:r>
        <w:rPr>
          <w:rFonts w:ascii="Arial" w:cs="Arial" w:eastAsia="Arial" w:hAnsi="Arial"/>
          <w:sz w:val="17"/>
          <w:szCs w:val="17"/>
          <w:color w:val="auto"/>
        </w:rPr>
        <w:t xml:space="preserve">redeem or purchase or otherwise acquire for consideration shares of any stock ranking on a parity (either as to dividends or upon liquidation, dissolution or winding up) with the Series A Participating Preferred Stock;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Corporation may at any time redeem, purchase or otherwise acquire shares of any such parity stock in exchange for shares of any stock of the Corporation ranking junior (either as to dividends or upon dissolution, liquidation or winding up) to the Series A Participating Preferred Stock; or</w:t>
      </w:r>
    </w:p>
    <w:p>
      <w:pPr>
        <w:spacing w:after="0" w:line="171" w:lineRule="exact"/>
        <w:rPr>
          <w:rFonts w:ascii="Arial" w:cs="Arial" w:eastAsia="Arial" w:hAnsi="Arial"/>
          <w:sz w:val="17"/>
          <w:szCs w:val="17"/>
          <w:color w:val="auto"/>
        </w:rPr>
      </w:pPr>
    </w:p>
    <w:p>
      <w:pPr>
        <w:jc w:val="both"/>
        <w:ind w:left="-80" w:right="200" w:firstLine="1492"/>
        <w:spacing w:after="0" w:line="264" w:lineRule="auto"/>
        <w:tabs>
          <w:tab w:leader="none" w:pos="1843" w:val="left"/>
        </w:tabs>
        <w:numPr>
          <w:ilvl w:val="1"/>
          <w:numId w:val="86"/>
        </w:numPr>
        <w:rPr>
          <w:rFonts w:ascii="Arial" w:cs="Arial" w:eastAsia="Arial" w:hAnsi="Arial"/>
          <w:sz w:val="18"/>
          <w:szCs w:val="18"/>
          <w:color w:val="auto"/>
        </w:rPr>
      </w:pPr>
      <w:r>
        <w:rPr>
          <w:rFonts w:ascii="Arial" w:cs="Arial" w:eastAsia="Arial" w:hAnsi="Arial"/>
          <w:sz w:val="18"/>
          <w:szCs w:val="18"/>
          <w:color w:val="auto"/>
        </w:rPr>
        <w:t>redeem or purchase or otherwise acquire for consideration any shares of Series A Participating Preferred Stock, or any shares of stock ranking on a parity with the Series A Participating Preferred Stock, except in accordance with a purchase offer made in writing or by publication (as determined by the Board) to all holders of such shares upon such terms as the Board,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260"/>
          </w:cols>
          <w:pgMar w:left="320" w:top="274" w:right="319" w:bottom="1440" w:gutter="0" w:footer="0" w:header="0"/>
        </w:sectPr>
      </w:pPr>
    </w:p>
    <w:bookmarkStart w:id="77" w:name="page78"/>
    <w:bookmarkEnd w:id="77"/>
    <w:p>
      <w:pPr>
        <w:ind w:right="4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170" w:lineRule="exact"/>
        <w:rPr>
          <w:sz w:val="20"/>
          <w:szCs w:val="20"/>
          <w:color w:val="auto"/>
        </w:rPr>
      </w:pPr>
    </w:p>
    <w:p>
      <w:pPr>
        <w:ind w:right="20" w:firstLine="921"/>
        <w:spacing w:after="0" w:line="264" w:lineRule="auto"/>
        <w:tabs>
          <w:tab w:leader="none" w:pos="1289"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Corporation shall not permit any subsidiary of the Corporation to purchase or otherwise acquire for consideration any shares of stock of the Corporation unless the Corporation could, pursuant to paragraph (a) of this Section 5, purchase or otherwise acquire such shares at such time and in such manner.</w:t>
      </w:r>
    </w:p>
    <w:p>
      <w:pPr>
        <w:spacing w:after="0" w:line="181"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i w:val="1"/>
          <w:iCs w:val="1"/>
          <w:color w:val="auto"/>
        </w:rPr>
        <w:t>Reacquired Shares</w:t>
      </w:r>
      <w:r>
        <w:rPr>
          <w:rFonts w:ascii="Arial" w:cs="Arial" w:eastAsia="Arial" w:hAnsi="Arial"/>
          <w:sz w:val="18"/>
          <w:szCs w:val="18"/>
          <w:color w:val="auto"/>
        </w:rPr>
        <w:t>. Any shares of Series A Participating Preferred Stock purchased or otherwise acquired by the Corporation in any manner whatsoever shall be retired and cancelled promptly after the acquisition thereof. All such shares shall upon their cancellation become authorized but unissued shares of Preferred Stock and may be reissued as part of a new series of Preferred Stock to be created by resolution or resolutions of the Board, subject to the conditions and restrictions on issuance set forth herein, in the Charter or in any other Certificate of Designation creating a series of Preferred Stock or any similar stock or as otherwise required by law.</w:t>
      </w:r>
    </w:p>
    <w:p>
      <w:pPr>
        <w:spacing w:after="0" w:line="296"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7"/>
          <w:szCs w:val="17"/>
          <w:i w:val="1"/>
          <w:iCs w:val="1"/>
          <w:color w:val="auto"/>
        </w:rPr>
        <w:t>Liquidation, Dissolution or Winding Up</w:t>
      </w:r>
      <w:r>
        <w:rPr>
          <w:rFonts w:ascii="Arial" w:cs="Arial" w:eastAsia="Arial" w:hAnsi="Arial"/>
          <w:sz w:val="17"/>
          <w:szCs w:val="17"/>
          <w:color w:val="auto"/>
        </w:rPr>
        <w:t>.</w:t>
      </w:r>
    </w:p>
    <w:p>
      <w:pPr>
        <w:spacing w:after="0" w:line="117" w:lineRule="exact"/>
        <w:rPr>
          <w:sz w:val="20"/>
          <w:szCs w:val="20"/>
          <w:color w:val="auto"/>
        </w:rPr>
      </w:pPr>
    </w:p>
    <w:p>
      <w:pPr>
        <w:ind w:firstLine="921"/>
        <w:spacing w:after="0" w:line="269" w:lineRule="auto"/>
        <w:tabs>
          <w:tab w:leader="none" w:pos="1293" w:val="left"/>
        </w:tabs>
        <w:numPr>
          <w:ilvl w:val="0"/>
          <w:numId w:val="88"/>
        </w:numPr>
        <w:rPr>
          <w:rFonts w:ascii="Arial" w:cs="Arial" w:eastAsia="Arial" w:hAnsi="Arial"/>
          <w:sz w:val="17"/>
          <w:szCs w:val="17"/>
          <w:color w:val="auto"/>
        </w:rPr>
      </w:pPr>
      <w:r>
        <w:rPr>
          <w:rFonts w:ascii="Arial" w:cs="Arial" w:eastAsia="Arial" w:hAnsi="Arial"/>
          <w:sz w:val="17"/>
          <w:szCs w:val="17"/>
          <w:color w:val="auto"/>
        </w:rPr>
        <w:t>Upon any liquidation (voluntary or otherwise), dissolution or winding up of the Corporation, no distribution shall be made to the holders of shares of stock ranking junior (either as to dividends or upon liquidation, dissolution or winding up) to the Series A Participating Preferred Stock unless, prior thereto, the holders of shares of Series A Participating Preferred Stock shall have received an amount equal to $1,000 per share of Series A Participating Preferred Stock, plus an amount equal to accrued and unpaid dividends and distributions thereon, whether or not declared, to the date of such payment (the “</w:t>
      </w:r>
      <w:r>
        <w:rPr>
          <w:rFonts w:ascii="Arial" w:cs="Arial" w:eastAsia="Arial" w:hAnsi="Arial"/>
          <w:sz w:val="17"/>
          <w:szCs w:val="17"/>
          <w:b w:val="1"/>
          <w:bCs w:val="1"/>
          <w:color w:val="auto"/>
        </w:rPr>
        <w:t>Series A Liquidation Preference</w:t>
      </w:r>
      <w:r>
        <w:rPr>
          <w:rFonts w:ascii="Arial" w:cs="Arial" w:eastAsia="Arial" w:hAnsi="Arial"/>
          <w:sz w:val="17"/>
          <w:szCs w:val="17"/>
          <w:color w:val="auto"/>
        </w:rPr>
        <w:t>”). Following the payment of the full amount of the Series A Liquidation Preference, no additional distributions shall be made to the holders of shares of Series A Participating Preferred Stock unless, prior thereto, the holders of shares of Common Stock shall have received an amount per share (the “</w:t>
      </w:r>
      <w:r>
        <w:rPr>
          <w:rFonts w:ascii="Arial" w:cs="Arial" w:eastAsia="Arial" w:hAnsi="Arial"/>
          <w:sz w:val="17"/>
          <w:szCs w:val="17"/>
          <w:b w:val="1"/>
          <w:bCs w:val="1"/>
          <w:color w:val="auto"/>
        </w:rPr>
        <w:t>Common Adjustment</w:t>
      </w:r>
      <w:r>
        <w:rPr>
          <w:rFonts w:ascii="Arial" w:cs="Arial" w:eastAsia="Arial" w:hAnsi="Arial"/>
          <w:sz w:val="17"/>
          <w:szCs w:val="17"/>
          <w:color w:val="auto"/>
        </w:rPr>
        <w:t>”) equal to the quotient obtained by dividing (i) the Series A Liquidation Preference by (ii) 1,000 (as appropriately adjusted to reflect events as stock splits, stock dividends and recapitalizations with respect to the Common Stock) (such number in clause (ii), the “</w:t>
      </w:r>
      <w:r>
        <w:rPr>
          <w:rFonts w:ascii="Arial" w:cs="Arial" w:eastAsia="Arial" w:hAnsi="Arial"/>
          <w:sz w:val="17"/>
          <w:szCs w:val="17"/>
          <w:b w:val="1"/>
          <w:bCs w:val="1"/>
          <w:color w:val="auto"/>
        </w:rPr>
        <w:t>Adjustment Number</w:t>
      </w:r>
      <w:r>
        <w:rPr>
          <w:rFonts w:ascii="Arial" w:cs="Arial" w:eastAsia="Arial" w:hAnsi="Arial"/>
          <w:sz w:val="17"/>
          <w:szCs w:val="17"/>
          <w:color w:val="auto"/>
        </w:rPr>
        <w:t>”). Following the payment of the full amount of the Series A Liquidation Preference and the Common Adjustment in respect of all outstanding shares of Series A Participating Preferred Stock and Common Stock, respectively, holders of Series A Participating Preferred Stock and holders of shares of Common Stock shall receive their ratable and proportionate share of the remaining assets to be distributed in the ratio of the Adjustment Number to one with respect to such Preferred Stock and Common Stock, on a per share basis, respectively.</w:t>
      </w:r>
    </w:p>
    <w:p>
      <w:pPr>
        <w:spacing w:after="0" w:line="179" w:lineRule="exact"/>
        <w:rPr>
          <w:rFonts w:ascii="Arial" w:cs="Arial" w:eastAsia="Arial" w:hAnsi="Arial"/>
          <w:sz w:val="17"/>
          <w:szCs w:val="17"/>
          <w:color w:val="auto"/>
        </w:rPr>
      </w:pPr>
    </w:p>
    <w:p>
      <w:pPr>
        <w:ind w:right="40" w:firstLine="921"/>
        <w:spacing w:after="0" w:line="257" w:lineRule="auto"/>
        <w:tabs>
          <w:tab w:leader="none" w:pos="1303"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 the event, however, that there are not sufficient assets available to permit payment in full of the Series A Liquidation Preference and the liquidation preferences of all other series of Preferred Stock, if any, that rank on a parity with the Series A Participating Preferred Stock, then such remaining assets shall be distributed ratably to the holders of such parity shares in proportion to their respective liquidation preferences. In the event, however, that there are not sufficient assets available to permit payment in full of the Common Adjustment, then such remaining assets shall be distributed ratably to the holders of Common Stock.</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20"/>
          </w:cols>
          <w:pgMar w:left="240" w:top="274" w:right="239" w:bottom="1440" w:gutter="0" w:footer="0" w:header="0"/>
        </w:sectPr>
      </w:pPr>
    </w:p>
    <w:bookmarkStart w:id="78" w:name="page79"/>
    <w:bookmarkEnd w:id="78"/>
    <w:p>
      <w:pPr>
        <w:ind w:right="60" w:firstLine="921"/>
        <w:spacing w:after="0" w:line="276" w:lineRule="auto"/>
        <w:tabs>
          <w:tab w:leader="none" w:pos="1293" w:val="left"/>
        </w:tabs>
        <w:numPr>
          <w:ilvl w:val="0"/>
          <w:numId w:val="8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that the Corporation shall at any time after the Rights Declaration Date (i) declare any dividend on the Common Stock payable in shares of Common Stock, (ii) subdivide the outstanding Common Stock or (iii) combine the outstanding Common Stock into a smaller number of shares, then in each such case the Corporation shall simultaneously effect a proportional adjustment to the Adjustment Number in effect immediately prior to such event by an amount the numerator of which is the number of shares of Common Stock outstanding immediately after such event and the denominator of which is the number of shares of Common Stock that were outstanding immediately prior to such event.</w:t>
      </w:r>
    </w:p>
    <w:p>
      <w:pPr>
        <w:spacing w:after="0" w:line="173"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i w:val="1"/>
          <w:iCs w:val="1"/>
          <w:color w:val="auto"/>
        </w:rPr>
        <w:t>Consolidation, Merger, etc</w:t>
      </w:r>
      <w:r>
        <w:rPr>
          <w:rFonts w:ascii="Arial" w:cs="Arial" w:eastAsia="Arial" w:hAnsi="Arial"/>
          <w:sz w:val="17"/>
          <w:szCs w:val="17"/>
          <w:color w:val="auto"/>
        </w:rPr>
        <w:t>. In the event that the Corporation shall enter into any consolidation, merger, combination, conversion, share exchange or other transaction in which the shares of Common Stock are exchanged for or changed into other stock, securities, cash and/or any other property (payable in kind), then in any such case the shares of Series A Participating Preferred Stock shall at the same time be similarly exchanged or changed in an amount per share (subject to Section 2) equal to 1,000 times the aggregate amount of stock, securities, cash and/or any other property (payable in kind), as the case may be, into which or for which each share of Common Stock is changed or exchanged.</w:t>
      </w:r>
    </w:p>
    <w:p>
      <w:pPr>
        <w:spacing w:after="0" w:line="173"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6"/>
          <w:szCs w:val="16"/>
          <w:i w:val="1"/>
          <w:iCs w:val="1"/>
          <w:color w:val="auto"/>
        </w:rPr>
        <w:t>No Redemption</w:t>
      </w:r>
      <w:r>
        <w:rPr>
          <w:rFonts w:ascii="Arial" w:cs="Arial" w:eastAsia="Arial" w:hAnsi="Arial"/>
          <w:sz w:val="16"/>
          <w:szCs w:val="16"/>
          <w:color w:val="auto"/>
        </w:rPr>
        <w:t>. The shares of Series A Participating Preferred Stock shall not be redeemable.</w:t>
      </w:r>
    </w:p>
    <w:p>
      <w:pPr>
        <w:spacing w:after="0" w:line="225"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i w:val="1"/>
          <w:iCs w:val="1"/>
          <w:color w:val="auto"/>
        </w:rPr>
        <w:t>Ranking</w:t>
      </w:r>
      <w:r>
        <w:rPr>
          <w:rFonts w:ascii="Arial" w:cs="Arial" w:eastAsia="Arial" w:hAnsi="Arial"/>
          <w:sz w:val="18"/>
          <w:szCs w:val="18"/>
          <w:color w:val="auto"/>
        </w:rPr>
        <w:t>. The Series A Participating Preferred Stock shall rank junior to all other series of the Preferred Stock as to the payment of dividends and the distribution of assets, unless the terms of any such series shall provide otherwise.</w:t>
      </w:r>
    </w:p>
    <w:p>
      <w:pPr>
        <w:spacing w:after="0" w:line="170"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i w:val="1"/>
          <w:iCs w:val="1"/>
          <w:color w:val="auto"/>
        </w:rPr>
        <w:t>Amendment</w:t>
      </w:r>
      <w:r>
        <w:rPr>
          <w:rFonts w:ascii="Arial" w:cs="Arial" w:eastAsia="Arial" w:hAnsi="Arial"/>
          <w:sz w:val="18"/>
          <w:szCs w:val="18"/>
          <w:color w:val="auto"/>
        </w:rPr>
        <w:t>. At any time when any shares of Series A Participating Preferred Stock are outstanding, neither the Charter nor this Certificate of Designation shall be amended in any manner that would materially alter or change the powers, preferences or special rights of the Series A Participating Preferred Stock so as to affect them adversely without the affirmative vote of the holders of at least two-thirds of the outstanding shares of Series A Participating Preferred Stock, voting separately as a class.</w:t>
      </w:r>
    </w:p>
    <w:p>
      <w:pPr>
        <w:spacing w:after="0" w:line="187"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i w:val="1"/>
          <w:iCs w:val="1"/>
          <w:color w:val="auto"/>
        </w:rPr>
        <w:t>Fractional Shares</w:t>
      </w:r>
      <w:r>
        <w:rPr>
          <w:rFonts w:ascii="Arial" w:cs="Arial" w:eastAsia="Arial" w:hAnsi="Arial"/>
          <w:sz w:val="18"/>
          <w:szCs w:val="18"/>
          <w:color w:val="auto"/>
        </w:rPr>
        <w:t>. Series A Participating Preferred Stock may be issued in fractions of a share that shall entitle the holder, in proportion to such holder’s fractional shares, to exercise voting rights, receive dividends, participate in distributions and to have the benefit of all other rights of holders of Series A Participating Preferred Stock.</w:t>
      </w:r>
    </w:p>
    <w:p>
      <w:pPr>
        <w:spacing w:after="0" w:line="181" w:lineRule="exact"/>
        <w:rPr>
          <w:sz w:val="20"/>
          <w:szCs w:val="20"/>
          <w:color w:val="auto"/>
        </w:rPr>
      </w:pPr>
    </w:p>
    <w:p>
      <w:pPr>
        <w:ind w:left="5200"/>
        <w:spacing w:after="0"/>
        <w:tabs>
          <w:tab w:leader="none" w:pos="5620" w:val="left"/>
          <w:tab w:leader="none" w:pos="6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380"/>
          </w:cols>
          <w:pgMar w:left="240" w:top="274" w:right="279" w:bottom="1440" w:gutter="0" w:footer="0" w:header="0"/>
        </w:sectPr>
      </w:pPr>
    </w:p>
    <w:bookmarkStart w:id="79" w:name="page80"/>
    <w:bookmarkEnd w:id="7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has executed this Certificate as of the 21st day of November, 2016.</w:t>
      </w:r>
    </w:p>
    <w:p>
      <w:pPr>
        <w:spacing w:after="0" w:line="260"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FLUIDIGM CORPORATION</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9759"/>
          </w:cols>
          <w:pgMar w:left="700" w:top="274" w:right="1440"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 CERTIFICATE</w:t>
      </w:r>
    </w:p>
    <w:p>
      <w:pPr>
        <w:spacing w:after="0" w:line="238" w:lineRule="exact"/>
        <w:rPr>
          <w:sz w:val="20"/>
          <w:szCs w:val="20"/>
          <w:color w:val="auto"/>
        </w:rPr>
      </w:pPr>
    </w:p>
    <w:p>
      <w:pPr>
        <w:spacing w:after="0"/>
        <w:tabs>
          <w:tab w:leader="none" w:pos="10660" w:val="left"/>
        </w:tabs>
        <w:rPr>
          <w:sz w:val="20"/>
          <w:szCs w:val="20"/>
          <w:color w:val="auto"/>
        </w:rPr>
      </w:pPr>
      <w:r>
        <w:rPr>
          <w:rFonts w:ascii="Arial" w:cs="Arial" w:eastAsia="Arial" w:hAnsi="Arial"/>
          <w:sz w:val="18"/>
          <w:szCs w:val="18"/>
          <w:color w:val="auto"/>
        </w:rPr>
        <w:t>Certificate No. R-[●]</w:t>
      </w:r>
      <w:r>
        <w:rPr>
          <w:sz w:val="20"/>
          <w:szCs w:val="20"/>
          <w:color w:val="auto"/>
        </w:rPr>
        <w:tab/>
      </w:r>
      <w:r>
        <w:rPr>
          <w:rFonts w:ascii="Arial" w:cs="Arial" w:eastAsia="Arial" w:hAnsi="Arial"/>
          <w:sz w:val="17"/>
          <w:szCs w:val="17"/>
          <w:color w:val="auto"/>
        </w:rPr>
        <w:t>[●] Rights</w:t>
      </w:r>
    </w:p>
    <w:p>
      <w:pPr>
        <w:spacing w:after="0" w:line="225" w:lineRule="exact"/>
        <w:rPr>
          <w:sz w:val="20"/>
          <w:szCs w:val="20"/>
          <w:color w:val="auto"/>
        </w:rPr>
      </w:pPr>
    </w:p>
    <w:p>
      <w:pPr>
        <w:ind w:left="460" w:right="80"/>
        <w:spacing w:after="0" w:line="253" w:lineRule="auto"/>
        <w:rPr>
          <w:sz w:val="20"/>
          <w:szCs w:val="20"/>
          <w:color w:val="auto"/>
        </w:rPr>
      </w:pPr>
      <w:r>
        <w:rPr>
          <w:rFonts w:ascii="Arial" w:cs="Arial" w:eastAsia="Arial" w:hAnsi="Arial"/>
          <w:sz w:val="18"/>
          <w:szCs w:val="18"/>
          <w:color w:val="auto"/>
        </w:rPr>
        <w:t>NOT EXERCISABLE AFTER NOVEMBER 21, 2019, OR SUCH EARLIER DATE AS THE RIGHTS ARE REDEEMED, EXCHANGED OR TERMINATED. THE RIGHTS ARE SUBJECT TO REDEMPTION, AT THE OPTION OF THE COMPANY (AS DEFINED BELOW), AT $0.01 PER RIGHT, AND EXCHANGE, IN EACH CASE PURSUANT TO THE TERMS SET FORTH IN THE PLAN (AS DEFINED BELOW). UNDER CERTAIN CIRCUMSTANCES, RIGHTS BENEFICIALLY OWNED BY AN ACQUIRING PERSON OR AN AFFILIATE OR ASSOCIATE OF AN ACQUIRING PERSON (AS SUCH TERMS ARE DEFINED IN THE PLAN) AND ANY SUBSEQUENT HOLDER OF SUCH RIGHTS MAY BECOME NULL AND VOID. [THE RIGHTS REPRESENTED BY THIS RIGHTS CERTIFICATE ARE OR WERE BENEFICIALLY OWNED BY A PERSON WHO WAS OR BECAME AN ACQUIRING PERSON OR AN AFFILIATE OR ASSOCIATE OF AN ACQUIRING PERSON. ACCORDINGLY, THIS RIGHTS CERTIFICATE AND THE RIGHTS REPRESENTED HEREBY MAY BECOME NULL AND VOID IN THE CIRCUMSTANCES SPECIFIED IN SECTION 7(e) OF THE PLAN.]</w:t>
      </w:r>
      <w:r>
        <w:rPr>
          <w:rFonts w:ascii="Arial" w:cs="Arial" w:eastAsia="Arial" w:hAnsi="Arial"/>
          <w:sz w:val="15"/>
          <w:szCs w:val="15"/>
          <w:color w:val="auto"/>
        </w:rPr>
        <w:t>1</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29" w:lineRule="exact"/>
        <w:rPr>
          <w:sz w:val="20"/>
          <w:szCs w:val="20"/>
          <w:color w:val="auto"/>
        </w:rPr>
      </w:pPr>
    </w:p>
    <w:p>
      <w:pPr>
        <w:ind w:left="460"/>
        <w:spacing w:after="0"/>
        <w:tabs>
          <w:tab w:leader="none" w:pos="3540" w:val="left"/>
        </w:tabs>
        <w:rPr>
          <w:sz w:val="20"/>
          <w:szCs w:val="20"/>
          <w:color w:val="auto"/>
        </w:rPr>
      </w:pPr>
      <w:r>
        <w:rPr>
          <w:rFonts w:ascii="Arial" w:cs="Arial" w:eastAsia="Arial" w:hAnsi="Arial"/>
          <w:sz w:val="18"/>
          <w:szCs w:val="18"/>
          <w:color w:val="auto"/>
        </w:rPr>
        <w:t>This certifies that</w:t>
      </w:r>
      <w:r>
        <w:rPr>
          <w:sz w:val="20"/>
          <w:szCs w:val="20"/>
          <w:color w:val="auto"/>
        </w:rPr>
        <w:tab/>
      </w:r>
      <w:r>
        <w:rPr>
          <w:rFonts w:ascii="Arial" w:cs="Arial" w:eastAsia="Arial" w:hAnsi="Arial"/>
          <w:sz w:val="16"/>
          <w:szCs w:val="16"/>
          <w:color w:val="auto"/>
        </w:rPr>
        <w:t>, or registered assigns, is the registered owner of the number of Rights set forth above, each of which entitles</w:t>
      </w:r>
    </w:p>
    <w:p>
      <w:pPr>
        <w:spacing w:after="0" w:line="2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owner thereof, subject to the terms, provisions and conditions of the Tax Benefit Preservation Plan, dated as of November 21, 2016 (the “</w:t>
      </w:r>
      <w:r>
        <w:rPr>
          <w:rFonts w:ascii="Arial" w:cs="Arial" w:eastAsia="Arial" w:hAnsi="Arial"/>
          <w:sz w:val="16"/>
          <w:szCs w:val="16"/>
          <w:b w:val="1"/>
          <w:bCs w:val="1"/>
          <w:color w:val="auto"/>
        </w:rPr>
        <w:t>Plan</w:t>
      </w:r>
      <w:r>
        <w:rPr>
          <w:rFonts w:ascii="Arial" w:cs="Arial" w:eastAsia="Arial" w:hAnsi="Arial"/>
          <w:sz w:val="16"/>
          <w:szCs w:val="16"/>
          <w:color w:val="auto"/>
        </w:rPr>
        <w:t>”), between Fluidigm Corporation,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Computershare Inc., a Delaware corporation (the “</w:t>
      </w:r>
      <w:r>
        <w:rPr>
          <w:rFonts w:ascii="Arial" w:cs="Arial" w:eastAsia="Arial" w:hAnsi="Arial"/>
          <w:sz w:val="16"/>
          <w:szCs w:val="16"/>
          <w:b w:val="1"/>
          <w:bCs w:val="1"/>
          <w:color w:val="auto"/>
        </w:rPr>
        <w:t>Rights Agent</w:t>
      </w:r>
      <w:r>
        <w:rPr>
          <w:rFonts w:ascii="Arial" w:cs="Arial" w:eastAsia="Arial" w:hAnsi="Arial"/>
          <w:sz w:val="16"/>
          <w:szCs w:val="16"/>
          <w:color w:val="auto"/>
        </w:rPr>
        <w:t>,” which term shall include any successor Rights Agent pursuant to the Plan), to purchase from the Company at any time after the Distribution Date (as such term is defined in the Plan) and prior to the Expiration Date (as such term is defined in the Plan) at the office of the Rights Agent designated for such purpose, or at the office of its successor as Rights Agent, one one-thousandth of a fully paid and nonassessable share of Series A Participating Preferred Stock, par value $0.001 per share (the “</w:t>
      </w:r>
      <w:r>
        <w:rPr>
          <w:rFonts w:ascii="Arial" w:cs="Arial" w:eastAsia="Arial" w:hAnsi="Arial"/>
          <w:sz w:val="16"/>
          <w:szCs w:val="16"/>
          <w:b w:val="1"/>
          <w:bCs w:val="1"/>
          <w:color w:val="auto"/>
        </w:rPr>
        <w:t>Preferred Shares</w:t>
      </w:r>
      <w:r>
        <w:rPr>
          <w:rFonts w:ascii="Arial" w:cs="Arial" w:eastAsia="Arial" w:hAnsi="Arial"/>
          <w:sz w:val="16"/>
          <w:szCs w:val="16"/>
          <w:color w:val="auto"/>
        </w:rPr>
        <w:t>”), of the Company, at an exercise price of $35.00 per one one-thousandth of a Preferred Share (the “</w:t>
      </w:r>
      <w:r>
        <w:rPr>
          <w:rFonts w:ascii="Arial" w:cs="Arial" w:eastAsia="Arial" w:hAnsi="Arial"/>
          <w:sz w:val="16"/>
          <w:szCs w:val="16"/>
          <w:b w:val="1"/>
          <w:bCs w:val="1"/>
          <w:color w:val="auto"/>
        </w:rPr>
        <w:t>Exercise Price</w:t>
      </w:r>
      <w:r>
        <w:rPr>
          <w:rFonts w:ascii="Arial" w:cs="Arial" w:eastAsia="Arial" w:hAnsi="Arial"/>
          <w:sz w:val="16"/>
          <w:szCs w:val="16"/>
          <w:color w:val="auto"/>
        </w:rPr>
        <w:t>”), upon presentation and surrender of this Rights Certificate with the Form of Election to Purchase and related Certificate duly executed. The number of Rights evidenced by this Rights Certificate (and the number of one one-thousandths of a Preferred Share that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89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45" w:lineRule="exact"/>
        <w:rPr>
          <w:sz w:val="20"/>
          <w:szCs w:val="20"/>
          <w:color w:val="auto"/>
        </w:rPr>
      </w:pPr>
    </w:p>
    <w:p>
      <w:pPr>
        <w:ind w:left="5580" w:right="3120" w:hanging="5572"/>
        <w:spacing w:after="0" w:line="449" w:lineRule="auto"/>
        <w:tabs>
          <w:tab w:leader="none" w:pos="225" w:val="left"/>
        </w:tabs>
        <w:numPr>
          <w:ilvl w:val="0"/>
          <w:numId w:val="90"/>
        </w:numPr>
        <w:rPr>
          <w:rFonts w:ascii="Arial" w:cs="Arial" w:eastAsia="Arial" w:hAnsi="Arial"/>
          <w:sz w:val="15"/>
          <w:szCs w:val="15"/>
          <w:color w:val="auto"/>
        </w:rPr>
      </w:pPr>
      <w:r>
        <w:rPr>
          <w:rFonts w:ascii="Arial" w:cs="Arial" w:eastAsia="Arial" w:hAnsi="Arial"/>
          <w:sz w:val="18"/>
          <w:szCs w:val="18"/>
          <w:color w:val="auto"/>
        </w:rPr>
        <w:t>The portion of the legend in brackets is to be inserted only if applicable and will replace the preceding sentence. B-1</w:t>
      </w:r>
    </w:p>
    <w:p>
      <w:pPr>
        <w:sectPr>
          <w:pgSz w:w="11900" w:h="16838" w:orient="portrait"/>
          <w:cols w:equalWidth="0" w:num="1">
            <w:col w:w="11420"/>
          </w:cols>
          <w:pgMar w:left="240" w:top="270" w:right="239" w:bottom="1440" w:gutter="0" w:footer="0" w:header="0"/>
        </w:sectPr>
      </w:pPr>
    </w:p>
    <w:bookmarkStart w:id="81" w:name="page82"/>
    <w:bookmarkEnd w:id="81"/>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purchased upon exercise hereof) set forth above, and the Exercise Price per share set forth above, are the number and Exercise Price as of December 1, 2016, based on the Preferred Shares as constituted at such date. As provided in the Plan, the Exercise Price and the number and kind of Preferred Shares or other securities that may be purchased upon the exercise of the Rights evidenced by this Rights Certificate are subject to modification and adjustment upon the occurrence of certain events. The Company reserves the right to require prior to the occurrence of a Triggering Event (as such term is defined in the Plan) that a number of Rights be exercised so that only whole Preferred Shares will be issued. Capitalized terms used in this Rights Certificate without definition shall have the meanings ascribed to them in the Plan.</w:t>
      </w:r>
    </w:p>
    <w:p>
      <w:pPr>
        <w:spacing w:after="0" w:line="19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Upon the occurrence of a Section 11(a)(ii) Event, if the Rights evidenced by this Rights Certificate are beneficially owned by an Acquiring Person, an Affiliate or Associate of an Acquiring Person, a Post-Event Transferee, a Pre-Event Transferee, a Subsequent Transferee or any nominee of any of the foregoing, such Rights shall become null and void and no holder hereof shall have any right with respect to such Rights from and after the occurrence of such Section 11(a)(ii) Event.</w:t>
      </w:r>
    </w:p>
    <w:p>
      <w:pPr>
        <w:spacing w:after="0" w:line="18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This Rights Certificate is subject to all of the terms, provisions and conditions of the Plan, which terms, provisions and conditions are hereby incorporated herein by reference and made a part hereof and to which Plan reference is hereby made for a full description of the rights, limitations of rights, obligations, duties and immunities hereunder of the Rights Agent, the Company and the holders of the Rights Certificates, which limitations of rights include the temporary suspension of the exercisability of such Rights under the specific circumstances set forth in the Plan. Copies of the Plan are on file at the principal executive offices of the Company and the above-mentioned office of the Rights Agent and are available without cost upon written request.</w:t>
      </w:r>
    </w:p>
    <w:p>
      <w:pPr>
        <w:spacing w:after="0" w:line="158"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Subject to the provisions of the Plan, the Rights evidenced by this Rights Certificate may be redeemed by the Company, at its option, at a redemption price of $0.01 per Right at any time prior to the earlier of (i) the Distribution Date or (ii) the Close of Business on the Final Expiration Date. In addition, under certain circumstances after any Person becomes an Acquiring Person, the Rights may be exchanged, in whole or in part, for Common Shares, or cash other securities of the Company having essentially the same value or economic rights as such shares. Immediately upon the action of the Board authorizing any such exchange, and without any further action or any notice, the Rights (other than Rights that are not subject to such exchange) will terminate and the Rights will only enable holders to receive the Common Shares (or cash or other securities or assets of the Company) issuable upon such exchange.</w:t>
      </w:r>
    </w:p>
    <w:p>
      <w:pPr>
        <w:spacing w:after="0" w:line="165"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This Rights Certificate, with or without other Rights Certificates, upon surrender at the office of the Rights Agent designated for such purpose, may be exchanged for another Rights Certificate or Rights Certificates of like tenor and date evidencing Rights entitling the holder to purchase a like number of one one-thousandths of a Preferred Share as the Rights evidenced by the Rights Certificate or Rights Certificates surrendered shall have entitled such holder to purchase. If this Rights Certificate is exercised in part, then the holder will be entitled to receive upon surrender hereof another Rights Certificate or Rights Certificates for the number of whole Rights not exercised.</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380"/>
          </w:cols>
          <w:pgMar w:left="240" w:top="274" w:right="279" w:bottom="1440" w:gutter="0" w:footer="0" w:header="0"/>
        </w:sectPr>
      </w:pPr>
    </w:p>
    <w:bookmarkStart w:id="82" w:name="page83"/>
    <w:bookmarkEnd w:id="82"/>
    <w:p>
      <w:pPr>
        <w:ind w:right="1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fractions of Preferred Shares (other than fractions that are integral multiples of one one-thousandth of a Preferred Share, which may, at the election of the Company, be evidenced by depositary receipts) will be issued upon the exercise of any Right or Rights evidenced hereby. In lieu thereof, a cash payment will be made as provided in the Plan. The Company, at its election, may require that a number of Rights be exercised so that only whole Preferred Shares would be issued.</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No holder of this Rights Certificate, as such, shall be entitled to vote or receive dividends or be deemed for any purpose the holder of the number of one one-thousandths of a Preferred Share or any other securities of the Company that may at any time be issuable on the exercise or exchange hereof, nor shall anything contained in herein or in the Plan be construed to confer upon the holder hereof,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specifically provided in the Plan), or to receive dividends or subscription rights, or otherwise, until the Right or Rights evidenced by this Rights Certificate shall have been exercised or exchange in accordance with the Plan.</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Rights Certificate shall not be valid or obligatory for any purpose until it shall have been countersigned by the Rights Agent.</w:t>
      </w:r>
    </w:p>
    <w:p>
      <w:pPr>
        <w:spacing w:after="0" w:line="225" w:lineRule="exact"/>
        <w:rPr>
          <w:sz w:val="20"/>
          <w:szCs w:val="20"/>
          <w:color w:val="auto"/>
        </w:rPr>
      </w:pPr>
    </w:p>
    <w:p>
      <w:pPr>
        <w:ind w:left="5220"/>
        <w:spacing w:after="0"/>
        <w:tabs>
          <w:tab w:leader="none" w:pos="5640" w:val="left"/>
          <w:tab w:leader="none" w:pos="61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20"/>
          </w:cols>
          <w:pgMar w:left="240" w:top="274" w:right="239" w:bottom="1440" w:gutter="0" w:footer="0" w:header="0"/>
        </w:sectPr>
      </w:pPr>
    </w:p>
    <w:bookmarkStart w:id="83" w:name="page84"/>
    <w:bookmarkEnd w:id="8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WITNESS the facsimile signature of the proper officers of the Company and its corporate seal.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40" w:type="dxa"/>
            <w:vAlign w:val="bottom"/>
            <w:gridSpan w:val="2"/>
          </w:tcPr>
          <w:p>
            <w:pPr>
              <w:spacing w:after="0"/>
              <w:rPr>
                <w:sz w:val="20"/>
                <w:szCs w:val="20"/>
                <w:color w:val="auto"/>
              </w:rPr>
            </w:pPr>
            <w:r>
              <w:rPr>
                <w:rFonts w:ascii="Arial" w:cs="Arial" w:eastAsia="Arial" w:hAnsi="Arial"/>
                <w:sz w:val="18"/>
                <w:szCs w:val="18"/>
                <w:color w:val="auto"/>
              </w:rPr>
              <w:t>Dated as of</w:t>
            </w:r>
          </w:p>
        </w:tc>
        <w:tc>
          <w:tcPr>
            <w:tcW w:w="9980" w:type="dxa"/>
            <w:vAlign w:val="bottom"/>
            <w:gridSpan w:val="3"/>
          </w:tcPr>
          <w:p>
            <w:pPr>
              <w:ind w:left="340"/>
              <w:spacing w:after="0"/>
              <w:rPr>
                <w:sz w:val="20"/>
                <w:szCs w:val="20"/>
                <w:color w:val="auto"/>
              </w:rPr>
            </w:pPr>
            <w:r>
              <w:rPr>
                <w:rFonts w:ascii="Arial" w:cs="Arial" w:eastAsia="Arial" w:hAnsi="Arial"/>
                <w:sz w:val="18"/>
                <w:szCs w:val="18"/>
                <w:color w:val="auto"/>
              </w:rPr>
              <w:t>, 20[●].</w:t>
            </w:r>
          </w:p>
        </w:tc>
      </w:tr>
      <w:tr>
        <w:trPr>
          <w:trHeight w:val="459"/>
        </w:trPr>
        <w:tc>
          <w:tcPr>
            <w:tcW w:w="1440" w:type="dxa"/>
            <w:vAlign w:val="bottom"/>
            <w:gridSpan w:val="2"/>
          </w:tcPr>
          <w:p>
            <w:pPr>
              <w:spacing w:after="0"/>
              <w:rPr>
                <w:sz w:val="20"/>
                <w:szCs w:val="20"/>
                <w:color w:val="auto"/>
              </w:rPr>
            </w:pPr>
            <w:r>
              <w:rPr>
                <w:rFonts w:ascii="Arial" w:cs="Arial" w:eastAsia="Arial" w:hAnsi="Arial"/>
                <w:sz w:val="18"/>
                <w:szCs w:val="18"/>
                <w:color w:val="auto"/>
              </w:rPr>
              <w:t>ATTEST:</w:t>
            </w:r>
          </w:p>
        </w:tc>
        <w:tc>
          <w:tcPr>
            <w:tcW w:w="3800" w:type="dxa"/>
            <w:vAlign w:val="bottom"/>
          </w:tcPr>
          <w:p>
            <w:pPr>
              <w:spacing w:after="0"/>
              <w:rPr>
                <w:sz w:val="24"/>
                <w:szCs w:val="24"/>
                <w:color w:val="auto"/>
              </w:rPr>
            </w:pPr>
          </w:p>
        </w:tc>
        <w:tc>
          <w:tcPr>
            <w:tcW w:w="6180" w:type="dxa"/>
            <w:vAlign w:val="bottom"/>
            <w:gridSpan w:val="2"/>
          </w:tcPr>
          <w:p>
            <w:pPr>
              <w:ind w:left="960"/>
              <w:spacing w:after="0"/>
              <w:rPr>
                <w:sz w:val="20"/>
                <w:szCs w:val="20"/>
                <w:color w:val="auto"/>
              </w:rPr>
            </w:pPr>
            <w:r>
              <w:rPr>
                <w:rFonts w:ascii="Arial" w:cs="Arial" w:eastAsia="Arial" w:hAnsi="Arial"/>
                <w:sz w:val="18"/>
                <w:szCs w:val="18"/>
                <w:b w:val="1"/>
                <w:bCs w:val="1"/>
                <w:color w:val="auto"/>
              </w:rPr>
              <w:t>FLUIDIGM CORPORATION</w:t>
            </w:r>
          </w:p>
        </w:tc>
      </w:tr>
      <w:tr>
        <w:trPr>
          <w:trHeight w:val="432"/>
        </w:trPr>
        <w:tc>
          <w:tcPr>
            <w:tcW w:w="1440" w:type="dxa"/>
            <w:vAlign w:val="bottom"/>
            <w:gridSpan w:val="2"/>
          </w:tcPr>
          <w:p>
            <w:pPr>
              <w:spacing w:after="0"/>
              <w:rPr>
                <w:sz w:val="20"/>
                <w:szCs w:val="20"/>
                <w:color w:val="auto"/>
              </w:rPr>
            </w:pPr>
            <w:r>
              <w:rPr>
                <w:rFonts w:ascii="Arial" w:cs="Arial" w:eastAsia="Arial" w:hAnsi="Arial"/>
                <w:sz w:val="18"/>
                <w:szCs w:val="18"/>
                <w:color w:val="auto"/>
              </w:rPr>
              <w:t>By:</w:t>
            </w:r>
          </w:p>
        </w:tc>
        <w:tc>
          <w:tcPr>
            <w:tcW w:w="3800" w:type="dxa"/>
            <w:vAlign w:val="bottom"/>
          </w:tcPr>
          <w:p>
            <w:pPr>
              <w:spacing w:after="0"/>
              <w:rPr>
                <w:sz w:val="24"/>
                <w:szCs w:val="24"/>
                <w:color w:val="auto"/>
              </w:rPr>
            </w:pPr>
          </w:p>
        </w:tc>
        <w:tc>
          <w:tcPr>
            <w:tcW w:w="6180" w:type="dxa"/>
            <w:vAlign w:val="bottom"/>
            <w:gridSpan w:val="2"/>
          </w:tcPr>
          <w:p>
            <w:pPr>
              <w:ind w:left="960"/>
              <w:spacing w:after="0"/>
              <w:rPr>
                <w:sz w:val="20"/>
                <w:szCs w:val="20"/>
                <w:color w:val="auto"/>
              </w:rPr>
            </w:pPr>
            <w:r>
              <w:rPr>
                <w:rFonts w:ascii="Arial" w:cs="Arial" w:eastAsia="Arial" w:hAnsi="Arial"/>
                <w:sz w:val="18"/>
                <w:szCs w:val="18"/>
                <w:color w:val="auto"/>
              </w:rPr>
              <w:t>By:</w:t>
            </w:r>
          </w:p>
        </w:tc>
      </w:tr>
      <w:tr>
        <w:trPr>
          <w:trHeight w:val="209"/>
        </w:trPr>
        <w:tc>
          <w:tcPr>
            <w:tcW w:w="800" w:type="dxa"/>
            <w:vAlign w:val="bottom"/>
          </w:tcPr>
          <w:p>
            <w:pPr>
              <w:spacing w:after="0"/>
              <w:rPr>
                <w:sz w:val="20"/>
                <w:szCs w:val="20"/>
                <w:color w:val="auto"/>
              </w:rPr>
            </w:pPr>
            <w:r>
              <w:rPr>
                <w:rFonts w:ascii="Arial" w:cs="Arial" w:eastAsia="Arial" w:hAnsi="Arial"/>
                <w:sz w:val="18"/>
                <w:szCs w:val="18"/>
                <w:color w:val="auto"/>
              </w:rPr>
              <w:t>Name:</w:t>
            </w:r>
          </w:p>
        </w:tc>
        <w:tc>
          <w:tcPr>
            <w:tcW w:w="640" w:type="dxa"/>
            <w:vAlign w:val="bottom"/>
            <w:tcBorders>
              <w:top w:val="single" w:sz="8" w:color="auto"/>
            </w:tcBorders>
          </w:tcPr>
          <w:p>
            <w:pPr>
              <w:spacing w:after="0"/>
              <w:rPr>
                <w:sz w:val="18"/>
                <w:szCs w:val="18"/>
                <w:color w:val="auto"/>
              </w:rPr>
            </w:pPr>
          </w:p>
        </w:tc>
        <w:tc>
          <w:tcPr>
            <w:tcW w:w="3800" w:type="dxa"/>
            <w:vAlign w:val="bottom"/>
            <w:tcBorders>
              <w:top w:val="single" w:sz="8" w:color="auto"/>
            </w:tcBorders>
          </w:tcPr>
          <w:p>
            <w:pPr>
              <w:spacing w:after="0"/>
              <w:rPr>
                <w:sz w:val="18"/>
                <w:szCs w:val="18"/>
                <w:color w:val="auto"/>
              </w:rPr>
            </w:pPr>
          </w:p>
        </w:tc>
        <w:tc>
          <w:tcPr>
            <w:tcW w:w="1740" w:type="dxa"/>
            <w:vAlign w:val="bottom"/>
          </w:tcPr>
          <w:p>
            <w:pPr>
              <w:ind w:left="960"/>
              <w:spacing w:after="0"/>
              <w:rPr>
                <w:sz w:val="20"/>
                <w:szCs w:val="20"/>
                <w:color w:val="auto"/>
              </w:rPr>
            </w:pPr>
            <w:r>
              <w:rPr>
                <w:rFonts w:ascii="Arial" w:cs="Arial" w:eastAsia="Arial" w:hAnsi="Arial"/>
                <w:sz w:val="18"/>
                <w:szCs w:val="18"/>
                <w:color w:val="auto"/>
              </w:rPr>
              <w:t>Name:</w:t>
            </w:r>
          </w:p>
        </w:tc>
        <w:tc>
          <w:tcPr>
            <w:tcW w:w="4440" w:type="dxa"/>
            <w:vAlign w:val="bottom"/>
            <w:tcBorders>
              <w:top w:val="single" w:sz="8" w:color="auto"/>
            </w:tcBorders>
          </w:tcPr>
          <w:p>
            <w:pPr>
              <w:spacing w:after="0"/>
              <w:rPr>
                <w:sz w:val="18"/>
                <w:szCs w:val="18"/>
                <w:color w:val="auto"/>
              </w:rPr>
            </w:pPr>
          </w:p>
        </w:tc>
      </w:tr>
      <w:tr>
        <w:trPr>
          <w:trHeight w:val="230"/>
        </w:trPr>
        <w:tc>
          <w:tcPr>
            <w:tcW w:w="1440" w:type="dxa"/>
            <w:vAlign w:val="bottom"/>
            <w:gridSpan w:val="2"/>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20"/>
                <w:szCs w:val="20"/>
                <w:color w:val="auto"/>
              </w:rPr>
            </w:pPr>
          </w:p>
        </w:tc>
        <w:tc>
          <w:tcPr>
            <w:tcW w:w="6180" w:type="dxa"/>
            <w:vAlign w:val="bottom"/>
            <w:gridSpan w:val="2"/>
          </w:tcPr>
          <w:p>
            <w:pPr>
              <w:ind w:left="960"/>
              <w:spacing w:after="0"/>
              <w:rPr>
                <w:sz w:val="20"/>
                <w:szCs w:val="20"/>
                <w:color w:val="auto"/>
              </w:rPr>
            </w:pPr>
            <w:r>
              <w:rPr>
                <w:rFonts w:ascii="Arial" w:cs="Arial" w:eastAsia="Arial" w:hAnsi="Arial"/>
                <w:sz w:val="18"/>
                <w:szCs w:val="18"/>
                <w:color w:val="auto"/>
              </w:rPr>
              <w:t>Title:</w:t>
            </w:r>
          </w:p>
        </w:tc>
      </w:tr>
      <w:tr>
        <w:trPr>
          <w:trHeight w:val="432"/>
        </w:trPr>
        <w:tc>
          <w:tcPr>
            <w:tcW w:w="1440" w:type="dxa"/>
            <w:vAlign w:val="bottom"/>
            <w:gridSpan w:val="2"/>
          </w:tcPr>
          <w:p>
            <w:pPr>
              <w:spacing w:after="0"/>
              <w:rPr>
                <w:sz w:val="20"/>
                <w:szCs w:val="20"/>
                <w:color w:val="auto"/>
              </w:rPr>
            </w:pPr>
            <w:r>
              <w:rPr>
                <w:rFonts w:ascii="Arial" w:cs="Arial" w:eastAsia="Arial" w:hAnsi="Arial"/>
                <w:sz w:val="18"/>
                <w:szCs w:val="18"/>
                <w:color w:val="auto"/>
              </w:rPr>
              <w:t>Countersigned:</w:t>
            </w:r>
          </w:p>
        </w:tc>
        <w:tc>
          <w:tcPr>
            <w:tcW w:w="38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440" w:type="dxa"/>
            <w:vAlign w:val="bottom"/>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COMPUTERSHARE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Rights 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14605</wp:posOffset>
            </wp:positionV>
            <wp:extent cx="282130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420"/>
          </w:cols>
          <w:pgMar w:left="240" w:top="274" w:right="2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8520" w:type="dxa"/>
            <w:vAlign w:val="bottom"/>
            <w:gridSpan w:val="2"/>
          </w:tcPr>
          <w:p>
            <w:pPr>
              <w:jc w:val="center"/>
              <w:ind w:left="890"/>
              <w:spacing w:after="0"/>
              <w:rPr>
                <w:sz w:val="20"/>
                <w:szCs w:val="20"/>
                <w:color w:val="auto"/>
              </w:rPr>
            </w:pPr>
            <w:r>
              <w:rPr>
                <w:rFonts w:ascii="Arial" w:cs="Arial" w:eastAsia="Arial" w:hAnsi="Arial"/>
                <w:sz w:val="18"/>
                <w:szCs w:val="18"/>
                <w:b w:val="1"/>
                <w:bCs w:val="1"/>
                <w:color w:val="auto"/>
                <w:w w:val="90"/>
              </w:rPr>
              <w:t>[Form of Reverse Side of Rights Certificate]</w:t>
            </w:r>
          </w:p>
        </w:tc>
        <w:tc>
          <w:tcPr>
            <w:tcW w:w="1940" w:type="dxa"/>
            <w:vAlign w:val="bottom"/>
          </w:tcPr>
          <w:p>
            <w:pPr>
              <w:spacing w:after="0"/>
              <w:rPr>
                <w:sz w:val="20"/>
                <w:szCs w:val="20"/>
                <w:color w:val="auto"/>
              </w:rPr>
            </w:pPr>
          </w:p>
        </w:tc>
      </w:tr>
      <w:tr>
        <w:trPr>
          <w:trHeight w:val="432"/>
        </w:trPr>
        <w:tc>
          <w:tcPr>
            <w:tcW w:w="960" w:type="dxa"/>
            <w:vAlign w:val="bottom"/>
          </w:tcPr>
          <w:p>
            <w:pPr>
              <w:spacing w:after="0"/>
              <w:rPr>
                <w:sz w:val="24"/>
                <w:szCs w:val="24"/>
                <w:color w:val="auto"/>
              </w:rPr>
            </w:pPr>
          </w:p>
        </w:tc>
        <w:tc>
          <w:tcPr>
            <w:tcW w:w="8520" w:type="dxa"/>
            <w:vAlign w:val="bottom"/>
            <w:gridSpan w:val="2"/>
          </w:tcPr>
          <w:p>
            <w:pPr>
              <w:jc w:val="center"/>
              <w:ind w:left="890"/>
              <w:spacing w:after="0"/>
              <w:rPr>
                <w:sz w:val="20"/>
                <w:szCs w:val="20"/>
                <w:color w:val="auto"/>
              </w:rPr>
            </w:pPr>
            <w:r>
              <w:rPr>
                <w:rFonts w:ascii="Arial" w:cs="Arial" w:eastAsia="Arial" w:hAnsi="Arial"/>
                <w:sz w:val="18"/>
                <w:szCs w:val="18"/>
                <w:b w:val="1"/>
                <w:bCs w:val="1"/>
                <w:color w:val="auto"/>
              </w:rPr>
              <w:t>FORM OF ASSIGNMENT</w:t>
            </w:r>
          </w:p>
        </w:tc>
        <w:tc>
          <w:tcPr>
            <w:tcW w:w="1940" w:type="dxa"/>
            <w:vAlign w:val="bottom"/>
          </w:tcPr>
          <w:p>
            <w:pPr>
              <w:spacing w:after="0"/>
              <w:rPr>
                <w:sz w:val="24"/>
                <w:szCs w:val="24"/>
                <w:color w:val="auto"/>
              </w:rPr>
            </w:pPr>
          </w:p>
        </w:tc>
      </w:tr>
      <w:tr>
        <w:trPr>
          <w:trHeight w:val="432"/>
        </w:trPr>
        <w:tc>
          <w:tcPr>
            <w:tcW w:w="960" w:type="dxa"/>
            <w:vAlign w:val="bottom"/>
          </w:tcPr>
          <w:p>
            <w:pPr>
              <w:spacing w:after="0"/>
              <w:rPr>
                <w:sz w:val="24"/>
                <w:szCs w:val="24"/>
                <w:color w:val="auto"/>
              </w:rPr>
            </w:pPr>
          </w:p>
        </w:tc>
        <w:tc>
          <w:tcPr>
            <w:tcW w:w="8520" w:type="dxa"/>
            <w:vAlign w:val="bottom"/>
            <w:gridSpan w:val="2"/>
          </w:tcPr>
          <w:p>
            <w:pPr>
              <w:jc w:val="center"/>
              <w:ind w:left="890"/>
              <w:spacing w:after="0"/>
              <w:rPr>
                <w:sz w:val="20"/>
                <w:szCs w:val="20"/>
                <w:color w:val="auto"/>
              </w:rPr>
            </w:pPr>
            <w:r>
              <w:rPr>
                <w:rFonts w:ascii="Arial" w:cs="Arial" w:eastAsia="Arial" w:hAnsi="Arial"/>
                <w:sz w:val="18"/>
                <w:szCs w:val="18"/>
                <w:color w:val="auto"/>
                <w:w w:val="90"/>
              </w:rPr>
              <w:t>(To be executed by the registered holder if such holder desires to transfer the Rights Certificate.)</w:t>
            </w:r>
          </w:p>
        </w:tc>
        <w:tc>
          <w:tcPr>
            <w:tcW w:w="1940" w:type="dxa"/>
            <w:vAlign w:val="bottom"/>
          </w:tcPr>
          <w:p>
            <w:pPr>
              <w:spacing w:after="0"/>
              <w:rPr>
                <w:sz w:val="24"/>
                <w:szCs w:val="24"/>
                <w:color w:val="auto"/>
              </w:rPr>
            </w:pPr>
          </w:p>
        </w:tc>
      </w:tr>
      <w:tr>
        <w:trPr>
          <w:trHeight w:val="432"/>
        </w:trPr>
        <w:tc>
          <w:tcPr>
            <w:tcW w:w="960" w:type="dxa"/>
            <w:vAlign w:val="bottom"/>
          </w:tcPr>
          <w:p>
            <w:pPr>
              <w:spacing w:after="0"/>
              <w:rPr>
                <w:sz w:val="24"/>
                <w:szCs w:val="24"/>
                <w:color w:val="auto"/>
              </w:rPr>
            </w:pPr>
          </w:p>
        </w:tc>
        <w:tc>
          <w:tcPr>
            <w:tcW w:w="4320" w:type="dxa"/>
            <w:vAlign w:val="bottom"/>
          </w:tcPr>
          <w:p>
            <w:pPr>
              <w:jc w:val="right"/>
              <w:ind w:right="410"/>
              <w:spacing w:after="0"/>
              <w:rPr>
                <w:sz w:val="20"/>
                <w:szCs w:val="20"/>
                <w:color w:val="auto"/>
              </w:rPr>
            </w:pPr>
            <w:r>
              <w:rPr>
                <w:rFonts w:ascii="Arial" w:cs="Arial" w:eastAsia="Arial" w:hAnsi="Arial"/>
                <w:sz w:val="18"/>
                <w:szCs w:val="18"/>
                <w:color w:val="auto"/>
              </w:rPr>
              <w:t>FOR VALUE RECEIVED</w:t>
            </w:r>
          </w:p>
        </w:tc>
        <w:tc>
          <w:tcPr>
            <w:tcW w:w="4200" w:type="dxa"/>
            <w:vAlign w:val="bottom"/>
          </w:tcPr>
          <w:p>
            <w:pPr>
              <w:ind w:left="480"/>
              <w:spacing w:after="0"/>
              <w:rPr>
                <w:sz w:val="20"/>
                <w:szCs w:val="20"/>
                <w:color w:val="auto"/>
              </w:rPr>
            </w:pPr>
            <w:r>
              <w:rPr>
                <w:rFonts w:ascii="Arial" w:cs="Arial" w:eastAsia="Arial" w:hAnsi="Arial"/>
                <w:sz w:val="18"/>
                <w:szCs w:val="18"/>
                <w:color w:val="auto"/>
              </w:rPr>
              <w:t>hereby sells, assigns and transfers unto</w:t>
            </w:r>
          </w:p>
        </w:tc>
        <w:tc>
          <w:tcPr>
            <w:tcW w:w="1940" w:type="dxa"/>
            <w:vAlign w:val="bottom"/>
          </w:tcPr>
          <w:p>
            <w:pPr>
              <w:spacing w:after="0"/>
              <w:rPr>
                <w:sz w:val="24"/>
                <w:szCs w:val="24"/>
                <w:color w:val="auto"/>
              </w:rPr>
            </w:pPr>
          </w:p>
        </w:tc>
      </w:tr>
      <w:tr>
        <w:trPr>
          <w:trHeight w:val="297"/>
        </w:trPr>
        <w:tc>
          <w:tcPr>
            <w:tcW w:w="960" w:type="dxa"/>
            <w:vAlign w:val="bottom"/>
            <w:tcBorders>
              <w:bottom w:val="single" w:sz="8" w:color="auto"/>
            </w:tcBorders>
          </w:tcPr>
          <w:p>
            <w:pPr>
              <w:spacing w:after="0"/>
              <w:rPr>
                <w:sz w:val="24"/>
                <w:szCs w:val="24"/>
                <w:color w:val="auto"/>
              </w:rPr>
            </w:pPr>
          </w:p>
        </w:tc>
        <w:tc>
          <w:tcPr>
            <w:tcW w:w="8520" w:type="dxa"/>
            <w:vAlign w:val="bottom"/>
            <w:tcBorders>
              <w:bottom w:val="single" w:sz="8" w:color="auto"/>
            </w:tcBorders>
            <w:gridSpan w:val="2"/>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r>
      <w:tr>
        <w:trPr>
          <w:trHeight w:val="250"/>
        </w:trPr>
        <w:tc>
          <w:tcPr>
            <w:tcW w:w="960" w:type="dxa"/>
            <w:vAlign w:val="bottom"/>
          </w:tcPr>
          <w:p>
            <w:pPr>
              <w:spacing w:after="0"/>
              <w:rPr>
                <w:sz w:val="21"/>
                <w:szCs w:val="21"/>
                <w:color w:val="auto"/>
              </w:rPr>
            </w:pPr>
          </w:p>
        </w:tc>
        <w:tc>
          <w:tcPr>
            <w:tcW w:w="8520" w:type="dxa"/>
            <w:vAlign w:val="bottom"/>
            <w:gridSpan w:val="2"/>
          </w:tcPr>
          <w:p>
            <w:pPr>
              <w:jc w:val="center"/>
              <w:ind w:left="910"/>
              <w:spacing w:after="0"/>
              <w:rPr>
                <w:sz w:val="20"/>
                <w:szCs w:val="20"/>
                <w:color w:val="auto"/>
              </w:rPr>
            </w:pPr>
            <w:r>
              <w:rPr>
                <w:rFonts w:ascii="Arial" w:cs="Arial" w:eastAsia="Arial" w:hAnsi="Arial"/>
                <w:sz w:val="18"/>
                <w:szCs w:val="18"/>
                <w:color w:val="auto"/>
                <w:w w:val="88"/>
              </w:rPr>
              <w:t>(Please print name and address of transferee)</w:t>
            </w:r>
          </w:p>
        </w:tc>
        <w:tc>
          <w:tcPr>
            <w:tcW w:w="1940" w:type="dxa"/>
            <w:vAlign w:val="bottom"/>
          </w:tcPr>
          <w:p>
            <w:pPr>
              <w:spacing w:after="0"/>
              <w:rPr>
                <w:sz w:val="21"/>
                <w:szCs w:val="21"/>
                <w:color w:val="auto"/>
              </w:rPr>
            </w:pPr>
          </w:p>
        </w:tc>
      </w:tr>
      <w:tr>
        <w:trPr>
          <w:trHeight w:val="297"/>
        </w:trPr>
        <w:tc>
          <w:tcPr>
            <w:tcW w:w="9480" w:type="dxa"/>
            <w:vAlign w:val="bottom"/>
            <w:tcBorders>
              <w:bottom w:val="single" w:sz="8" w:color="auto"/>
            </w:tcBorders>
            <w:gridSpan w:val="3"/>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r>
      <w:tr>
        <w:trPr>
          <w:trHeight w:val="411"/>
        </w:trPr>
        <w:tc>
          <w:tcPr>
            <w:tcW w:w="9480" w:type="dxa"/>
            <w:vAlign w:val="bottom"/>
            <w:gridSpan w:val="3"/>
          </w:tcPr>
          <w:p>
            <w:pPr>
              <w:spacing w:after="0"/>
              <w:rPr>
                <w:sz w:val="20"/>
                <w:szCs w:val="20"/>
                <w:color w:val="auto"/>
              </w:rPr>
            </w:pPr>
            <w:r>
              <w:rPr>
                <w:rFonts w:ascii="Arial" w:cs="Arial" w:eastAsia="Arial" w:hAnsi="Arial"/>
                <w:sz w:val="18"/>
                <w:szCs w:val="18"/>
                <w:color w:val="auto"/>
                <w:w w:val="98"/>
              </w:rPr>
              <w:t>this Rights Certificate, together with all right, title and interest therein, and does hereby irrevocably constitute and appoint</w:t>
            </w:r>
          </w:p>
        </w:tc>
        <w:tc>
          <w:tcPr>
            <w:tcW w:w="1940" w:type="dxa"/>
            <w:vAlign w:val="bottom"/>
          </w:tcPr>
          <w:p>
            <w:pPr>
              <w:ind w:left="300"/>
              <w:spacing w:after="0"/>
              <w:rPr>
                <w:sz w:val="20"/>
                <w:szCs w:val="20"/>
                <w:color w:val="auto"/>
              </w:rPr>
            </w:pPr>
            <w:r>
              <w:rPr>
                <w:rFonts w:ascii="Arial" w:cs="Arial" w:eastAsia="Arial" w:hAnsi="Arial"/>
                <w:sz w:val="18"/>
                <w:szCs w:val="18"/>
                <w:color w:val="auto"/>
                <w:w w:val="98"/>
              </w:rPr>
              <w:t>as attorney-in-fact to</w:t>
            </w:r>
          </w:p>
        </w:tc>
      </w:tr>
      <w:tr>
        <w:trPr>
          <w:trHeight w:val="230"/>
        </w:trPr>
        <w:tc>
          <w:tcPr>
            <w:tcW w:w="9480" w:type="dxa"/>
            <w:vAlign w:val="bottom"/>
            <w:gridSpan w:val="3"/>
          </w:tcPr>
          <w:p>
            <w:pPr>
              <w:spacing w:after="0"/>
              <w:rPr>
                <w:sz w:val="20"/>
                <w:szCs w:val="20"/>
                <w:color w:val="auto"/>
              </w:rPr>
            </w:pPr>
            <w:r>
              <w:rPr>
                <w:rFonts w:ascii="Arial" w:cs="Arial" w:eastAsia="Arial" w:hAnsi="Arial"/>
                <w:sz w:val="18"/>
                <w:szCs w:val="18"/>
                <w:color w:val="auto"/>
              </w:rPr>
              <w:t>transfer the within Rights Certificate on the books of the Company, with full power of substitution.</w:t>
            </w:r>
          </w:p>
        </w:tc>
        <w:tc>
          <w:tcPr>
            <w:tcW w:w="1940" w:type="dxa"/>
            <w:vAlign w:val="bottom"/>
          </w:tcPr>
          <w:p>
            <w:pPr>
              <w:spacing w:after="0"/>
              <w:rPr>
                <w:sz w:val="20"/>
                <w:szCs w:val="20"/>
                <w:color w:val="auto"/>
              </w:rPr>
            </w:pP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Dated:</w:t>
            </w:r>
          </w:p>
        </w:tc>
        <w:tc>
          <w:tcPr>
            <w:tcW w:w="4320" w:type="dxa"/>
            <w:vAlign w:val="bottom"/>
          </w:tcPr>
          <w:p>
            <w:pPr>
              <w:jc w:val="right"/>
              <w:ind w:right="3710"/>
              <w:spacing w:after="0"/>
              <w:rPr>
                <w:sz w:val="20"/>
                <w:szCs w:val="20"/>
                <w:color w:val="auto"/>
              </w:rPr>
            </w:pPr>
            <w:r>
              <w:rPr>
                <w:rFonts w:ascii="Arial" w:cs="Arial" w:eastAsia="Arial" w:hAnsi="Arial"/>
                <w:sz w:val="18"/>
                <w:szCs w:val="18"/>
                <w:color w:val="auto"/>
              </w:rPr>
              <w:t>.</w:t>
            </w:r>
          </w:p>
        </w:tc>
        <w:tc>
          <w:tcPr>
            <w:tcW w:w="4200" w:type="dxa"/>
            <w:vAlign w:val="bottom"/>
          </w:tcPr>
          <w:p>
            <w:pPr>
              <w:spacing w:after="0"/>
              <w:rPr>
                <w:sz w:val="24"/>
                <w:szCs w:val="24"/>
                <w:color w:val="auto"/>
              </w:rPr>
            </w:pPr>
          </w:p>
        </w:tc>
        <w:tc>
          <w:tcPr>
            <w:tcW w:w="19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291465</wp:posOffset>
            </wp:positionV>
            <wp:extent cx="289877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Medallion Guaranteed:</w:t>
      </w:r>
    </w:p>
    <w:p>
      <w:pPr>
        <w:spacing w:after="0" w:line="225"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Signatures must be guaranteed by an “Eligible Guarantor Institution” (with membership in an approved signature guarantee medallion program at a level acceptable to the Rights Agent) pursuant to Rule 17Ad-15 of the Securities Exchange Act of 1934, as amended. All guarantees must be by a financial institution (such as a bank or broker) that is a participant in the Securities Transfer Agents Medallion Program (STAMP), the NASDAQ Medallion Signature Program (MSP) or the Stock Exchanges Medallion Program (SEMP) and must not be dated. Guarantees by a notary public are not acceptable.</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420"/>
          </w:cols>
          <w:pgMar w:left="240" w:top="270" w:right="239" w:bottom="1440" w:gutter="0" w:footer="0" w:header="0"/>
        </w:sectPr>
      </w:pPr>
    </w:p>
    <w:bookmarkStart w:id="85" w:name="page86"/>
    <w:bookmarkEnd w:id="8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CERTIFICATE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undersigned hereby certifies, for the benefit of the Company and all holders of Rights and Common Shares, by checking the appropriate boxes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that:</w:t>
      </w:r>
    </w:p>
    <w:p>
      <w:pPr>
        <w:spacing w:after="0" w:line="116" w:lineRule="exact"/>
        <w:rPr>
          <w:sz w:val="20"/>
          <w:szCs w:val="20"/>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Right(s) evidenced by this Rights Certificate are not Beneficially Owned and</w:t>
      </w:r>
    </w:p>
    <w:p>
      <w:pPr>
        <w:spacing w:after="0" w:line="117" w:lineRule="exact"/>
        <w:rPr>
          <w:rFonts w:ascii="Arial" w:cs="Arial" w:eastAsia="Arial" w:hAnsi="Arial"/>
          <w:sz w:val="18"/>
          <w:szCs w:val="18"/>
          <w:color w:val="auto"/>
        </w:rPr>
      </w:pPr>
    </w:p>
    <w:p>
      <w:pPr>
        <w:ind w:left="1100" w:hanging="197"/>
        <w:spacing w:after="0"/>
        <w:tabs>
          <w:tab w:leader="none" w:pos="1100" w:val="left"/>
        </w:tabs>
        <w:numPr>
          <w:ilvl w:val="1"/>
          <w:numId w:val="91"/>
        </w:numPr>
        <w:rPr>
          <w:rFonts w:ascii="MS PGothic" w:cs="MS PGothic" w:eastAsia="MS PGothic" w:hAnsi="MS PGothic"/>
          <w:sz w:val="18"/>
          <w:szCs w:val="18"/>
          <w:color w:val="auto"/>
        </w:rPr>
      </w:pPr>
      <w:r>
        <w:rPr>
          <w:rFonts w:ascii="Arial" w:cs="Arial" w:eastAsia="Arial" w:hAnsi="Arial"/>
          <w:sz w:val="18"/>
          <w:szCs w:val="18"/>
          <w:color w:val="auto"/>
        </w:rPr>
        <w:t>are</w:t>
      </w:r>
    </w:p>
    <w:p>
      <w:pPr>
        <w:spacing w:after="0" w:line="117" w:lineRule="exact"/>
        <w:rPr>
          <w:rFonts w:ascii="MS PGothic" w:cs="MS PGothic" w:eastAsia="MS PGothic" w:hAnsi="MS PGothic"/>
          <w:sz w:val="18"/>
          <w:szCs w:val="18"/>
          <w:color w:val="auto"/>
        </w:rPr>
      </w:pPr>
    </w:p>
    <w:p>
      <w:pPr>
        <w:ind w:left="1100" w:hanging="197"/>
        <w:spacing w:after="0"/>
        <w:tabs>
          <w:tab w:leader="none" w:pos="1100" w:val="left"/>
        </w:tabs>
        <w:numPr>
          <w:ilvl w:val="1"/>
          <w:numId w:val="91"/>
        </w:numPr>
        <w:rPr>
          <w:rFonts w:ascii="MS PGothic" w:cs="MS PGothic" w:eastAsia="MS PGothic" w:hAnsi="MS PGothic"/>
          <w:sz w:val="18"/>
          <w:szCs w:val="18"/>
          <w:color w:val="auto"/>
        </w:rPr>
      </w:pPr>
      <w:r>
        <w:rPr>
          <w:rFonts w:ascii="Arial" w:cs="Arial" w:eastAsia="Arial" w:hAnsi="Arial"/>
          <w:sz w:val="18"/>
          <w:szCs w:val="18"/>
          <w:color w:val="auto"/>
        </w:rPr>
        <w:t>are not</w:t>
      </w:r>
    </w:p>
    <w:p>
      <w:pPr>
        <w:spacing w:after="0" w:line="117" w:lineRule="exact"/>
        <w:rPr>
          <w:sz w:val="20"/>
          <w:szCs w:val="20"/>
          <w:color w:val="auto"/>
        </w:rPr>
      </w:pPr>
    </w:p>
    <w:p>
      <w:pPr>
        <w:ind w:left="920" w:right="280"/>
        <w:spacing w:after="0" w:line="342" w:lineRule="auto"/>
        <w:rPr>
          <w:sz w:val="20"/>
          <w:szCs w:val="20"/>
          <w:color w:val="auto"/>
        </w:rPr>
      </w:pPr>
      <w:r>
        <w:rPr>
          <w:rFonts w:ascii="Arial" w:cs="Arial" w:eastAsia="Arial" w:hAnsi="Arial"/>
          <w:sz w:val="16"/>
          <w:szCs w:val="16"/>
          <w:color w:val="auto"/>
        </w:rPr>
        <w:t>being sold, assigned and transferred by or on behalf of a Person who is or was an Acquiring Person, an Affiliate or Associate of an Acquiring Person, a Post-Event Transferee, a Pre-Event Transferee, a Subsequent Transferee or any nominee of any of the foregoing; and</w:t>
      </w:r>
    </w:p>
    <w:p>
      <w:pPr>
        <w:spacing w:after="0" w:line="29" w:lineRule="exact"/>
        <w:rPr>
          <w:sz w:val="20"/>
          <w:szCs w:val="20"/>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after due inquiry and to the best knowledge of the undersigned, it</w:t>
      </w:r>
    </w:p>
    <w:p>
      <w:pPr>
        <w:spacing w:after="0" w:line="117" w:lineRule="exact"/>
        <w:rPr>
          <w:rFonts w:ascii="Arial" w:cs="Arial" w:eastAsia="Arial" w:hAnsi="Arial"/>
          <w:sz w:val="18"/>
          <w:szCs w:val="18"/>
          <w:color w:val="auto"/>
        </w:rPr>
      </w:pPr>
    </w:p>
    <w:p>
      <w:pPr>
        <w:ind w:left="1100" w:hanging="197"/>
        <w:spacing w:after="0"/>
        <w:tabs>
          <w:tab w:leader="none" w:pos="1100" w:val="left"/>
        </w:tabs>
        <w:numPr>
          <w:ilvl w:val="1"/>
          <w:numId w:val="92"/>
        </w:numPr>
        <w:rPr>
          <w:rFonts w:ascii="MS PGothic" w:cs="MS PGothic" w:eastAsia="MS PGothic" w:hAnsi="MS PGothic"/>
          <w:sz w:val="18"/>
          <w:szCs w:val="18"/>
          <w:color w:val="auto"/>
        </w:rPr>
      </w:pPr>
      <w:r>
        <w:rPr>
          <w:rFonts w:ascii="Arial" w:cs="Arial" w:eastAsia="Arial" w:hAnsi="Arial"/>
          <w:sz w:val="18"/>
          <w:szCs w:val="18"/>
          <w:color w:val="auto"/>
        </w:rPr>
        <w:t>did</w:t>
      </w:r>
    </w:p>
    <w:p>
      <w:pPr>
        <w:spacing w:after="0" w:line="117" w:lineRule="exact"/>
        <w:rPr>
          <w:rFonts w:ascii="MS PGothic" w:cs="MS PGothic" w:eastAsia="MS PGothic" w:hAnsi="MS PGothic"/>
          <w:sz w:val="18"/>
          <w:szCs w:val="18"/>
          <w:color w:val="auto"/>
        </w:rPr>
      </w:pPr>
    </w:p>
    <w:p>
      <w:pPr>
        <w:ind w:left="1100" w:hanging="197"/>
        <w:spacing w:after="0"/>
        <w:tabs>
          <w:tab w:leader="none" w:pos="1100" w:val="left"/>
        </w:tabs>
        <w:numPr>
          <w:ilvl w:val="1"/>
          <w:numId w:val="92"/>
        </w:numPr>
        <w:rPr>
          <w:rFonts w:ascii="MS PGothic" w:cs="MS PGothic" w:eastAsia="MS PGothic" w:hAnsi="MS PGothic"/>
          <w:sz w:val="18"/>
          <w:szCs w:val="18"/>
          <w:color w:val="auto"/>
        </w:rPr>
      </w:pPr>
      <w:r>
        <w:rPr>
          <w:rFonts w:ascii="Arial" w:cs="Arial" w:eastAsia="Arial" w:hAnsi="Arial"/>
          <w:sz w:val="18"/>
          <w:szCs w:val="18"/>
          <w:color w:val="auto"/>
        </w:rPr>
        <w:t>did not</w:t>
      </w:r>
    </w:p>
    <w:p>
      <w:pPr>
        <w:spacing w:after="0" w:line="117" w:lineRule="exact"/>
        <w:rPr>
          <w:sz w:val="20"/>
          <w:szCs w:val="20"/>
          <w:color w:val="auto"/>
        </w:rPr>
      </w:pPr>
    </w:p>
    <w:p>
      <w:pPr>
        <w:ind w:left="920"/>
        <w:spacing w:after="0" w:line="264" w:lineRule="auto"/>
        <w:rPr>
          <w:sz w:val="20"/>
          <w:szCs w:val="20"/>
          <w:color w:val="auto"/>
        </w:rPr>
      </w:pPr>
      <w:r>
        <w:rPr>
          <w:rFonts w:ascii="Arial" w:cs="Arial" w:eastAsia="Arial" w:hAnsi="Arial"/>
          <w:sz w:val="18"/>
          <w:szCs w:val="18"/>
          <w:color w:val="auto"/>
        </w:rPr>
        <w:t>acquire the Rights evidenced by this Rights Certificate from any Person who is, was or subsequently became an Acquiring Person, an Affiliate or Associate of an Acquiring Person, a Post-Event Transferee, a Pre-Event Transferee, a Subsequent Transferee or any nominee of any of the foregoing.</w:t>
      </w:r>
    </w:p>
    <w:p>
      <w:pPr>
        <w:spacing w:after="0" w:line="181"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306705</wp:posOffset>
            </wp:positionV>
            <wp:extent cx="289877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Medallion Guaranteed:</w:t>
      </w:r>
    </w:p>
    <w:p>
      <w:pPr>
        <w:spacing w:after="0" w:line="225"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Signatures must be guaranteed by an “Eligible Guarantor Institution” (with membership in an approved signature guarantee medallion program at a level acceptable to the Rights Agent) pursuant to Rule 17Ad-15 of the Securities Exchange Act of 1934, as amended. All guarantees must be by a financial institution (such as a bank or broker) that is a participant in the Securities Transfer Agents Medallion Program (STAMP), the NASDAQ Medallion Signature Program (MSP) or the Stock Exchanges Medallion Program (SEMP) and must not be dated. Guarantees by a notary public are not acceptable.</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380"/>
          </w:cols>
          <w:pgMar w:left="240" w:top="270" w:right="279" w:bottom="1440" w:gutter="0" w:footer="0" w:header="0"/>
        </w:sectPr>
      </w:pPr>
    </w:p>
    <w:bookmarkStart w:id="86" w:name="page87"/>
    <w:bookmarkEnd w:id="86"/>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[Form of Reverse Side of Rights Certificate – continued]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 OF ELECTION TO PURCHASE</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(To be executed if holder desires to</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exercise Rights represented by the Rights Certificate.)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FLUIDIGM CORPORATION</w:t>
      </w:r>
    </w:p>
    <w:p>
      <w:pPr>
        <w:spacing w:after="0" w:line="225"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The undersigned hereby irrevocably elects to exercise Rights represented by this Rights Certificate to purchase the number of one one-thousandths of a Preferred Share (or such other securities of the Company or of any other Person that may be issuable upon the exercise of the Rights) issuable upon the exercise of such Rights and requests that certificates for such shares be issued in the name of and delivered 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Please insert social security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or other identifying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(Please print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such number of Rights shall not be all of the Rights evidenced by this Rights Certificate, a new Rights Certificate for the balance remaining of such Rights shall be registered in the name of and delivered 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Please insert social security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or other identifying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(Please print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306705</wp:posOffset>
            </wp:positionV>
            <wp:extent cx="289877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Medallion Guaranteed:</w:t>
      </w:r>
    </w:p>
    <w:p>
      <w:pPr>
        <w:spacing w:after="0" w:line="225"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Signatures must be guaranteed by an “Eligible Guarantor Institution” (with membership in an approved signature guarantee medallion program at a level acceptable to the Rights Agent) pursuant to Rule 17Ad-15 of the Securities Exchange Act of 1934, as amended. All guarantees must be by a financial institution (such as a bank or broker) that is a participant in the Securities Transfer Agents Medallion Program (STAMP), the NASDAQ Medallion Signature Program (MSP) or the Stock Exchanges Medallion Program (SEMP) and must not be dated. Guarantees by a notary public are not acceptable.</w:t>
      </w:r>
    </w:p>
    <w:p>
      <w:pPr>
        <w:spacing w:after="0" w:line="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320"/>
          </w:cols>
          <w:pgMar w:left="240" w:top="270" w:right="339" w:bottom="1440" w:gutter="0" w:footer="0" w:header="0"/>
        </w:sectPr>
      </w:pPr>
    </w:p>
    <w:bookmarkStart w:id="87" w:name="page88"/>
    <w:bookmarkEnd w:id="8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CERTIFICATE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undersigned hereby certifies, for the benefit of the Company and all holders of Rights and Common Shares, by checking the appropriate boxes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that:</w:t>
      </w:r>
    </w:p>
    <w:p>
      <w:pPr>
        <w:spacing w:after="0" w:line="116" w:lineRule="exact"/>
        <w:rPr>
          <w:sz w:val="20"/>
          <w:szCs w:val="20"/>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Right(s) evidenced by this Rights Certificate are not Beneficially Owned and</w:t>
      </w:r>
    </w:p>
    <w:p>
      <w:pPr>
        <w:spacing w:after="0" w:line="117" w:lineRule="exact"/>
        <w:rPr>
          <w:rFonts w:ascii="Arial" w:cs="Arial" w:eastAsia="Arial" w:hAnsi="Arial"/>
          <w:sz w:val="18"/>
          <w:szCs w:val="18"/>
          <w:color w:val="auto"/>
        </w:rPr>
      </w:pPr>
    </w:p>
    <w:p>
      <w:pPr>
        <w:ind w:left="1120" w:hanging="199"/>
        <w:spacing w:after="0"/>
        <w:tabs>
          <w:tab w:leader="none" w:pos="1120" w:val="left"/>
        </w:tabs>
        <w:numPr>
          <w:ilvl w:val="1"/>
          <w:numId w:val="93"/>
        </w:numPr>
        <w:rPr>
          <w:rFonts w:ascii="MS PGothic" w:cs="MS PGothic" w:eastAsia="MS PGothic" w:hAnsi="MS PGothic"/>
          <w:sz w:val="18"/>
          <w:szCs w:val="18"/>
          <w:color w:val="auto"/>
        </w:rPr>
      </w:pPr>
      <w:r>
        <w:rPr>
          <w:rFonts w:ascii="Arial" w:cs="Arial" w:eastAsia="Arial" w:hAnsi="Arial"/>
          <w:sz w:val="18"/>
          <w:szCs w:val="18"/>
          <w:color w:val="auto"/>
        </w:rPr>
        <w:t>are</w:t>
      </w:r>
    </w:p>
    <w:p>
      <w:pPr>
        <w:spacing w:after="0" w:line="117" w:lineRule="exact"/>
        <w:rPr>
          <w:rFonts w:ascii="MS PGothic" w:cs="MS PGothic" w:eastAsia="MS PGothic" w:hAnsi="MS PGothic"/>
          <w:sz w:val="18"/>
          <w:szCs w:val="18"/>
          <w:color w:val="auto"/>
        </w:rPr>
      </w:pPr>
    </w:p>
    <w:p>
      <w:pPr>
        <w:ind w:left="1120" w:hanging="199"/>
        <w:spacing w:after="0"/>
        <w:tabs>
          <w:tab w:leader="none" w:pos="1120" w:val="left"/>
        </w:tabs>
        <w:numPr>
          <w:ilvl w:val="1"/>
          <w:numId w:val="93"/>
        </w:numPr>
        <w:rPr>
          <w:rFonts w:ascii="MS PGothic" w:cs="MS PGothic" w:eastAsia="MS PGothic" w:hAnsi="MS PGothic"/>
          <w:sz w:val="18"/>
          <w:szCs w:val="18"/>
          <w:color w:val="auto"/>
        </w:rPr>
      </w:pPr>
      <w:r>
        <w:rPr>
          <w:rFonts w:ascii="Arial" w:cs="Arial" w:eastAsia="Arial" w:hAnsi="Arial"/>
          <w:sz w:val="18"/>
          <w:szCs w:val="18"/>
          <w:color w:val="auto"/>
        </w:rPr>
        <w:t>are not</w:t>
      </w:r>
    </w:p>
    <w:p>
      <w:pPr>
        <w:spacing w:after="0" w:line="117" w:lineRule="exact"/>
        <w:rPr>
          <w:sz w:val="20"/>
          <w:szCs w:val="20"/>
          <w:color w:val="auto"/>
        </w:rPr>
      </w:pPr>
    </w:p>
    <w:p>
      <w:pPr>
        <w:ind w:left="920" w:right="280"/>
        <w:spacing w:after="0" w:line="342" w:lineRule="auto"/>
        <w:rPr>
          <w:sz w:val="20"/>
          <w:szCs w:val="20"/>
          <w:color w:val="auto"/>
        </w:rPr>
      </w:pPr>
      <w:r>
        <w:rPr>
          <w:rFonts w:ascii="Arial" w:cs="Arial" w:eastAsia="Arial" w:hAnsi="Arial"/>
          <w:sz w:val="16"/>
          <w:szCs w:val="16"/>
          <w:color w:val="auto"/>
        </w:rPr>
        <w:t>being sold, assigned and transferred by or on behalf of a Person who is or was an Acquiring Person, an Affiliate or Associate of an Acquiring Person, a Post-Event Transferee, a Pre-Event Transferee, a Subsequent Transferee or any nominee of any of the foregoing; and</w:t>
      </w:r>
    </w:p>
    <w:p>
      <w:pPr>
        <w:spacing w:after="0" w:line="29" w:lineRule="exact"/>
        <w:rPr>
          <w:sz w:val="20"/>
          <w:szCs w:val="20"/>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after due inquiry and to the best knowledge of the undersigned, it</w:t>
      </w:r>
    </w:p>
    <w:p>
      <w:pPr>
        <w:spacing w:after="0" w:line="117" w:lineRule="exact"/>
        <w:rPr>
          <w:rFonts w:ascii="Arial" w:cs="Arial" w:eastAsia="Arial" w:hAnsi="Arial"/>
          <w:sz w:val="18"/>
          <w:szCs w:val="18"/>
          <w:color w:val="auto"/>
        </w:rPr>
      </w:pPr>
    </w:p>
    <w:p>
      <w:pPr>
        <w:ind w:left="1120" w:hanging="199"/>
        <w:spacing w:after="0"/>
        <w:tabs>
          <w:tab w:leader="none" w:pos="1120" w:val="left"/>
        </w:tabs>
        <w:numPr>
          <w:ilvl w:val="1"/>
          <w:numId w:val="94"/>
        </w:numPr>
        <w:rPr>
          <w:rFonts w:ascii="MS PGothic" w:cs="MS PGothic" w:eastAsia="MS PGothic" w:hAnsi="MS PGothic"/>
          <w:sz w:val="18"/>
          <w:szCs w:val="18"/>
          <w:color w:val="auto"/>
        </w:rPr>
      </w:pPr>
      <w:r>
        <w:rPr>
          <w:rFonts w:ascii="Arial" w:cs="Arial" w:eastAsia="Arial" w:hAnsi="Arial"/>
          <w:sz w:val="18"/>
          <w:szCs w:val="18"/>
          <w:color w:val="auto"/>
        </w:rPr>
        <w:t>did</w:t>
      </w:r>
    </w:p>
    <w:p>
      <w:pPr>
        <w:spacing w:after="0" w:line="117" w:lineRule="exact"/>
        <w:rPr>
          <w:rFonts w:ascii="MS PGothic" w:cs="MS PGothic" w:eastAsia="MS PGothic" w:hAnsi="MS PGothic"/>
          <w:sz w:val="18"/>
          <w:szCs w:val="18"/>
          <w:color w:val="auto"/>
        </w:rPr>
      </w:pPr>
    </w:p>
    <w:p>
      <w:pPr>
        <w:ind w:left="1120" w:hanging="199"/>
        <w:spacing w:after="0"/>
        <w:tabs>
          <w:tab w:leader="none" w:pos="1120" w:val="left"/>
        </w:tabs>
        <w:numPr>
          <w:ilvl w:val="1"/>
          <w:numId w:val="94"/>
        </w:numPr>
        <w:rPr>
          <w:rFonts w:ascii="MS PGothic" w:cs="MS PGothic" w:eastAsia="MS PGothic" w:hAnsi="MS PGothic"/>
          <w:sz w:val="18"/>
          <w:szCs w:val="18"/>
          <w:color w:val="auto"/>
        </w:rPr>
      </w:pPr>
      <w:r>
        <w:rPr>
          <w:rFonts w:ascii="Arial" w:cs="Arial" w:eastAsia="Arial" w:hAnsi="Arial"/>
          <w:sz w:val="18"/>
          <w:szCs w:val="18"/>
          <w:color w:val="auto"/>
        </w:rPr>
        <w:t>did not</w:t>
      </w:r>
    </w:p>
    <w:p>
      <w:pPr>
        <w:spacing w:after="0" w:line="117" w:lineRule="exact"/>
        <w:rPr>
          <w:sz w:val="20"/>
          <w:szCs w:val="20"/>
          <w:color w:val="auto"/>
        </w:rPr>
      </w:pPr>
    </w:p>
    <w:p>
      <w:pPr>
        <w:ind w:left="920"/>
        <w:spacing w:after="0" w:line="264" w:lineRule="auto"/>
        <w:rPr>
          <w:sz w:val="20"/>
          <w:szCs w:val="20"/>
          <w:color w:val="auto"/>
        </w:rPr>
      </w:pPr>
      <w:r>
        <w:rPr>
          <w:rFonts w:ascii="Arial" w:cs="Arial" w:eastAsia="Arial" w:hAnsi="Arial"/>
          <w:sz w:val="18"/>
          <w:szCs w:val="18"/>
          <w:color w:val="auto"/>
        </w:rPr>
        <w:t>acquire the Rights evidenced by this Rights Certificate from any Person who is, was or subsequently became an Acquiring Person, an Affiliate or Associate of an Acquiring Person, a Post-Event Transferee, a Pre-Event Transferee, a Subsequent Transferee or any nominee of any of the foregoing.</w:t>
      </w:r>
    </w:p>
    <w:p>
      <w:pPr>
        <w:spacing w:after="0" w:line="181"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306705</wp:posOffset>
            </wp:positionV>
            <wp:extent cx="289877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Medallion Guaranteed:</w:t>
      </w:r>
    </w:p>
    <w:p>
      <w:pPr>
        <w:spacing w:after="0" w:line="225"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Signatures must be guaranteed by an “Eligible Guarantor Institution” (with membership in an approved signature guarantee medallion program at a level acceptable to the Rights Agent) pursuant to Rule 17Ad-15 of the Securities Exchange Act of 1934, as amended. All guarantees must be by a financial institution (such as a bank or broker) that is a participant in the Securities Transfer Agents Medallion Program (STAMP), the NASDAQ Medallion Signature Program (MSP) or the Stock Exchanges Medallion Program (SEMP) and must not be dated. Guarantees by a notary public are not acceptable.</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380"/>
          </w:cols>
          <w:pgMar w:left="240" w:top="270" w:right="27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of Reverse Side of Rights Certificate –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w:t>
      </w:r>
    </w:p>
    <w:p>
      <w:pPr>
        <w:spacing w:after="0" w:line="229"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signature in the foregoing Forms of Assignment and Election to Purchase, as the case may be, must conform to the name as written upon the face of this Rights Certificate in every particular, without alteration or enlargement or any change whatsoever.</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IN THE EVENT THAT THE CERTIFICATIONS SET FORTH IN THE FOREGOING FORMS OF ASSIGNMENT AND ELECTION TO PURCHASE, AS THE CASE MAY BE, ARE NOT COMPLETED, THEN THE COMPANY AND THE RIGHTS AGENT WILL DEEM THE BENEFICIAL OWNER OF THE RIGHTS EVIDENCED BY THIS RIGHT CERTIFICATE TO BE AN ACQUIRING PERSON, AN AFFILIATE OR ASSOCIATE OF AN ACQUIRING PERSON, A POST-EVENT TRANSFEREE, A PRE-EVENT TRANSFEREE, A SUBSEQUENT TRANSFEREE OR ANY NOMINEE OF ANY OF THE FOREGOING, AS THE CASE MAY BE, AND SUCH ASSIGNMENT OR ELECTION TO PURCHASE WILL NOT BE HONORED AND THE RIGHTS EVIDENCED BY THIS RIGHTS CERTIFICATE WILL BE DEEMED TO BE NULL AND VOID.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420"/>
          </w:cols>
          <w:pgMar w:left="240" w:top="270"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RIGHTS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 BENEFIT PRESERVATION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07" w:lineRule="exact"/>
        <w:rPr>
          <w:sz w:val="20"/>
          <w:szCs w:val="20"/>
          <w:color w:val="auto"/>
        </w:rPr>
      </w:pPr>
    </w:p>
    <w:p>
      <w:pPr>
        <w:ind w:right="180" w:firstLine="456"/>
        <w:spacing w:after="0" w:line="295" w:lineRule="auto"/>
        <w:rPr>
          <w:sz w:val="20"/>
          <w:szCs w:val="20"/>
          <w:color w:val="auto"/>
        </w:rPr>
      </w:pPr>
      <w:r>
        <w:rPr>
          <w:rFonts w:ascii="Arial" w:cs="Arial" w:eastAsia="Arial" w:hAnsi="Arial"/>
          <w:sz w:val="16"/>
          <w:szCs w:val="16"/>
          <w:color w:val="auto"/>
        </w:rPr>
        <w:t>On November 21, 2016, the Board of Directors (the “</w:t>
      </w:r>
      <w:r>
        <w:rPr>
          <w:rFonts w:ascii="Arial" w:cs="Arial" w:eastAsia="Arial" w:hAnsi="Arial"/>
          <w:sz w:val="16"/>
          <w:szCs w:val="16"/>
          <w:b w:val="1"/>
          <w:bCs w:val="1"/>
          <w:color w:val="auto"/>
        </w:rPr>
        <w:t>Board</w:t>
      </w:r>
      <w:r>
        <w:rPr>
          <w:rFonts w:ascii="Arial" w:cs="Arial" w:eastAsia="Arial" w:hAnsi="Arial"/>
          <w:sz w:val="16"/>
          <w:szCs w:val="16"/>
          <w:color w:val="auto"/>
        </w:rPr>
        <w:t>”) of Fluidigm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authorized and declared a dividend distribution of one right (a “</w:t>
      </w:r>
      <w:r>
        <w:rPr>
          <w:rFonts w:ascii="Arial" w:cs="Arial" w:eastAsia="Arial" w:hAnsi="Arial"/>
          <w:sz w:val="16"/>
          <w:szCs w:val="16"/>
          <w:b w:val="1"/>
          <w:bCs w:val="1"/>
          <w:color w:val="auto"/>
        </w:rPr>
        <w:t>Right</w:t>
      </w:r>
      <w:r>
        <w:rPr>
          <w:rFonts w:ascii="Arial" w:cs="Arial" w:eastAsia="Arial" w:hAnsi="Arial"/>
          <w:sz w:val="16"/>
          <w:szCs w:val="16"/>
          <w:color w:val="auto"/>
        </w:rPr>
        <w:t>”) for each outstanding share of common stock, par value $0.001 per share (the “</w:t>
      </w:r>
      <w:r>
        <w:rPr>
          <w:rFonts w:ascii="Arial" w:cs="Arial" w:eastAsia="Arial" w:hAnsi="Arial"/>
          <w:sz w:val="16"/>
          <w:szCs w:val="16"/>
          <w:b w:val="1"/>
          <w:bCs w:val="1"/>
          <w:color w:val="auto"/>
        </w:rPr>
        <w:t>Common Shares</w:t>
      </w:r>
      <w:r>
        <w:rPr>
          <w:rFonts w:ascii="Arial" w:cs="Arial" w:eastAsia="Arial" w:hAnsi="Arial"/>
          <w:sz w:val="16"/>
          <w:szCs w:val="16"/>
          <w:color w:val="auto"/>
        </w:rPr>
        <w:t>”), of the Company to stockholders of record as of the close of business on December 1, 2016 (the “</w:t>
      </w:r>
      <w:r>
        <w:rPr>
          <w:rFonts w:ascii="Arial" w:cs="Arial" w:eastAsia="Arial" w:hAnsi="Arial"/>
          <w:sz w:val="16"/>
          <w:szCs w:val="16"/>
          <w:b w:val="1"/>
          <w:bCs w:val="1"/>
          <w:color w:val="auto"/>
        </w:rPr>
        <w:t>Record Date</w:t>
      </w:r>
      <w:r>
        <w:rPr>
          <w:rFonts w:ascii="Arial" w:cs="Arial" w:eastAsia="Arial" w:hAnsi="Arial"/>
          <w:sz w:val="16"/>
          <w:szCs w:val="16"/>
          <w:color w:val="auto"/>
        </w:rPr>
        <w:t>”). Each Right entitles the registered holder to purchase from the Company one one-thousandth of a share of Series A Participating Preferred Stock, par value $0.001 per share (the “</w:t>
      </w:r>
      <w:r>
        <w:rPr>
          <w:rFonts w:ascii="Arial" w:cs="Arial" w:eastAsia="Arial" w:hAnsi="Arial"/>
          <w:sz w:val="16"/>
          <w:szCs w:val="16"/>
          <w:b w:val="1"/>
          <w:bCs w:val="1"/>
          <w:color w:val="auto"/>
        </w:rPr>
        <w:t>Preferred Shares</w:t>
      </w:r>
      <w:r>
        <w:rPr>
          <w:rFonts w:ascii="Arial" w:cs="Arial" w:eastAsia="Arial" w:hAnsi="Arial"/>
          <w:sz w:val="16"/>
          <w:szCs w:val="16"/>
          <w:color w:val="auto"/>
        </w:rPr>
        <w:t>”), of the Company at an exercise price of $35.00 (the “</w:t>
      </w:r>
      <w:r>
        <w:rPr>
          <w:rFonts w:ascii="Arial" w:cs="Arial" w:eastAsia="Arial" w:hAnsi="Arial"/>
          <w:sz w:val="16"/>
          <w:szCs w:val="16"/>
          <w:b w:val="1"/>
          <w:bCs w:val="1"/>
          <w:color w:val="auto"/>
        </w:rPr>
        <w:t>Exercise Price</w:t>
      </w:r>
      <w:r>
        <w:rPr>
          <w:rFonts w:ascii="Arial" w:cs="Arial" w:eastAsia="Arial" w:hAnsi="Arial"/>
          <w:sz w:val="16"/>
          <w:szCs w:val="16"/>
          <w:color w:val="auto"/>
        </w:rPr>
        <w:t>”) per one one-thousandth of a Preferred Share, subject to adjustment. The complete terms of the Rights are set forth in a Tax Benefit Preservation Plan (the “</w:t>
      </w:r>
      <w:r>
        <w:rPr>
          <w:rFonts w:ascii="Arial" w:cs="Arial" w:eastAsia="Arial" w:hAnsi="Arial"/>
          <w:sz w:val="16"/>
          <w:szCs w:val="16"/>
          <w:b w:val="1"/>
          <w:bCs w:val="1"/>
          <w:color w:val="auto"/>
        </w:rPr>
        <w:t>Plan</w:t>
      </w:r>
      <w:r>
        <w:rPr>
          <w:rFonts w:ascii="Arial" w:cs="Arial" w:eastAsia="Arial" w:hAnsi="Arial"/>
          <w:sz w:val="16"/>
          <w:szCs w:val="16"/>
          <w:color w:val="auto"/>
        </w:rPr>
        <w:t>”), dated as of November 21, 2016, between the Company and Computershare Inc., as rights agent.</w:t>
      </w:r>
    </w:p>
    <w:p>
      <w:pPr>
        <w:spacing w:after="0" w:line="16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By adopting the Plan, the Board is seeking to protect the Company’s ability to use its net operating losses, any loss or deduction attributable to a “net unrealized built-in loss” and other tax attributes (collectively, “</w:t>
      </w:r>
      <w:r>
        <w:rPr>
          <w:rFonts w:ascii="Arial" w:cs="Arial" w:eastAsia="Arial" w:hAnsi="Arial"/>
          <w:sz w:val="17"/>
          <w:szCs w:val="17"/>
          <w:b w:val="1"/>
          <w:bCs w:val="1"/>
          <w:color w:val="auto"/>
        </w:rPr>
        <w:t>Tax Benefits</w:t>
      </w:r>
      <w:r>
        <w:rPr>
          <w:rFonts w:ascii="Arial" w:cs="Arial" w:eastAsia="Arial" w:hAnsi="Arial"/>
          <w:sz w:val="17"/>
          <w:szCs w:val="17"/>
          <w:color w:val="auto"/>
        </w:rPr>
        <w:t>”). The Company views its Tax Benefits as highly valuable assets of the Company that are likely to inure to the benefit of the Company and its stockholders. However, if the Company experiences an “ownership change,” as defined in Section 382 of the Internal Revenue Code (the “</w:t>
      </w:r>
      <w:r>
        <w:rPr>
          <w:rFonts w:ascii="Arial" w:cs="Arial" w:eastAsia="Arial" w:hAnsi="Arial"/>
          <w:sz w:val="17"/>
          <w:szCs w:val="17"/>
          <w:b w:val="1"/>
          <w:bCs w:val="1"/>
          <w:color w:val="auto"/>
        </w:rPr>
        <w:t>Code</w:t>
      </w:r>
      <w:r>
        <w:rPr>
          <w:rFonts w:ascii="Arial" w:cs="Arial" w:eastAsia="Arial" w:hAnsi="Arial"/>
          <w:sz w:val="17"/>
          <w:szCs w:val="17"/>
          <w:color w:val="auto"/>
        </w:rPr>
        <w:t>”), its ability to use the Tax Benefits could be substantially limited, and the timing of the usage of the Tax Benefits could be substantially delayed, which could significantly impair the value of the Tax Benefits. Generally, an “ownership change” occurs if the percentage of the Company’s stock owned by one or more “five percent stockholders” increases by more than 50 percentage points over the lowest percentage of stock owned by such stockholders at any time during the prior three-year period or, if sooner, since the last “ownership change” experienced by the Company. The Plan is intended to deter acquisitions of 4.99% or more of the outstanding Common Shares by any person without the approval of the Board. This would protect the Tax Benefits because changes in ownership by a person owning less than 4.99% of the Common Shares are not included in the calculation of “ownership change” for purposes of Section 382 of the Code. The Board believes that it is in the best interests of the Company and its stockholders that the Company provide for the protection of the Tax Benefits by adopting the Plan.</w:t>
      </w:r>
    </w:p>
    <w:p>
      <w:pPr>
        <w:spacing w:after="0" w:line="18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For those interested in the specific terms of the Plan, the following is a summary description. Please note, however, that this description is only a summary and is not complete, and should be read together with the entire Plan, which will be filed by the Company with the Securities and Exchange Commission as an exhibit to a Registration Statement on Form 8-A and a Current Report on Form 8-K. A copy of the Plan is available free of charge from the Company.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270" w:right="2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16"/>
        </w:trPr>
        <w:tc>
          <w:tcPr>
            <w:tcW w:w="2120" w:type="dxa"/>
            <w:vAlign w:val="bottom"/>
          </w:tcPr>
          <w:p>
            <w:pPr>
              <w:spacing w:after="0"/>
              <w:rPr>
                <w:sz w:val="20"/>
                <w:szCs w:val="20"/>
                <w:color w:val="auto"/>
              </w:rPr>
            </w:pPr>
            <w:r>
              <w:rPr>
                <w:rFonts w:ascii="Arial" w:cs="Arial" w:eastAsia="Arial" w:hAnsi="Arial"/>
                <w:sz w:val="18"/>
                <w:szCs w:val="18"/>
                <w:b w:val="1"/>
                <w:bCs w:val="1"/>
                <w:color w:val="auto"/>
              </w:rPr>
              <w:t>Distribution and</w:t>
            </w:r>
          </w:p>
        </w:tc>
        <w:tc>
          <w:tcPr>
            <w:tcW w:w="9300" w:type="dxa"/>
            <w:vAlign w:val="bottom"/>
          </w:tcPr>
          <w:p>
            <w:pPr>
              <w:ind w:left="620"/>
              <w:spacing w:after="0"/>
              <w:rPr>
                <w:sz w:val="20"/>
                <w:szCs w:val="20"/>
                <w:color w:val="auto"/>
              </w:rPr>
            </w:pPr>
            <w:r>
              <w:rPr>
                <w:rFonts w:ascii="Arial" w:cs="Arial" w:eastAsia="Arial" w:hAnsi="Arial"/>
                <w:sz w:val="18"/>
                <w:szCs w:val="18"/>
                <w:color w:val="auto"/>
                <w:w w:val="94"/>
              </w:rPr>
              <w:t>The Board has declared a dividend of one Right for each outstanding Common Share. Prior to the Distribution Date</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8"/>
                <w:szCs w:val="18"/>
                <w:b w:val="1"/>
                <w:bCs w:val="1"/>
                <w:color w:val="auto"/>
              </w:rPr>
              <w:t>Transfer of Rights;</w:t>
            </w:r>
          </w:p>
        </w:tc>
        <w:tc>
          <w:tcPr>
            <w:tcW w:w="9300" w:type="dxa"/>
            <w:vAlign w:val="bottom"/>
          </w:tcPr>
          <w:p>
            <w:pPr>
              <w:ind w:left="620"/>
              <w:spacing w:after="0"/>
              <w:rPr>
                <w:sz w:val="20"/>
                <w:szCs w:val="20"/>
                <w:color w:val="auto"/>
              </w:rPr>
            </w:pPr>
            <w:r>
              <w:rPr>
                <w:rFonts w:ascii="Arial" w:cs="Arial" w:eastAsia="Arial" w:hAnsi="Arial"/>
                <w:sz w:val="18"/>
                <w:szCs w:val="18"/>
                <w:color w:val="auto"/>
              </w:rPr>
              <w:t>referred to below:</w:t>
            </w:r>
          </w:p>
        </w:tc>
        <w:tc>
          <w:tcPr>
            <w:tcW w:w="0" w:type="dxa"/>
            <w:vAlign w:val="bottom"/>
          </w:tcPr>
          <w:p>
            <w:pPr>
              <w:spacing w:after="0"/>
              <w:rPr>
                <w:sz w:val="1"/>
                <w:szCs w:val="1"/>
                <w:color w:val="auto"/>
              </w:rPr>
            </w:pPr>
          </w:p>
        </w:tc>
      </w:tr>
      <w:tr>
        <w:trPr>
          <w:trHeight w:val="234"/>
        </w:trPr>
        <w:tc>
          <w:tcPr>
            <w:tcW w:w="2120" w:type="dxa"/>
            <w:vAlign w:val="bottom"/>
          </w:tcPr>
          <w:p>
            <w:pPr>
              <w:spacing w:after="0"/>
              <w:rPr>
                <w:sz w:val="20"/>
                <w:szCs w:val="20"/>
                <w:color w:val="auto"/>
              </w:rPr>
            </w:pPr>
            <w:r>
              <w:rPr>
                <w:rFonts w:ascii="Arial" w:cs="Arial" w:eastAsia="Arial" w:hAnsi="Arial"/>
                <w:sz w:val="18"/>
                <w:szCs w:val="18"/>
                <w:b w:val="1"/>
                <w:bCs w:val="1"/>
                <w:color w:val="auto"/>
              </w:rPr>
              <w:t>Rights Certificates:</w:t>
            </w:r>
          </w:p>
        </w:tc>
        <w:tc>
          <w:tcPr>
            <w:tcW w:w="9300" w:type="dxa"/>
            <w:vAlign w:val="bottom"/>
            <w:vMerge w:val="restart"/>
          </w:tcPr>
          <w:p>
            <w:pPr>
              <w:ind w:left="1080"/>
              <w:spacing w:after="0"/>
              <w:rPr>
                <w:sz w:val="20"/>
                <w:szCs w:val="20"/>
                <w:color w:val="auto"/>
              </w:rPr>
            </w:pPr>
            <w:r>
              <w:rPr>
                <w:rFonts w:ascii="Arial" w:cs="Arial" w:eastAsia="Arial" w:hAnsi="Arial"/>
                <w:sz w:val="18"/>
                <w:szCs w:val="18"/>
                <w:color w:val="auto"/>
                <w:w w:val="92"/>
              </w:rPr>
              <w:t>•  the Rights will be evidenced by and trade with the certificates for the Common Shares (or, with respect to any</w:t>
            </w:r>
          </w:p>
        </w:tc>
        <w:tc>
          <w:tcPr>
            <w:tcW w:w="0" w:type="dxa"/>
            <w:vAlign w:val="bottom"/>
          </w:tcPr>
          <w:p>
            <w:pPr>
              <w:spacing w:after="0"/>
              <w:rPr>
                <w:sz w:val="1"/>
                <w:szCs w:val="1"/>
                <w:color w:val="auto"/>
              </w:rPr>
            </w:pPr>
          </w:p>
        </w:tc>
      </w:tr>
      <w:tr>
        <w:trPr>
          <w:trHeight w:val="107"/>
        </w:trPr>
        <w:tc>
          <w:tcPr>
            <w:tcW w:w="2120" w:type="dxa"/>
            <w:vAlign w:val="bottom"/>
          </w:tcPr>
          <w:p>
            <w:pPr>
              <w:spacing w:after="0"/>
              <w:rPr>
                <w:sz w:val="9"/>
                <w:szCs w:val="9"/>
                <w:color w:val="auto"/>
              </w:rPr>
            </w:pPr>
          </w:p>
        </w:tc>
        <w:tc>
          <w:tcPr>
            <w:tcW w:w="9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9300" w:type="dxa"/>
            <w:vAlign w:val="bottom"/>
          </w:tcPr>
          <w:p>
            <w:pPr>
              <w:ind w:left="1340"/>
              <w:spacing w:after="0"/>
              <w:rPr>
                <w:sz w:val="20"/>
                <w:szCs w:val="20"/>
                <w:color w:val="auto"/>
              </w:rPr>
            </w:pPr>
            <w:r>
              <w:rPr>
                <w:rFonts w:ascii="Arial" w:cs="Arial" w:eastAsia="Arial" w:hAnsi="Arial"/>
                <w:sz w:val="18"/>
                <w:szCs w:val="18"/>
                <w:color w:val="auto"/>
                <w:w w:val="95"/>
              </w:rPr>
              <w:t>uncertificated Common Shares registered in book entry form, by notation in book entry), and no separate</w:t>
            </w: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p>
        </w:tc>
        <w:tc>
          <w:tcPr>
            <w:tcW w:w="9300" w:type="dxa"/>
            <w:vAlign w:val="bottom"/>
          </w:tcPr>
          <w:p>
            <w:pPr>
              <w:ind w:left="1340"/>
              <w:spacing w:after="0"/>
              <w:rPr>
                <w:sz w:val="20"/>
                <w:szCs w:val="20"/>
                <w:color w:val="auto"/>
              </w:rPr>
            </w:pPr>
            <w:r>
              <w:rPr>
                <w:rFonts w:ascii="Arial" w:cs="Arial" w:eastAsia="Arial" w:hAnsi="Arial"/>
                <w:sz w:val="18"/>
                <w:szCs w:val="18"/>
                <w:color w:val="auto"/>
              </w:rPr>
              <w:t>rights certificates will be distributed;</w:t>
            </w:r>
          </w:p>
        </w:tc>
        <w:tc>
          <w:tcPr>
            <w:tcW w:w="0" w:type="dxa"/>
            <w:vAlign w:val="bottom"/>
          </w:tcPr>
          <w:p>
            <w:pPr>
              <w:spacing w:after="0"/>
              <w:rPr>
                <w:sz w:val="1"/>
                <w:szCs w:val="1"/>
                <w:color w:val="auto"/>
              </w:rPr>
            </w:pPr>
          </w:p>
        </w:tc>
      </w:tr>
      <w:tr>
        <w:trPr>
          <w:trHeight w:val="323"/>
        </w:trPr>
        <w:tc>
          <w:tcPr>
            <w:tcW w:w="2120" w:type="dxa"/>
            <w:vAlign w:val="bottom"/>
          </w:tcPr>
          <w:p>
            <w:pPr>
              <w:spacing w:after="0"/>
              <w:rPr>
                <w:sz w:val="24"/>
                <w:szCs w:val="24"/>
                <w:color w:val="auto"/>
              </w:rPr>
            </w:pPr>
          </w:p>
        </w:tc>
        <w:tc>
          <w:tcPr>
            <w:tcW w:w="9300" w:type="dxa"/>
            <w:vAlign w:val="bottom"/>
          </w:tcPr>
          <w:p>
            <w:pPr>
              <w:ind w:left="1080"/>
              <w:spacing w:after="0"/>
              <w:rPr>
                <w:sz w:val="20"/>
                <w:szCs w:val="20"/>
                <w:color w:val="auto"/>
              </w:rPr>
            </w:pPr>
            <w:r>
              <w:rPr>
                <w:rFonts w:ascii="Arial" w:cs="Arial" w:eastAsia="Arial" w:hAnsi="Arial"/>
                <w:sz w:val="18"/>
                <w:szCs w:val="18"/>
                <w:color w:val="auto"/>
                <w:w w:val="92"/>
              </w:rPr>
              <w:t>•  new Common Shares certificates issued after the Record Date will contain a legend incorporating the Plan by</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9300" w:type="dxa"/>
            <w:vAlign w:val="bottom"/>
          </w:tcPr>
          <w:p>
            <w:pPr>
              <w:ind w:left="1340"/>
              <w:spacing w:after="0"/>
              <w:rPr>
                <w:sz w:val="20"/>
                <w:szCs w:val="20"/>
                <w:color w:val="auto"/>
              </w:rPr>
            </w:pPr>
            <w:r>
              <w:rPr>
                <w:rFonts w:ascii="Arial" w:cs="Arial" w:eastAsia="Arial" w:hAnsi="Arial"/>
                <w:sz w:val="18"/>
                <w:szCs w:val="18"/>
                <w:color w:val="auto"/>
                <w:w w:val="91"/>
              </w:rPr>
              <w:t>reference (for uncertificated Common Shares registered in book entry form, this legend will be contained in a</w:t>
            </w: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p>
        </w:tc>
        <w:tc>
          <w:tcPr>
            <w:tcW w:w="9300" w:type="dxa"/>
            <w:vAlign w:val="bottom"/>
          </w:tcPr>
          <w:p>
            <w:pPr>
              <w:ind w:left="1340"/>
              <w:spacing w:after="0"/>
              <w:rPr>
                <w:sz w:val="20"/>
                <w:szCs w:val="20"/>
                <w:color w:val="auto"/>
              </w:rPr>
            </w:pPr>
            <w:r>
              <w:rPr>
                <w:rFonts w:ascii="Arial" w:cs="Arial" w:eastAsia="Arial" w:hAnsi="Arial"/>
                <w:sz w:val="18"/>
                <w:szCs w:val="18"/>
                <w:color w:val="auto"/>
              </w:rPr>
              <w:t>notation in book entry); and</w:t>
            </w:r>
          </w:p>
        </w:tc>
        <w:tc>
          <w:tcPr>
            <w:tcW w:w="0" w:type="dxa"/>
            <w:vAlign w:val="bottom"/>
          </w:tcPr>
          <w:p>
            <w:pPr>
              <w:spacing w:after="0"/>
              <w:rPr>
                <w:sz w:val="1"/>
                <w:szCs w:val="1"/>
                <w:color w:val="auto"/>
              </w:rPr>
            </w:pPr>
          </w:p>
        </w:tc>
      </w:tr>
      <w:tr>
        <w:trPr>
          <w:trHeight w:val="323"/>
        </w:trPr>
        <w:tc>
          <w:tcPr>
            <w:tcW w:w="2120" w:type="dxa"/>
            <w:vAlign w:val="bottom"/>
          </w:tcPr>
          <w:p>
            <w:pPr>
              <w:spacing w:after="0"/>
              <w:rPr>
                <w:sz w:val="24"/>
                <w:szCs w:val="24"/>
                <w:color w:val="auto"/>
              </w:rPr>
            </w:pPr>
          </w:p>
        </w:tc>
        <w:tc>
          <w:tcPr>
            <w:tcW w:w="9300" w:type="dxa"/>
            <w:vAlign w:val="bottom"/>
          </w:tcPr>
          <w:p>
            <w:pPr>
              <w:ind w:left="1080"/>
              <w:spacing w:after="0"/>
              <w:rPr>
                <w:sz w:val="20"/>
                <w:szCs w:val="20"/>
                <w:color w:val="auto"/>
              </w:rPr>
            </w:pPr>
            <w:r>
              <w:rPr>
                <w:rFonts w:ascii="Arial" w:cs="Arial" w:eastAsia="Arial" w:hAnsi="Arial"/>
                <w:sz w:val="18"/>
                <w:szCs w:val="18"/>
                <w:color w:val="auto"/>
              </w:rPr>
              <w:t>•  the surrender for transfer of any certificates for Common Shares (or the surrender for transfer of any</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9300" w:type="dxa"/>
            <w:vAlign w:val="bottom"/>
          </w:tcPr>
          <w:p>
            <w:pPr>
              <w:ind w:left="1340"/>
              <w:spacing w:after="0"/>
              <w:rPr>
                <w:sz w:val="20"/>
                <w:szCs w:val="20"/>
                <w:color w:val="auto"/>
              </w:rPr>
            </w:pPr>
            <w:r>
              <w:rPr>
                <w:rFonts w:ascii="Arial" w:cs="Arial" w:eastAsia="Arial" w:hAnsi="Arial"/>
                <w:sz w:val="18"/>
                <w:szCs w:val="18"/>
                <w:color w:val="auto"/>
                <w:w w:val="94"/>
              </w:rPr>
              <w:t>uncertificated Common Shares registered in book entry form) will also constitute the transfer of the Rights</w:t>
            </w: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p>
        </w:tc>
        <w:tc>
          <w:tcPr>
            <w:tcW w:w="9300" w:type="dxa"/>
            <w:vAlign w:val="bottom"/>
          </w:tcPr>
          <w:p>
            <w:pPr>
              <w:ind w:left="1340"/>
              <w:spacing w:after="0"/>
              <w:rPr>
                <w:sz w:val="20"/>
                <w:szCs w:val="20"/>
                <w:color w:val="auto"/>
              </w:rPr>
            </w:pPr>
            <w:r>
              <w:rPr>
                <w:rFonts w:ascii="Arial" w:cs="Arial" w:eastAsia="Arial" w:hAnsi="Arial"/>
                <w:sz w:val="18"/>
                <w:szCs w:val="18"/>
                <w:color w:val="auto"/>
              </w:rPr>
              <w:t>associated with such Common Shares.</w:t>
            </w:r>
          </w:p>
        </w:tc>
        <w:tc>
          <w:tcPr>
            <w:tcW w:w="0" w:type="dxa"/>
            <w:vAlign w:val="bottom"/>
          </w:tcPr>
          <w:p>
            <w:pPr>
              <w:spacing w:after="0"/>
              <w:rPr>
                <w:sz w:val="1"/>
                <w:szCs w:val="1"/>
                <w:color w:val="auto"/>
              </w:rPr>
            </w:pPr>
          </w:p>
        </w:tc>
      </w:tr>
      <w:tr>
        <w:trPr>
          <w:trHeight w:val="459"/>
        </w:trPr>
        <w:tc>
          <w:tcPr>
            <w:tcW w:w="2120" w:type="dxa"/>
            <w:vAlign w:val="bottom"/>
          </w:tcPr>
          <w:p>
            <w:pPr>
              <w:spacing w:after="0"/>
              <w:rPr>
                <w:sz w:val="24"/>
                <w:szCs w:val="24"/>
                <w:color w:val="auto"/>
              </w:rPr>
            </w:pPr>
          </w:p>
        </w:tc>
        <w:tc>
          <w:tcPr>
            <w:tcW w:w="9300" w:type="dxa"/>
            <w:vAlign w:val="bottom"/>
          </w:tcPr>
          <w:p>
            <w:pPr>
              <w:ind w:left="620"/>
              <w:spacing w:after="0"/>
              <w:rPr>
                <w:sz w:val="20"/>
                <w:szCs w:val="20"/>
                <w:color w:val="auto"/>
              </w:rPr>
            </w:pPr>
            <w:r>
              <w:rPr>
                <w:rFonts w:ascii="Arial" w:cs="Arial" w:eastAsia="Arial" w:hAnsi="Arial"/>
                <w:sz w:val="18"/>
                <w:szCs w:val="18"/>
                <w:color w:val="auto"/>
              </w:rPr>
              <w:t>Rights will accompany any new Common Shares that are issued after the Record Date.</w:t>
            </w:r>
          </w:p>
        </w:tc>
        <w:tc>
          <w:tcPr>
            <w:tcW w:w="0" w:type="dxa"/>
            <w:vAlign w:val="bottom"/>
          </w:tcPr>
          <w:p>
            <w:pPr>
              <w:spacing w:after="0"/>
              <w:rPr>
                <w:sz w:val="1"/>
                <w:szCs w:val="1"/>
                <w:color w:val="auto"/>
              </w:rPr>
            </w:pPr>
          </w:p>
        </w:tc>
      </w:tr>
      <w:tr>
        <w:trPr>
          <w:trHeight w:val="431"/>
        </w:trPr>
        <w:tc>
          <w:tcPr>
            <w:tcW w:w="2120" w:type="dxa"/>
            <w:vAlign w:val="bottom"/>
          </w:tcPr>
          <w:p>
            <w:pPr>
              <w:spacing w:after="0"/>
              <w:rPr>
                <w:sz w:val="20"/>
                <w:szCs w:val="20"/>
                <w:color w:val="auto"/>
              </w:rPr>
            </w:pPr>
            <w:r>
              <w:rPr>
                <w:rFonts w:ascii="Arial" w:cs="Arial" w:eastAsia="Arial" w:hAnsi="Arial"/>
                <w:sz w:val="18"/>
                <w:szCs w:val="18"/>
                <w:b w:val="1"/>
                <w:bCs w:val="1"/>
                <w:color w:val="auto"/>
              </w:rPr>
              <w:t>Distribution Date:</w:t>
            </w:r>
          </w:p>
        </w:tc>
        <w:tc>
          <w:tcPr>
            <w:tcW w:w="9300" w:type="dxa"/>
            <w:vAlign w:val="bottom"/>
          </w:tcPr>
          <w:p>
            <w:pPr>
              <w:ind w:left="620"/>
              <w:spacing w:after="0"/>
              <w:rPr>
                <w:sz w:val="20"/>
                <w:szCs w:val="20"/>
                <w:color w:val="auto"/>
              </w:rPr>
            </w:pPr>
            <w:r>
              <w:rPr>
                <w:rFonts w:ascii="Arial" w:cs="Arial" w:eastAsia="Arial" w:hAnsi="Arial"/>
                <w:sz w:val="18"/>
                <w:szCs w:val="18"/>
                <w:color w:val="auto"/>
                <w:w w:val="95"/>
              </w:rPr>
              <w:t>Subject to certain exceptions specified in the Plan, the Rights will separate from the Common Shares and become</w:t>
            </w:r>
          </w:p>
        </w:tc>
        <w:tc>
          <w:tcPr>
            <w:tcW w:w="0" w:type="dxa"/>
            <w:vAlign w:val="bottom"/>
          </w:tcPr>
          <w:p>
            <w:pPr>
              <w:spacing w:after="0"/>
              <w:rPr>
                <w:sz w:val="1"/>
                <w:szCs w:val="1"/>
                <w:color w:val="auto"/>
              </w:rPr>
            </w:pPr>
          </w:p>
        </w:tc>
      </w:tr>
      <w:tr>
        <w:trPr>
          <w:trHeight w:val="212"/>
        </w:trPr>
        <w:tc>
          <w:tcPr>
            <w:tcW w:w="2120" w:type="dxa"/>
            <w:vAlign w:val="bottom"/>
          </w:tcPr>
          <w:p>
            <w:pPr>
              <w:spacing w:after="0"/>
              <w:rPr>
                <w:sz w:val="18"/>
                <w:szCs w:val="18"/>
                <w:color w:val="auto"/>
              </w:rPr>
            </w:pPr>
          </w:p>
        </w:tc>
        <w:tc>
          <w:tcPr>
            <w:tcW w:w="9300" w:type="dxa"/>
            <w:vAlign w:val="bottom"/>
          </w:tcPr>
          <w:p>
            <w:pPr>
              <w:ind w:left="620"/>
              <w:spacing w:after="0"/>
              <w:rPr>
                <w:sz w:val="20"/>
                <w:szCs w:val="20"/>
                <w:color w:val="auto"/>
              </w:rPr>
            </w:pPr>
            <w:r>
              <w:rPr>
                <w:rFonts w:ascii="Arial" w:cs="Arial" w:eastAsia="Arial" w:hAnsi="Arial"/>
                <w:sz w:val="18"/>
                <w:szCs w:val="18"/>
                <w:color w:val="auto"/>
                <w:w w:val="91"/>
              </w:rPr>
              <w:t>exercisable following (1) the 10th business day (or such later date as may be determined by the Board) after the public</w:t>
            </w:r>
          </w:p>
        </w:tc>
        <w:tc>
          <w:tcPr>
            <w:tcW w:w="0" w:type="dxa"/>
            <w:vAlign w:val="bottom"/>
          </w:tcPr>
          <w:p>
            <w:pPr>
              <w:spacing w:after="0"/>
              <w:rPr>
                <w:sz w:val="1"/>
                <w:szCs w:val="1"/>
                <w:color w:val="auto"/>
              </w:rPr>
            </w:pPr>
          </w:p>
        </w:tc>
      </w:tr>
      <w:tr>
        <w:trPr>
          <w:trHeight w:val="220"/>
        </w:trPr>
        <w:tc>
          <w:tcPr>
            <w:tcW w:w="2120" w:type="dxa"/>
            <w:vAlign w:val="bottom"/>
          </w:tcPr>
          <w:p>
            <w:pPr>
              <w:spacing w:after="0"/>
              <w:rPr>
                <w:sz w:val="19"/>
                <w:szCs w:val="19"/>
                <w:color w:val="auto"/>
              </w:rPr>
            </w:pPr>
          </w:p>
        </w:tc>
        <w:tc>
          <w:tcPr>
            <w:tcW w:w="9300" w:type="dxa"/>
            <w:vAlign w:val="bottom"/>
          </w:tcPr>
          <w:p>
            <w:pPr>
              <w:ind w:left="620"/>
              <w:spacing w:after="0"/>
              <w:rPr>
                <w:sz w:val="20"/>
                <w:szCs w:val="20"/>
                <w:color w:val="auto"/>
              </w:rPr>
            </w:pPr>
            <w:r>
              <w:rPr>
                <w:rFonts w:ascii="Arial" w:cs="Arial" w:eastAsia="Arial" w:hAnsi="Arial"/>
                <w:sz w:val="18"/>
                <w:szCs w:val="18"/>
                <w:color w:val="auto"/>
                <w:w w:val="97"/>
              </w:rPr>
              <w:t>announcement that a person or group of affiliated or associated persons (an “</w:t>
            </w:r>
            <w:r>
              <w:rPr>
                <w:rFonts w:ascii="Arial" w:cs="Arial" w:eastAsia="Arial" w:hAnsi="Arial"/>
                <w:sz w:val="18"/>
                <w:szCs w:val="18"/>
                <w:b w:val="1"/>
                <w:bCs w:val="1"/>
                <w:color w:val="auto"/>
                <w:w w:val="97"/>
              </w:rPr>
              <w:t>Acquiring Person</w:t>
            </w:r>
            <w:r>
              <w:rPr>
                <w:rFonts w:ascii="Arial" w:cs="Arial" w:eastAsia="Arial" w:hAnsi="Arial"/>
                <w:sz w:val="18"/>
                <w:szCs w:val="18"/>
                <w:color w:val="auto"/>
                <w:w w:val="97"/>
              </w:rPr>
              <w:t>”) has acquired</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9300" w:type="dxa"/>
            <w:vAlign w:val="bottom"/>
          </w:tcPr>
          <w:p>
            <w:pPr>
              <w:ind w:left="620"/>
              <w:spacing w:after="0"/>
              <w:rPr>
                <w:sz w:val="20"/>
                <w:szCs w:val="20"/>
                <w:color w:val="auto"/>
              </w:rPr>
            </w:pPr>
            <w:r>
              <w:rPr>
                <w:rFonts w:ascii="Arial" w:cs="Arial" w:eastAsia="Arial" w:hAnsi="Arial"/>
                <w:sz w:val="18"/>
                <w:szCs w:val="18"/>
                <w:color w:val="auto"/>
                <w:w w:val="89"/>
              </w:rPr>
              <w:t>beneficial ownership of 4.99% or more of the Common Shares or (2) the 10th business day (or such later date as may be</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9300" w:type="dxa"/>
            <w:vAlign w:val="bottom"/>
          </w:tcPr>
          <w:p>
            <w:pPr>
              <w:ind w:left="620"/>
              <w:spacing w:after="0"/>
              <w:rPr>
                <w:sz w:val="20"/>
                <w:szCs w:val="20"/>
                <w:color w:val="auto"/>
              </w:rPr>
            </w:pPr>
            <w:r>
              <w:rPr>
                <w:rFonts w:ascii="Arial" w:cs="Arial" w:eastAsia="Arial" w:hAnsi="Arial"/>
                <w:sz w:val="18"/>
                <w:szCs w:val="18"/>
                <w:color w:val="auto"/>
                <w:w w:val="95"/>
              </w:rPr>
              <w:t>determined by the Board) after a person or group has first published, sent, or given a tender or exchange offer that</w:t>
            </w: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p>
        </w:tc>
        <w:tc>
          <w:tcPr>
            <w:tcW w:w="9300" w:type="dxa"/>
            <w:vAlign w:val="bottom"/>
          </w:tcPr>
          <w:p>
            <w:pPr>
              <w:ind w:left="620"/>
              <w:spacing w:after="0"/>
              <w:rPr>
                <w:sz w:val="20"/>
                <w:szCs w:val="20"/>
                <w:color w:val="auto"/>
              </w:rPr>
            </w:pPr>
            <w:r>
              <w:rPr>
                <w:rFonts w:ascii="Arial" w:cs="Arial" w:eastAsia="Arial" w:hAnsi="Arial"/>
                <w:sz w:val="18"/>
                <w:szCs w:val="18"/>
                <w:color w:val="auto"/>
              </w:rPr>
              <w:t>would result in ownership by a person or group of 4.99% or more of the Common Shares.</w:t>
            </w:r>
          </w:p>
        </w:tc>
        <w:tc>
          <w:tcPr>
            <w:tcW w:w="0" w:type="dxa"/>
            <w:vAlign w:val="bottom"/>
          </w:tcPr>
          <w:p>
            <w:pPr>
              <w:spacing w:after="0"/>
              <w:rPr>
                <w:sz w:val="1"/>
                <w:szCs w:val="1"/>
                <w:color w:val="auto"/>
              </w:rPr>
            </w:pPr>
          </w:p>
        </w:tc>
      </w:tr>
      <w:tr>
        <w:trPr>
          <w:trHeight w:val="445"/>
        </w:trPr>
        <w:tc>
          <w:tcPr>
            <w:tcW w:w="2120" w:type="dxa"/>
            <w:vAlign w:val="bottom"/>
          </w:tcPr>
          <w:p>
            <w:pPr>
              <w:spacing w:after="0"/>
              <w:rPr>
                <w:sz w:val="24"/>
                <w:szCs w:val="24"/>
                <w:color w:val="auto"/>
              </w:rPr>
            </w:pPr>
          </w:p>
        </w:tc>
        <w:tc>
          <w:tcPr>
            <w:tcW w:w="9300" w:type="dxa"/>
            <w:vAlign w:val="bottom"/>
          </w:tcPr>
          <w:p>
            <w:pPr>
              <w:ind w:left="620"/>
              <w:spacing w:after="0"/>
              <w:rPr>
                <w:sz w:val="20"/>
                <w:szCs w:val="20"/>
                <w:color w:val="auto"/>
              </w:rPr>
            </w:pPr>
            <w:r>
              <w:rPr>
                <w:rFonts w:ascii="Arial" w:cs="Arial" w:eastAsia="Arial" w:hAnsi="Arial"/>
                <w:sz w:val="18"/>
                <w:szCs w:val="18"/>
                <w:color w:val="auto"/>
                <w:w w:val="97"/>
              </w:rPr>
              <w:t>Any person or group of affiliated or associated persons who beneficially owns 4.99% or more of the outstanding</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9300" w:type="dxa"/>
            <w:vAlign w:val="bottom"/>
          </w:tcPr>
          <w:p>
            <w:pPr>
              <w:ind w:left="620"/>
              <w:spacing w:after="0"/>
              <w:rPr>
                <w:sz w:val="20"/>
                <w:szCs w:val="20"/>
                <w:color w:val="auto"/>
              </w:rPr>
            </w:pPr>
            <w:r>
              <w:rPr>
                <w:rFonts w:ascii="Arial" w:cs="Arial" w:eastAsia="Arial" w:hAnsi="Arial"/>
                <w:sz w:val="18"/>
                <w:szCs w:val="18"/>
                <w:color w:val="auto"/>
                <w:w w:val="95"/>
              </w:rPr>
              <w:t>Common Shares as of the announcement of the Plan will not be an Acquiring Person, but only for so long as such</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9300" w:type="dxa"/>
            <w:vAlign w:val="bottom"/>
          </w:tcPr>
          <w:p>
            <w:pPr>
              <w:ind w:left="620"/>
              <w:spacing w:after="0"/>
              <w:rPr>
                <w:sz w:val="20"/>
                <w:szCs w:val="20"/>
                <w:color w:val="auto"/>
              </w:rPr>
            </w:pPr>
            <w:r>
              <w:rPr>
                <w:rFonts w:ascii="Arial" w:cs="Arial" w:eastAsia="Arial" w:hAnsi="Arial"/>
                <w:sz w:val="18"/>
                <w:szCs w:val="18"/>
                <w:color w:val="auto"/>
                <w:w w:val="94"/>
              </w:rPr>
              <w:t>person or group does not become the beneficial owner of additional Common Shares equal to 0.10% or more of the</w:t>
            </w: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p>
        </w:tc>
        <w:tc>
          <w:tcPr>
            <w:tcW w:w="9300" w:type="dxa"/>
            <w:vAlign w:val="bottom"/>
          </w:tcPr>
          <w:p>
            <w:pPr>
              <w:ind w:left="620"/>
              <w:spacing w:after="0"/>
              <w:rPr>
                <w:sz w:val="20"/>
                <w:szCs w:val="20"/>
                <w:color w:val="auto"/>
              </w:rPr>
            </w:pPr>
            <w:r>
              <w:rPr>
                <w:rFonts w:ascii="Arial" w:cs="Arial" w:eastAsia="Arial" w:hAnsi="Arial"/>
                <w:sz w:val="18"/>
                <w:szCs w:val="18"/>
                <w:color w:val="auto"/>
              </w:rPr>
              <w:t>Common Shares then outstanding.</w:t>
            </w:r>
          </w:p>
        </w:tc>
        <w:tc>
          <w:tcPr>
            <w:tcW w:w="0" w:type="dxa"/>
            <w:vAlign w:val="bottom"/>
          </w:tcPr>
          <w:p>
            <w:pPr>
              <w:spacing w:after="0"/>
              <w:rPr>
                <w:sz w:val="1"/>
                <w:szCs w:val="1"/>
                <w:color w:val="auto"/>
              </w:rPr>
            </w:pPr>
          </w:p>
        </w:tc>
      </w:tr>
      <w:tr>
        <w:trPr>
          <w:trHeight w:val="441"/>
        </w:trPr>
        <w:tc>
          <w:tcPr>
            <w:tcW w:w="2120" w:type="dxa"/>
            <w:vAlign w:val="bottom"/>
          </w:tcPr>
          <w:p>
            <w:pPr>
              <w:spacing w:after="0"/>
              <w:rPr>
                <w:sz w:val="24"/>
                <w:szCs w:val="24"/>
                <w:color w:val="auto"/>
              </w:rPr>
            </w:pPr>
          </w:p>
        </w:tc>
        <w:tc>
          <w:tcPr>
            <w:tcW w:w="9300" w:type="dxa"/>
            <w:vAlign w:val="bottom"/>
          </w:tcPr>
          <w:p>
            <w:pPr>
              <w:ind w:left="620"/>
              <w:spacing w:after="0"/>
              <w:rPr>
                <w:sz w:val="20"/>
                <w:szCs w:val="20"/>
                <w:color w:val="auto"/>
              </w:rPr>
            </w:pPr>
            <w:r>
              <w:rPr>
                <w:rFonts w:ascii="Arial" w:cs="Arial" w:eastAsia="Arial" w:hAnsi="Arial"/>
                <w:sz w:val="18"/>
                <w:szCs w:val="18"/>
                <w:color w:val="auto"/>
                <w:w w:val="98"/>
              </w:rPr>
              <w:t>The date on which the Rights separate from the Common Shares and become exercisable is referred to as the</w:t>
            </w:r>
          </w:p>
        </w:tc>
        <w:tc>
          <w:tcPr>
            <w:tcW w:w="0" w:type="dxa"/>
            <w:vAlign w:val="bottom"/>
          </w:tcPr>
          <w:p>
            <w:pPr>
              <w:spacing w:after="0"/>
              <w:rPr>
                <w:sz w:val="1"/>
                <w:szCs w:val="1"/>
                <w:color w:val="auto"/>
              </w:rPr>
            </w:pPr>
          </w:p>
        </w:tc>
      </w:tr>
      <w:tr>
        <w:trPr>
          <w:trHeight w:val="234"/>
        </w:trPr>
        <w:tc>
          <w:tcPr>
            <w:tcW w:w="2120" w:type="dxa"/>
            <w:vAlign w:val="bottom"/>
          </w:tcPr>
          <w:p>
            <w:pPr>
              <w:spacing w:after="0"/>
              <w:rPr>
                <w:sz w:val="20"/>
                <w:szCs w:val="20"/>
                <w:color w:val="auto"/>
              </w:rPr>
            </w:pPr>
          </w:p>
        </w:tc>
        <w:tc>
          <w:tcPr>
            <w:tcW w:w="9300" w:type="dxa"/>
            <w:vAlign w:val="bottom"/>
          </w:tcPr>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Distribution Date</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45"/>
        </w:trPr>
        <w:tc>
          <w:tcPr>
            <w:tcW w:w="2120" w:type="dxa"/>
            <w:vAlign w:val="bottom"/>
          </w:tcPr>
          <w:p>
            <w:pPr>
              <w:spacing w:after="0"/>
              <w:rPr>
                <w:sz w:val="24"/>
                <w:szCs w:val="24"/>
                <w:color w:val="auto"/>
              </w:rPr>
            </w:pPr>
          </w:p>
        </w:tc>
        <w:tc>
          <w:tcPr>
            <w:tcW w:w="9300" w:type="dxa"/>
            <w:vAlign w:val="bottom"/>
          </w:tcPr>
          <w:p>
            <w:pPr>
              <w:ind w:left="620"/>
              <w:spacing w:after="0"/>
              <w:rPr>
                <w:sz w:val="20"/>
                <w:szCs w:val="20"/>
                <w:color w:val="auto"/>
              </w:rPr>
            </w:pPr>
            <w:r>
              <w:rPr>
                <w:rFonts w:ascii="Arial" w:cs="Arial" w:eastAsia="Arial" w:hAnsi="Arial"/>
                <w:sz w:val="18"/>
                <w:szCs w:val="18"/>
                <w:color w:val="auto"/>
                <w:w w:val="93"/>
              </w:rPr>
              <w:t>After the Distribution Date, the Company will mail Rights certificates to the Company’s stockholders as of the close of</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9300" w:type="dxa"/>
            <w:vAlign w:val="bottom"/>
          </w:tcPr>
          <w:p>
            <w:pPr>
              <w:ind w:left="620"/>
              <w:spacing w:after="0"/>
              <w:rPr>
                <w:sz w:val="20"/>
                <w:szCs w:val="20"/>
                <w:color w:val="auto"/>
              </w:rPr>
            </w:pPr>
            <w:r>
              <w:rPr>
                <w:rFonts w:ascii="Arial" w:cs="Arial" w:eastAsia="Arial" w:hAnsi="Arial"/>
                <w:sz w:val="18"/>
                <w:szCs w:val="18"/>
                <w:color w:val="auto"/>
                <w:w w:val="92"/>
              </w:rPr>
              <w:t>business on the Distribution Date and the Rights will become transferable apart from the Common Shares. Thereafter,</w:t>
            </w: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p>
        </w:tc>
        <w:tc>
          <w:tcPr>
            <w:tcW w:w="9300" w:type="dxa"/>
            <w:vAlign w:val="bottom"/>
          </w:tcPr>
          <w:p>
            <w:pPr>
              <w:ind w:left="620"/>
              <w:spacing w:after="0"/>
              <w:rPr>
                <w:sz w:val="20"/>
                <w:szCs w:val="20"/>
                <w:color w:val="auto"/>
              </w:rPr>
            </w:pPr>
            <w:r>
              <w:rPr>
                <w:rFonts w:ascii="Arial" w:cs="Arial" w:eastAsia="Arial" w:hAnsi="Arial"/>
                <w:sz w:val="18"/>
                <w:szCs w:val="18"/>
                <w:color w:val="auto"/>
              </w:rPr>
              <w:t>such Rights certificates alone will represent the Rights.</w:t>
            </w:r>
          </w:p>
        </w:tc>
        <w:tc>
          <w:tcPr>
            <w:tcW w:w="0" w:type="dxa"/>
            <w:vAlign w:val="bottom"/>
          </w:tcPr>
          <w:p>
            <w:pPr>
              <w:spacing w:after="0"/>
              <w:rPr>
                <w:sz w:val="1"/>
                <w:szCs w:val="1"/>
                <w:color w:val="auto"/>
              </w:rPr>
            </w:pPr>
          </w:p>
        </w:tc>
      </w:tr>
      <w:tr>
        <w:trPr>
          <w:trHeight w:val="378"/>
        </w:trPr>
        <w:tc>
          <w:tcPr>
            <w:tcW w:w="2120" w:type="dxa"/>
            <w:vAlign w:val="bottom"/>
          </w:tcPr>
          <w:p>
            <w:pPr>
              <w:spacing w:after="0"/>
              <w:rPr>
                <w:sz w:val="24"/>
                <w:szCs w:val="24"/>
                <w:color w:val="auto"/>
              </w:rPr>
            </w:pPr>
          </w:p>
        </w:tc>
        <w:tc>
          <w:tcPr>
            <w:tcW w:w="9300" w:type="dxa"/>
            <w:vAlign w:val="bottom"/>
          </w:tcPr>
          <w:p>
            <w:pPr>
              <w:ind w:left="3460"/>
              <w:spacing w:after="0"/>
              <w:rPr>
                <w:sz w:val="20"/>
                <w:szCs w:val="20"/>
                <w:color w:val="auto"/>
              </w:rPr>
            </w:pPr>
            <w:r>
              <w:rPr>
                <w:rFonts w:ascii="Arial" w:cs="Arial" w:eastAsia="Arial" w:hAnsi="Arial"/>
                <w:sz w:val="18"/>
                <w:szCs w:val="18"/>
                <w:color w:val="auto"/>
              </w:rPr>
              <w:t>C-2</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378"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91" w:name="page92"/>
    <w:bookmarkEnd w:id="91"/>
    <w:p>
      <w:pPr>
        <w:ind w:right="560"/>
        <w:spacing w:after="0" w:line="314" w:lineRule="auto"/>
        <w:rPr>
          <w:sz w:val="20"/>
          <w:szCs w:val="20"/>
          <w:color w:val="auto"/>
        </w:rPr>
      </w:pPr>
      <w:r>
        <w:rPr>
          <w:rFonts w:ascii="Arial" w:cs="Arial" w:eastAsia="Arial" w:hAnsi="Arial"/>
          <w:sz w:val="16"/>
          <w:szCs w:val="16"/>
          <w:b w:val="1"/>
          <w:bCs w:val="1"/>
          <w:color w:val="auto"/>
        </w:rPr>
        <w:t>Preferred Shares Purchasable Upon Exercise of Rights:</w:t>
      </w:r>
    </w:p>
    <w:p>
      <w:pPr>
        <w:spacing w:after="0" w:line="20" w:lineRule="exact"/>
        <w:rPr>
          <w:sz w:val="20"/>
          <w:szCs w:val="20"/>
          <w:color w:val="auto"/>
        </w:rPr>
      </w:pPr>
      <w:r>
        <w:rPr>
          <w:sz w:val="20"/>
          <w:szCs w:val="20"/>
          <w:color w:val="auto"/>
        </w:rPr>
        <w:br w:type="column"/>
      </w:r>
    </w:p>
    <w:p>
      <w:pPr>
        <w:ind w:right="40"/>
        <w:spacing w:after="0" w:line="279" w:lineRule="auto"/>
        <w:rPr>
          <w:sz w:val="20"/>
          <w:szCs w:val="20"/>
          <w:color w:val="auto"/>
        </w:rPr>
      </w:pPr>
      <w:r>
        <w:rPr>
          <w:rFonts w:ascii="Arial" w:cs="Arial" w:eastAsia="Arial" w:hAnsi="Arial"/>
          <w:sz w:val="17"/>
          <w:szCs w:val="17"/>
          <w:color w:val="auto"/>
        </w:rPr>
        <w:t>After the Distribution Date, each Right will entitle the holder to purchase, for the Exercise Price, one one-thousandth of a Preferred Share having economic and other terms similar to that of one Common Share. This portion of a Preferred Share is intended to give the stockholder approximately the same dividend, voting and liquidation rights as would one Common Share, and should approximate the value of one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-1746885</wp:posOffset>
            </wp:positionH>
            <wp:positionV relativeFrom="paragraph">
              <wp:posOffset>-798830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2020" w:space="720"/>
            <w:col w:w="8660"/>
          </w:cols>
          <w:pgMar w:left="240" w:top="486" w:right="259" w:bottom="1440" w:gutter="0" w:footer="0" w:header="0"/>
        </w:sectPr>
      </w:pPr>
    </w:p>
    <w:p>
      <w:pPr>
        <w:jc w:val="center"/>
        <w:ind w:right="180"/>
        <w:spacing w:after="0"/>
        <w:rPr>
          <w:sz w:val="20"/>
          <w:szCs w:val="20"/>
          <w:color w:val="auto"/>
        </w:rPr>
      </w:pPr>
      <w:r>
        <w:rPr>
          <w:rFonts w:ascii="Arial" w:cs="Arial" w:eastAsia="Arial" w:hAnsi="Arial"/>
          <w:sz w:val="16"/>
          <w:szCs w:val="16"/>
          <w:color w:val="auto"/>
        </w:rPr>
        <w:t>More specifically, each one one-thousandth of a Preferred Share, if issued, will:</w:t>
      </w:r>
    </w:p>
    <w:p>
      <w:pPr>
        <w:spacing w:after="0" w:line="154" w:lineRule="exact"/>
        <w:rPr>
          <w:sz w:val="20"/>
          <w:szCs w:val="20"/>
          <w:color w:val="auto"/>
        </w:rPr>
      </w:pPr>
    </w:p>
    <w:p>
      <w:pPr>
        <w:ind w:left="3200"/>
        <w:spacing w:after="0"/>
        <w:tabs>
          <w:tab w:leader="none" w:pos="34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not be redeemable;</w:t>
      </w:r>
    </w:p>
    <w:p>
      <w:pPr>
        <w:spacing w:after="0" w:line="131" w:lineRule="exact"/>
        <w:rPr>
          <w:sz w:val="20"/>
          <w:szCs w:val="20"/>
          <w:color w:val="auto"/>
        </w:rPr>
      </w:pPr>
    </w:p>
    <w:p>
      <w:pPr>
        <w:ind w:left="3440" w:right="20" w:hanging="269"/>
        <w:spacing w:after="0" w:line="277" w:lineRule="auto"/>
        <w:tabs>
          <w:tab w:leader="none" w:pos="3420" w:val="left"/>
        </w:tabs>
        <w:rPr>
          <w:sz w:val="20"/>
          <w:szCs w:val="20"/>
          <w:color w:val="auto"/>
        </w:rPr>
      </w:pPr>
      <w:r>
        <w:rPr>
          <w:rFonts w:ascii="Arial" w:cs="Arial" w:eastAsia="Arial" w:hAnsi="Arial"/>
          <w:sz w:val="18"/>
          <w:szCs w:val="18"/>
          <w:color w:val="auto"/>
        </w:rPr>
        <w:t>•</w:t>
        <w:tab/>
        <w:t>entitle holders to quarterly dividend payments of $0.001 per share, or an amount equal to the dividend paid on one Common Share, whichever is greater;</w:t>
      </w:r>
    </w:p>
    <w:p>
      <w:pPr>
        <w:spacing w:after="0" w:line="76" w:lineRule="exact"/>
        <w:rPr>
          <w:sz w:val="20"/>
          <w:szCs w:val="20"/>
          <w:color w:val="auto"/>
        </w:rPr>
      </w:pPr>
    </w:p>
    <w:p>
      <w:pPr>
        <w:ind w:left="3440" w:right="140" w:hanging="269"/>
        <w:spacing w:after="0" w:line="277" w:lineRule="auto"/>
        <w:tabs>
          <w:tab w:leader="none" w:pos="3420" w:val="left"/>
        </w:tabs>
        <w:rPr>
          <w:sz w:val="20"/>
          <w:szCs w:val="20"/>
          <w:color w:val="auto"/>
        </w:rPr>
      </w:pPr>
      <w:r>
        <w:rPr>
          <w:rFonts w:ascii="Arial" w:cs="Arial" w:eastAsia="Arial" w:hAnsi="Arial"/>
          <w:sz w:val="18"/>
          <w:szCs w:val="18"/>
          <w:color w:val="auto"/>
        </w:rPr>
        <w:t>•</w:t>
        <w:tab/>
        <w:t>entitle holders upon liquidation either to receive $1.00 per share or an amount equal to the payment made on one Common Share, whichever is greater;</w:t>
      </w:r>
    </w:p>
    <w:p>
      <w:pPr>
        <w:spacing w:after="0" w:line="76" w:lineRule="exact"/>
        <w:rPr>
          <w:sz w:val="20"/>
          <w:szCs w:val="20"/>
          <w:color w:val="auto"/>
        </w:rPr>
      </w:pPr>
    </w:p>
    <w:p>
      <w:pPr>
        <w:ind w:left="3200"/>
        <w:spacing w:after="0"/>
        <w:tabs>
          <w:tab w:leader="none" w:pos="34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have the same voting power as one Common Share; and</w:t>
      </w:r>
    </w:p>
    <w:p>
      <w:pPr>
        <w:spacing w:after="0" w:line="131" w:lineRule="exact"/>
        <w:rPr>
          <w:sz w:val="20"/>
          <w:szCs w:val="20"/>
          <w:color w:val="auto"/>
        </w:rPr>
      </w:pPr>
    </w:p>
    <w:p>
      <w:pPr>
        <w:ind w:left="3440" w:right="440" w:hanging="269"/>
        <w:spacing w:after="0" w:line="277" w:lineRule="auto"/>
        <w:tabs>
          <w:tab w:leader="none" w:pos="3420" w:val="left"/>
        </w:tabs>
        <w:rPr>
          <w:sz w:val="20"/>
          <w:szCs w:val="20"/>
          <w:color w:val="auto"/>
        </w:rPr>
      </w:pPr>
      <w:r>
        <w:rPr>
          <w:rFonts w:ascii="Arial" w:cs="Arial" w:eastAsia="Arial" w:hAnsi="Arial"/>
          <w:sz w:val="18"/>
          <w:szCs w:val="18"/>
          <w:color w:val="auto"/>
        </w:rPr>
        <w:t>•</w:t>
        <w:tab/>
        <w:t>entitle holders to a per share payment equal to the payment made on one Common Share if the Common Shares are exchanged via merger, consolidation or a similar transaction.</w:t>
      </w:r>
    </w:p>
    <w:p>
      <w:pPr>
        <w:sectPr>
          <w:pgSz w:w="11900" w:h="16838" w:orient="portrait"/>
          <w:cols w:equalWidth="0" w:num="1">
            <w:col w:w="11400"/>
          </w:cols>
          <w:pgMar w:left="240" w:top="486" w:right="259" w:bottom="1440" w:gutter="0" w:footer="0" w:header="0"/>
          <w:type w:val="continuous"/>
        </w:sectPr>
      </w:pP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Flip-In Trigger:</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If an Acquiring Person obtains beneficial ownership of 4.99% or more of the Common Shares, except pursuant to an offer for all outstanding Common Shares that the independent members of the Board determine to be fair and not inadequate and to otherwise be in the best interests of the Company and its stockholders after receiving advice from one or more investment banking firms, </w:t>
      </w:r>
      <w:r>
        <w:rPr>
          <w:rFonts w:ascii="Arial" w:cs="Arial" w:eastAsia="Arial" w:hAnsi="Arial"/>
          <w:sz w:val="18"/>
          <w:szCs w:val="18"/>
          <w:i w:val="1"/>
          <w:iCs w:val="1"/>
          <w:color w:val="auto"/>
        </w:rPr>
        <w:t>then</w:t>
      </w:r>
      <w:r>
        <w:rPr>
          <w:rFonts w:ascii="Arial" w:cs="Arial" w:eastAsia="Arial" w:hAnsi="Arial"/>
          <w:sz w:val="18"/>
          <w:szCs w:val="18"/>
          <w:color w:val="auto"/>
        </w:rPr>
        <w:t xml:space="preserve"> each Right will entitle the holder thereof to purchase, for the Exercise Price, a number of Common Shares (or, in certain circumstances, cash, property or other securities of the Company) having a then-current market value of twice the Exercise Price. However, the Rights are not exercisable following the occurrence of the foregoing event until such time as the Rights are no longer redeemable by the Company, as further described below.</w:t>
      </w:r>
    </w:p>
    <w:p>
      <w:pPr>
        <w:spacing w:after="0" w:line="200" w:lineRule="exact"/>
        <w:rPr>
          <w:sz w:val="20"/>
          <w:szCs w:val="20"/>
          <w:color w:val="auto"/>
        </w:rPr>
      </w:pPr>
    </w:p>
    <w:p>
      <w:pPr>
        <w:sectPr>
          <w:pgSz w:w="11900" w:h="16838" w:orient="portrait"/>
          <w:cols w:equalWidth="0" w:num="2">
            <w:col w:w="2020" w:space="720"/>
            <w:col w:w="8660"/>
          </w:cols>
          <w:pgMar w:left="240" w:top="486" w:right="259" w:bottom="1440" w:gutter="0" w:footer="0" w:header="0"/>
          <w:type w:val="continuous"/>
        </w:sectPr>
      </w:pPr>
    </w:p>
    <w:p>
      <w:pPr>
        <w:spacing w:after="0" w:line="19" w:lineRule="exact"/>
        <w:rPr>
          <w:sz w:val="20"/>
          <w:szCs w:val="20"/>
          <w:color w:val="auto"/>
        </w:rPr>
      </w:pPr>
    </w:p>
    <w:p>
      <w:pPr>
        <w:ind w:left="2740"/>
        <w:spacing w:after="0" w:line="264" w:lineRule="auto"/>
        <w:rPr>
          <w:sz w:val="20"/>
          <w:szCs w:val="20"/>
          <w:color w:val="auto"/>
        </w:rPr>
      </w:pPr>
      <w:r>
        <w:rPr>
          <w:rFonts w:ascii="Arial" w:cs="Arial" w:eastAsia="Arial" w:hAnsi="Arial"/>
          <w:sz w:val="18"/>
          <w:szCs w:val="18"/>
          <w:color w:val="auto"/>
        </w:rPr>
        <w:t>Following the occurrence of an event set forth in preceding paragraph, all Rights that are or, under certain circumstances specified in the Plan, were beneficially owned by an Acquiring Person or certain of its transferees will be null and void.</w:t>
      </w:r>
    </w:p>
    <w:p>
      <w:pPr>
        <w:sectPr>
          <w:pgSz w:w="11900" w:h="16838" w:orient="portrait"/>
          <w:cols w:equalWidth="0" w:num="1">
            <w:col w:w="11400"/>
          </w:cols>
          <w:pgMar w:left="240" w:top="486" w:right="259" w:bottom="1440" w:gutter="0" w:footer="0" w:header="0"/>
          <w:type w:val="continuous"/>
        </w:sectPr>
      </w:pP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Flip-Over Trigger:</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 xml:space="preserve">If, after an Acquiring Person obtains 4.99% or more of the Common Shares, (1) the Company merges into another entity, (2) an acquiring entity merges into the Company or (3) the Company sells or transfers more than 50% of its assets, cash flow or earning power, </w:t>
      </w:r>
      <w:r>
        <w:rPr>
          <w:rFonts w:ascii="Arial" w:cs="Arial" w:eastAsia="Arial" w:hAnsi="Arial"/>
          <w:sz w:val="18"/>
          <w:szCs w:val="18"/>
          <w:i w:val="1"/>
          <w:iCs w:val="1"/>
          <w:color w:val="auto"/>
        </w:rPr>
        <w:t>then</w:t>
      </w:r>
      <w:r>
        <w:rPr>
          <w:rFonts w:ascii="Arial" w:cs="Arial" w:eastAsia="Arial" w:hAnsi="Arial"/>
          <w:sz w:val="18"/>
          <w:szCs w:val="18"/>
          <w:color w:val="auto"/>
        </w:rPr>
        <w:t xml:space="preserve"> each Right</w:t>
      </w:r>
    </w:p>
    <w:p>
      <w:pPr>
        <w:spacing w:after="0" w:line="114" w:lineRule="exact"/>
        <w:rPr>
          <w:sz w:val="20"/>
          <w:szCs w:val="20"/>
          <w:color w:val="auto"/>
        </w:rPr>
      </w:pPr>
    </w:p>
    <w:p>
      <w:pPr>
        <w:sectPr>
          <w:pgSz w:w="11900" w:h="16838" w:orient="portrait"/>
          <w:cols w:equalWidth="0" w:num="2">
            <w:col w:w="2020" w:space="720"/>
            <w:col w:w="8660"/>
          </w:cols>
          <w:pgMar w:left="240" w:top="486"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C-3</w:t>
      </w:r>
    </w:p>
    <w:p>
      <w:pPr>
        <w:sectPr>
          <w:pgSz w:w="11900" w:h="16838" w:orient="portrait"/>
          <w:cols w:equalWidth="0" w:num="1">
            <w:col w:w="11400"/>
          </w:cols>
          <w:pgMar w:left="240" w:top="486" w:right="259" w:bottom="1440" w:gutter="0" w:footer="0" w:header="0"/>
          <w:type w:val="continuous"/>
        </w:sectPr>
      </w:pPr>
    </w:p>
    <w:bookmarkStart w:id="92" w:name="page93"/>
    <w:bookmarkEnd w:id="92"/>
    <w:p>
      <w:pPr>
        <w:ind w:left="2740"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for Rights that have previously been voided as set forth above) will entitle the holder thereof to purchase, for the Exercise Price, a number of shares of common stock of the person engaging in the transaction having a then-current market value of twice the Exercise Price.</w:t>
      </w:r>
    </w:p>
    <w:p>
      <w:pPr>
        <w:sectPr>
          <w:pgSz w:w="11900" w:h="16838" w:orient="portrait"/>
          <w:cols w:equalWidth="0" w:num="1">
            <w:col w:w="11380"/>
          </w:cols>
          <w:pgMar w:left="240" w:top="274" w:right="279" w:bottom="1440" w:gutter="0" w:footer="0" w:header="0"/>
        </w:sectPr>
      </w:pP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Redemption of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Rights will be redeemable at the Company’s option for $0.01 per Right (payable in cash, Common Shares or other consideration deemed appropriate by the Board) at any time on or prior to the 10th business day (or such later date as may be determined by the Board) after the public announcement that an Acquiring Person has acquired beneficial ownership of 4.99% or more of the Common Shares. Immediately upon the action of the Board ordering redemption, the Rights will terminate and the only right of the holders of the Rights will be to receive the $0.01 redemption price. The redemption price will be adjusted if the Company undertakes a stock dividend or a stock split.</w:t>
      </w:r>
    </w:p>
    <w:p>
      <w:pPr>
        <w:spacing w:after="0" w:line="161" w:lineRule="exact"/>
        <w:rPr>
          <w:sz w:val="20"/>
          <w:szCs w:val="20"/>
          <w:color w:val="auto"/>
        </w:rPr>
      </w:pPr>
    </w:p>
    <w:p>
      <w:pPr>
        <w:sectPr>
          <w:pgSz w:w="11900" w:h="16838" w:orient="portrait"/>
          <w:cols w:equalWidth="0" w:num="2">
            <w:col w:w="2020" w:space="720"/>
            <w:col w:w="8640"/>
          </w:cols>
          <w:pgMar w:left="240" w:top="274" w:right="2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Exchange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Provision:</w:t>
      </w:r>
    </w:p>
    <w:p>
      <w:pPr>
        <w:spacing w:after="0" w:line="20" w:lineRule="exact"/>
        <w:rPr>
          <w:sz w:val="20"/>
          <w:szCs w:val="20"/>
          <w:color w:val="auto"/>
        </w:rPr>
      </w:pPr>
      <w:r>
        <w:rPr>
          <w:sz w:val="20"/>
          <w:szCs w:val="20"/>
          <w:color w:val="auto"/>
        </w:rPr>
        <w:br w:type="column"/>
      </w:r>
    </w:p>
    <w:p>
      <w:pPr>
        <w:ind w:right="120"/>
        <w:spacing w:after="0" w:line="255" w:lineRule="auto"/>
        <w:rPr>
          <w:sz w:val="20"/>
          <w:szCs w:val="20"/>
          <w:color w:val="auto"/>
        </w:rPr>
      </w:pPr>
      <w:r>
        <w:rPr>
          <w:rFonts w:ascii="Arial" w:cs="Arial" w:eastAsia="Arial" w:hAnsi="Arial"/>
          <w:sz w:val="18"/>
          <w:szCs w:val="18"/>
          <w:color w:val="auto"/>
        </w:rPr>
        <w:t>At any time after the date on which an Acquiring Person beneficially owns 4.99% or more of the Common Shares and prior to the acquisition by the Acquiring Person of 50% of the Common Shares, the Board may exchange the Rights (except for Rights that have previously been voided as set forth above), in whole or in part, for Common Shares at an exchange ratio of one Common Share per Right (subject to adjustment). In certain circumstances, the Company may elect to exchange the Rights for cash or other securities of the Company having a value approximately equal to one Common Share.</w:t>
      </w:r>
    </w:p>
    <w:p>
      <w:pPr>
        <w:spacing w:after="0" w:line="189" w:lineRule="exact"/>
        <w:rPr>
          <w:sz w:val="20"/>
          <w:szCs w:val="20"/>
          <w:color w:val="auto"/>
        </w:rPr>
      </w:pPr>
    </w:p>
    <w:p>
      <w:pPr>
        <w:sectPr>
          <w:pgSz w:w="11900" w:h="16838" w:orient="portrait"/>
          <w:cols w:equalWidth="0" w:num="2">
            <w:col w:w="2020" w:space="720"/>
            <w:col w:w="8640"/>
          </w:cols>
          <w:pgMar w:left="240" w:top="274" w:right="2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Expiration of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w:t>
      </w:r>
    </w:p>
    <w:p>
      <w:pPr>
        <w:spacing w:after="0" w:line="20" w:lineRule="exact"/>
        <w:rPr>
          <w:sz w:val="20"/>
          <w:szCs w:val="20"/>
          <w:color w:val="auto"/>
        </w:rPr>
      </w:pPr>
      <w:r>
        <w:rPr>
          <w:sz w:val="20"/>
          <w:szCs w:val="20"/>
          <w:color w:val="auto"/>
        </w:rPr>
        <w:br w:type="column"/>
      </w:r>
    </w:p>
    <w:p>
      <w:pPr>
        <w:spacing w:after="0" w:line="269" w:lineRule="auto"/>
        <w:rPr>
          <w:sz w:val="20"/>
          <w:szCs w:val="20"/>
          <w:color w:val="auto"/>
        </w:rPr>
      </w:pPr>
      <w:r>
        <w:rPr>
          <w:rFonts w:ascii="Arial" w:cs="Arial" w:eastAsia="Arial" w:hAnsi="Arial"/>
          <w:sz w:val="17"/>
          <w:szCs w:val="17"/>
          <w:color w:val="auto"/>
        </w:rPr>
        <w:t>The Rights expire on the earliest of (1) 5:00 p.m., New York City time, on November 21, 2019 (unless such date is extended); (2) the redemption or exchange of the Rights as described above; (3) following (a) the first annual meeting of the stockholders of the Company after the adoption of the Plan if stockholders do not approve the Plan or (b) the first anniversary of the adoption of the Plan if the stockholders have not otherwise approved the Plan; (4) the repeal of Section 382 of the Code or any other change if the Board determines that the Plan is no longer necessary or desirable for the preservation of the Tax Benefits; (5) the time at which the Board determines that the Tax Benefits are fully utilized or no longer available pursuant to Section 382 of the Code or that an ownership change pursuant to Section 382 of the Code would not adversely impact in any material respect the time period in which the Company could use the Tax Benefits, or materially impair the amount of the Tax Benefits that could be used by the Company in any particular time period, for applicable tax purposes; or (6) a determination by the Board that the Plan is no longer in the best interests of the Company and its stockholders.</w:t>
      </w:r>
    </w:p>
    <w:p>
      <w:pPr>
        <w:spacing w:after="0" w:line="115" w:lineRule="exact"/>
        <w:rPr>
          <w:sz w:val="20"/>
          <w:szCs w:val="20"/>
          <w:color w:val="auto"/>
        </w:rPr>
      </w:pPr>
    </w:p>
    <w:p>
      <w:pPr>
        <w:sectPr>
          <w:pgSz w:w="11900" w:h="16838" w:orient="portrait"/>
          <w:cols w:equalWidth="0" w:num="2">
            <w:col w:w="2020" w:space="720"/>
            <w:col w:w="8640"/>
          </w:cols>
          <w:pgMar w:left="240" w:top="274" w:right="27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C-4</w:t>
      </w:r>
    </w:p>
    <w:p>
      <w:pPr>
        <w:sectPr>
          <w:pgSz w:w="11900" w:h="16838" w:orient="portrait"/>
          <w:cols w:equalWidth="0" w:num="1">
            <w:col w:w="11380"/>
          </w:cols>
          <w:pgMar w:left="240" w:top="274" w:right="279" w:bottom="1440" w:gutter="0" w:footer="0" w:header="0"/>
          <w:type w:val="continuous"/>
        </w:sectPr>
      </w:pPr>
    </w:p>
    <w:bookmarkStart w:id="93" w:name="page94"/>
    <w:bookmarkEnd w:id="93"/>
    <w:p>
      <w:pPr>
        <w:ind w:right="340"/>
        <w:spacing w:after="0" w:line="266" w:lineRule="auto"/>
        <w:rPr>
          <w:sz w:val="20"/>
          <w:szCs w:val="20"/>
          <w:color w:val="auto"/>
        </w:rPr>
      </w:pPr>
      <w:r>
        <w:rPr>
          <w:rFonts w:ascii="Arial" w:cs="Arial" w:eastAsia="Arial" w:hAnsi="Arial"/>
          <w:sz w:val="18"/>
          <w:szCs w:val="18"/>
          <w:b w:val="1"/>
          <w:bCs w:val="1"/>
          <w:color w:val="auto"/>
        </w:rPr>
        <w:t>Amendment of Terms of the Plan and the Rights:</w:t>
      </w:r>
    </w:p>
    <w:p>
      <w:pPr>
        <w:spacing w:after="0" w:line="20" w:lineRule="exact"/>
        <w:rPr>
          <w:sz w:val="20"/>
          <w:szCs w:val="20"/>
          <w:color w:val="auto"/>
        </w:rPr>
      </w:pPr>
      <w:r>
        <w:rPr>
          <w:sz w:val="20"/>
          <w:szCs w:val="20"/>
          <w:color w:val="auto"/>
        </w:rPr>
        <w:br w:type="column"/>
      </w:r>
    </w:p>
    <w:p>
      <w:pPr>
        <w:ind w:right="40"/>
        <w:spacing w:after="0" w:line="279" w:lineRule="auto"/>
        <w:rPr>
          <w:sz w:val="20"/>
          <w:szCs w:val="20"/>
          <w:color w:val="auto"/>
        </w:rPr>
      </w:pPr>
      <w:r>
        <w:rPr>
          <w:rFonts w:ascii="Arial" w:cs="Arial" w:eastAsia="Arial" w:hAnsi="Arial"/>
          <w:sz w:val="17"/>
          <w:szCs w:val="17"/>
          <w:color w:val="auto"/>
        </w:rPr>
        <w:t>The terms of the Rights and the Plan may be amended in any respect without the consent of the holders of the Rights on or prior to the Distribution Date. Thereafter, the terms of the Rights and the Plan may be amended without the consent of the holders of Rights in order to (1) cure any ambiguities, (2) shorten or lengthen any time period pursuant to the Plan or (3) make changes that do not adversely affect the interests of holders of the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-1746885</wp:posOffset>
            </wp:positionH>
            <wp:positionV relativeFrom="paragraph">
              <wp:posOffset>-798830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67" w:lineRule="exact"/>
        <w:rPr>
          <w:sz w:val="20"/>
          <w:szCs w:val="20"/>
          <w:color w:val="auto"/>
        </w:rPr>
      </w:pPr>
    </w:p>
    <w:p>
      <w:pPr>
        <w:sectPr>
          <w:pgSz w:w="11900" w:h="16838" w:orient="portrait"/>
          <w:cols w:equalWidth="0" w:num="2">
            <w:col w:w="2020" w:space="720"/>
            <w:col w:w="8680"/>
          </w:cols>
          <w:pgMar w:left="240" w:top="486" w:right="239" w:bottom="1440" w:gutter="0" w:footer="0" w:header="0"/>
        </w:sectPr>
      </w:pPr>
    </w:p>
    <w:p>
      <w:pPr>
        <w:ind w:right="400"/>
        <w:spacing w:after="0" w:line="347" w:lineRule="auto"/>
        <w:rPr>
          <w:sz w:val="20"/>
          <w:szCs w:val="20"/>
          <w:color w:val="auto"/>
        </w:rPr>
      </w:pPr>
      <w:r>
        <w:rPr>
          <w:rFonts w:ascii="Arial" w:cs="Arial" w:eastAsia="Arial" w:hAnsi="Arial"/>
          <w:sz w:val="16"/>
          <w:szCs w:val="16"/>
          <w:b w:val="1"/>
          <w:bCs w:val="1"/>
          <w:color w:val="auto"/>
        </w:rPr>
        <w:t>Voting Rights; Other Stockholder Rights:</w:t>
      </w:r>
    </w:p>
    <w:p>
      <w:pPr>
        <w:spacing w:after="0" w:line="20" w:lineRule="exact"/>
        <w:rPr>
          <w:sz w:val="20"/>
          <w:szCs w:val="20"/>
          <w:color w:val="auto"/>
        </w:rPr>
      </w:pPr>
      <w:r>
        <w:rPr>
          <w:sz w:val="20"/>
          <w:szCs w:val="20"/>
          <w:color w:val="auto"/>
        </w:rPr>
        <w:br w:type="column"/>
      </w:r>
    </w:p>
    <w:p>
      <w:pPr>
        <w:ind w:right="100"/>
        <w:spacing w:after="0" w:line="277" w:lineRule="auto"/>
        <w:rPr>
          <w:sz w:val="20"/>
          <w:szCs w:val="20"/>
          <w:color w:val="auto"/>
        </w:rPr>
      </w:pPr>
      <w:r>
        <w:rPr>
          <w:rFonts w:ascii="Arial" w:cs="Arial" w:eastAsia="Arial" w:hAnsi="Arial"/>
          <w:sz w:val="18"/>
          <w:szCs w:val="18"/>
          <w:color w:val="auto"/>
        </w:rPr>
        <w:t>The Rights will not have any voting rights. Until a Right is exercised, the holder thereof, as such, will have no separate rights as stockholder of the Company.</w:t>
      </w:r>
    </w:p>
    <w:p>
      <w:pPr>
        <w:spacing w:after="0" w:line="180" w:lineRule="exact"/>
        <w:rPr>
          <w:sz w:val="20"/>
          <w:szCs w:val="20"/>
          <w:color w:val="auto"/>
        </w:rPr>
      </w:pPr>
    </w:p>
    <w:p>
      <w:pPr>
        <w:sectPr>
          <w:pgSz w:w="11900" w:h="16838" w:orient="portrait"/>
          <w:cols w:equalWidth="0" w:num="2">
            <w:col w:w="2020" w:space="720"/>
            <w:col w:w="8680"/>
          </w:cols>
          <w:pgMar w:left="240" w:top="486" w:right="2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Anti-Dilution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w:t>
      </w:r>
    </w:p>
    <w:p>
      <w:pPr>
        <w:spacing w:after="0" w:line="20" w:lineRule="exact"/>
        <w:rPr>
          <w:sz w:val="20"/>
          <w:szCs w:val="20"/>
          <w:color w:val="auto"/>
        </w:rPr>
      </w:pPr>
      <w:r>
        <w:rPr>
          <w:sz w:val="20"/>
          <w:szCs w:val="20"/>
          <w:color w:val="auto"/>
        </w:rPr>
        <w:br w:type="column"/>
      </w:r>
    </w:p>
    <w:p>
      <w:pPr>
        <w:spacing w:after="0" w:line="264" w:lineRule="auto"/>
        <w:rPr>
          <w:sz w:val="20"/>
          <w:szCs w:val="20"/>
          <w:color w:val="auto"/>
        </w:rPr>
      </w:pPr>
      <w:r>
        <w:rPr>
          <w:rFonts w:ascii="Arial" w:cs="Arial" w:eastAsia="Arial" w:hAnsi="Arial"/>
          <w:sz w:val="18"/>
          <w:szCs w:val="18"/>
          <w:color w:val="auto"/>
        </w:rPr>
        <w:t>The Board may adjust the Exercise Price, the number of Preferred Shares issuable and the number of outstanding Rights to prevent dilution that may occur from a stock dividend, a stock split or a reclassification of the Preferred Shares or Common Shares.</w:t>
      </w:r>
    </w:p>
    <w:p>
      <w:pPr>
        <w:spacing w:after="0" w:line="200" w:lineRule="exact"/>
        <w:rPr>
          <w:sz w:val="20"/>
          <w:szCs w:val="20"/>
          <w:color w:val="auto"/>
        </w:rPr>
      </w:pPr>
    </w:p>
    <w:p>
      <w:pPr>
        <w:sectPr>
          <w:pgSz w:w="11900" w:h="16838" w:orient="portrait"/>
          <w:cols w:equalWidth="0" w:num="2">
            <w:col w:w="2020" w:space="720"/>
            <w:col w:w="8680"/>
          </w:cols>
          <w:pgMar w:left="240" w:top="486" w:right="239" w:bottom="1440" w:gutter="0" w:footer="0" w:header="0"/>
          <w:type w:val="continuous"/>
        </w:sectPr>
      </w:pPr>
    </w:p>
    <w:p>
      <w:pPr>
        <w:spacing w:after="0" w:line="8" w:lineRule="exact"/>
        <w:rPr>
          <w:sz w:val="20"/>
          <w:szCs w:val="20"/>
          <w:color w:val="auto"/>
        </w:rPr>
      </w:pPr>
    </w:p>
    <w:p>
      <w:pPr>
        <w:ind w:left="2740" w:right="120"/>
        <w:spacing w:after="0" w:line="264" w:lineRule="auto"/>
        <w:rPr>
          <w:sz w:val="20"/>
          <w:szCs w:val="20"/>
          <w:color w:val="auto"/>
        </w:rPr>
      </w:pPr>
      <w:r>
        <w:rPr>
          <w:rFonts w:ascii="Arial" w:cs="Arial" w:eastAsia="Arial" w:hAnsi="Arial"/>
          <w:sz w:val="18"/>
          <w:szCs w:val="18"/>
          <w:color w:val="auto"/>
        </w:rPr>
        <w:t>With certain exceptions, no adjustments to the Exercise Price will be made until the cumulative adjustments amount to at least 1% of the Exercise Price. No fractional Preferred Shares will be issued and, in lieu thereof, an adjustment in cash will be made based on the current market price of the Preferred Shares.</w:t>
      </w:r>
    </w:p>
    <w:p>
      <w:pPr>
        <w:sectPr>
          <w:pgSz w:w="11900" w:h="16838" w:orient="portrait"/>
          <w:cols w:equalWidth="0" w:num="1">
            <w:col w:w="11420"/>
          </w:cols>
          <w:pgMar w:left="240" w:top="486" w:right="239" w:bottom="1440" w:gutter="0" w:footer="0" w:header="0"/>
          <w:type w:val="continuous"/>
        </w:sectPr>
      </w:pP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Taxes:</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The distribution of Rights should not be taxable for federal income tax purposes. However, following an event that renders the Rights exercisable or upon redemption of the Rights, stockholders may recognize taxable income.</w:t>
      </w:r>
    </w:p>
    <w:p>
      <w:pPr>
        <w:spacing w:after="0" w:line="56" w:lineRule="exact"/>
        <w:rPr>
          <w:sz w:val="20"/>
          <w:szCs w:val="20"/>
          <w:color w:val="auto"/>
        </w:rPr>
      </w:pPr>
    </w:p>
    <w:p>
      <w:pPr>
        <w:sectPr>
          <w:pgSz w:w="11900" w:h="16838" w:orient="portrait"/>
          <w:cols w:equalWidth="0" w:num="2">
            <w:col w:w="2020" w:space="720"/>
            <w:col w:w="8680"/>
          </w:cols>
          <w:pgMar w:left="240" w:top="486"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C-5</w:t>
      </w:r>
    </w:p>
    <w:p>
      <w:pPr>
        <w:sectPr>
          <w:pgSz w:w="11900" w:h="16838" w:orient="portrait"/>
          <w:cols w:equalWidth="0" w:num="1">
            <w:col w:w="11420"/>
          </w:cols>
          <w:pgMar w:left="240" w:top="486" w:right="239" w:bottom="1440" w:gutter="0" w:footer="0" w:header="0"/>
          <w:type w:val="continuous"/>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5" w:lineRule="exact"/>
        <w:rPr>
          <w:sz w:val="20"/>
          <w:szCs w:val="20"/>
          <w:color w:val="auto"/>
        </w:rPr>
      </w:pPr>
    </w:p>
    <w:p>
      <w:pPr>
        <w:jc w:val="center"/>
        <w:ind w:left="260" w:right="740"/>
        <w:spacing w:after="0" w:line="282" w:lineRule="auto"/>
        <w:rPr>
          <w:sz w:val="20"/>
          <w:szCs w:val="20"/>
          <w:color w:val="auto"/>
        </w:rPr>
      </w:pPr>
      <w:r>
        <w:rPr>
          <w:rFonts w:ascii="Arial" w:cs="Arial" w:eastAsia="Arial" w:hAnsi="Arial"/>
          <w:sz w:val="18"/>
          <w:szCs w:val="18"/>
          <w:b w:val="1"/>
          <w:bCs w:val="1"/>
          <w:color w:val="auto"/>
        </w:rPr>
        <w:t>FLUIDIGM CORPORATION ADOPTS TAX BENEFIT PRESERVATION PLAN TO PROTECT ITS NET OPERATING LOSS CARRYFORWARDS</w:t>
      </w:r>
    </w:p>
    <w:p>
      <w:pPr>
        <w:spacing w:after="0" w:line="166"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SOUTH SAN FRANCISCO, Calif., November 22, 2016 – Fluidigm Corporation (NASDAQ:FLDM) announced today that its Board of Directors has adopted a plan, known as a Tax Benefit Preservation Plan, designed to preserve the significant potential long-term tax benefit associated with Fluidigm’s net operating loss carryforwards. Fluidigm intends to seek stockholder approval of the plan at its 2017 annual meeting of stockholders.</w:t>
      </w:r>
    </w:p>
    <w:p>
      <w:pPr>
        <w:spacing w:after="0" w:line="16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As of December 31, 2015, Fluidigm had net operating losses for United States federal income tax purposes totaling approximately $321.4 million. Pursuant to U.S. federal income tax rules, Fluidigm’s use of those net operating losses to offset future taxable income could be substantially limited if Fluidigm experiences an “ownership change” as contemplated in Section 382 of the Internal Revenue Code. In general, an “ownership change” occurs under Section 382 if a stockholder or group of stockholders that is deemed to own more than five percent (5.0%) of a company’s common stock increases its ownership percentage by more than 50 percentage points over its lowest ownership percentage during a rolling three-year period.</w:t>
      </w:r>
    </w:p>
    <w:p>
      <w:pPr>
        <w:spacing w:after="0" w:line="17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Chris Linthwaite, Fluidigm’s Chief Executive Officer, noted: “Fluidigm has a significant asset in its net operating losses, and our board took this prudent step to protect it. The plan is designed to maximize value to all our stockholders.”</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connection with the adoption of the Tax Benefit Preservation Plan, Fluidigm’s board of directors declared a non-taxable dividend of one preferred share purchase right for each outstanding share of Fluidigm common stock for stockholders of record as of the close of business on December 1, 2016. After the plan takes effect, any person or group that acquires beneficial ownership of 4.99% or more of Fluidigm’s common stock without the approval of its board of directors would be subject to significant dilution in that person’s or group’s ownership</w:t>
      </w:r>
    </w:p>
    <w:p>
      <w:pPr>
        <w:sectPr>
          <w:pgSz w:w="11900" w:h="16838" w:orient="portrait"/>
          <w:cols w:equalWidth="0" w:num="1">
            <w:col w:w="11420"/>
          </w:cols>
          <w:pgMar w:left="240" w:top="121" w:right="239" w:bottom="1440" w:gutter="0" w:footer="0" w:header="0"/>
        </w:sectPr>
      </w:pPr>
    </w:p>
    <w:bookmarkStart w:id="95" w:name="page96"/>
    <w:bookmarkEnd w:id="95"/>
    <w:p>
      <w:pPr>
        <w:ind w:right="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interest in Fluidigm. Stockholders who currently beneficially own 4.99% or more of the outstanding shares of Fluidigm’s common stock will not trigger the preferred share purchase rights unless they acquire beneficial ownership of additional shares equal to 0.10% or more of the common shares then outstanding.</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preferred share rights will expire on the earliest to occur of (i) 5:00 p.m., New York City time, on November 21, 2019 (unless such date is extended);</w:t>
      </w:r>
    </w:p>
    <w:p>
      <w:pPr>
        <w:spacing w:after="0" w:line="46" w:lineRule="exact"/>
        <w:rPr>
          <w:sz w:val="20"/>
          <w:szCs w:val="20"/>
          <w:color w:val="auto"/>
        </w:rPr>
      </w:pPr>
    </w:p>
    <w:p>
      <w:pPr>
        <w:ind w:firstLine="8"/>
        <w:spacing w:after="0" w:line="287" w:lineRule="auto"/>
        <w:tabs>
          <w:tab w:leader="none" w:pos="265"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redemption or exchange of the rights; (iii) following (a) the first annual meeting of the stockholders of the Company after the adoption of the Tax Benefit Preservation Plan if Fluidigm’s stockholders do not approve the plan or (b) the first anniversary of the adoption of the Plan if the stockholders have not otherwise approved the Plan; (iv) the repeal of Section 382 of the Internal Revenue Code or any other change if Fluidigm’s board of directors determines that the plan is no longer necessary or desirable for the preservation of Fluidigm’s net operating losses; (v) the time at which Fluidigm determines that the tax benefits associated with the net operating losses either are fully utilized or no longer available pursuant to Section 382 or that an ownership change pursuant to Section 382 would not adversely impact in any material respect the time period in which Fluidigm could use the net operating losses or materially impair the amount of the net operating losses that could be used by Fluidigm in any particular time period for applicable tax purposes; or (vi) a determination by Fluidigm’s board of directors that the Tax Benefit Preservation Plan is no longer in the best interests of Fluidigm and its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issuance of the preferred share rights will not affect Fluidigm’s reported earnings per share nor is it taxable to Fluidigm or its stockholders.</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Additional information regarding the Tax Benefit Preservation Plan will be contained in a Form 8-K and in a Registration Statement on Form 8-A that Fluidigm will file with the Securities and Exchange Commission.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Fluidigm</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Fluidigm (NASDAQ:FLDM) develops, manufactures, and markets life science analytical and preparatory systems for growth markets such as single-cell biology and production genomics.</w:t>
      </w:r>
    </w:p>
    <w:p>
      <w:pPr>
        <w:sectPr>
          <w:pgSz w:w="11900" w:h="16838" w:orient="portrait"/>
          <w:cols w:equalWidth="0" w:num="1">
            <w:col w:w="11340"/>
          </w:cols>
          <w:pgMar w:left="240" w:top="274" w:right="319" w:bottom="1440" w:gutter="0" w:footer="0" w:header="0"/>
        </w:sectPr>
      </w:pPr>
    </w:p>
    <w:bookmarkStart w:id="96" w:name="page97"/>
    <w:bookmarkEnd w:id="96"/>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sell to leading academic institutions, clinical laboratories, and pharmaceutical, biotechnology, and agricultural biotechnology companies worldwide. Our systems are based on proprietary microfluidics and multiparameter mass cytometry technology and are designed to significantly simplify experimental workflow, increase throughput, and reduce costs while providing excellent data quality. Fluidigm products are provided for Research Use Only. Not for use in diagnostic procedures.</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use our website (www.fluidigm.com), corporate Twitter account (@fluidigm), Facebook page (https://www.facebook.com/Fluidigm), and LinkedIn page (https://www.linkedin.com/company/fluidigm-corporation) as channels of distribution of information about our products, our planned financial and other announcements, our attendance at upcoming investor and industry conferences, and other matters. Such information may be deemed material information, and we may use these channels to comply with our disclosure obligations under Regulation FD. Therefore, investors should monitor our website and our social media accounts in addition to following our press releases, SEC filings, public conference calls, and webcasts.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Fluidigm and the Fluidigm logo are trademarks or registered trademarks of Fluidigm Corporation.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2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i w:val="1"/>
          <w:iCs w:val="1"/>
          <w:color w:val="auto"/>
        </w:rPr>
        <w:t>This press release contains forward-looking statements within the meaning of the Private Securities Litigation Reform Act of 1995, including, among others, statements regarding Fluidigm’s ability to use its net operating losses to offset future tax liabilities. Forward-looking statements are subject to numerous risks and uncertainties that could cause actual results to differ materially from currently anticipated results, including but not limited to, risks relating to the future financial performance of Fluidigm; challenges inherent in developing, manufacturing, launching, marketing, and selling new products; potential product performance and quality issues; the possible loss of key employees, customers, or suppliers; intellectual property risks; competition; Fluidigm research and development, sales, marketing, and distribution plans and capabilities; reductions in research and development spending or changes in budget priorities</w:t>
      </w:r>
    </w:p>
    <w:p>
      <w:pPr>
        <w:sectPr>
          <w:pgSz w:w="11900" w:h="16838" w:orient="portrait"/>
          <w:cols w:equalWidth="0" w:num="1">
            <w:col w:w="11420"/>
          </w:cols>
          <w:pgMar w:left="240" w:top="274" w:right="239" w:bottom="1440" w:gutter="0" w:footer="0" w:header="0"/>
        </w:sectPr>
      </w:pPr>
    </w:p>
    <w:bookmarkStart w:id="97" w:name="page98"/>
    <w:bookmarkEnd w:id="97"/>
    <w:p>
      <w:pPr>
        <w:spacing w:after="0" w:line="255"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customers; interruptions or delays in the supply of components or materials for, or manufacturing of, its products; seasonal variations in customer operations; unanticipated increases in costs or expenses; and risks associated with international operations. Information on these and additional risks, uncertainties, and other information affecting Fluidigm business and operating results are contained in Fluidigm’s Annual Report on Form 10-K for the year ended December 31, 2015, and in its other filings with the Securities and Exchange Commission, including Fluidigm’s Quarterly Report on Form 10-Q for the quarter ended September 30, 2016. These forward-looking statements speak only as of the date hereof. Fluidigm disclaims any obligation to update these forward-looking statements except as may be required by law.</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Fluidigm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Ana Petrovic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Corporate Development and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650.243.6628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ana.petrovic@fluidigm.com</w:t>
      </w:r>
    </w:p>
    <w:sectPr>
      <w:pgSz w:w="11900" w:h="16838" w:orient="portrait"/>
      <w:cols w:equalWidth="0" w:num="1">
        <w:col w:w="11340"/>
      </w:cols>
      <w:pgMar w:left="240" w:top="27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
      <w:numFmt w:val="bullet"/>
      <w:start w:val="1"/>
    </w:lvl>
  </w:abstractNum>
  <w:abstractNum w:abstractNumId="2">
    <w:nsid w:val="684A481A"/>
    <w:multiLevelType w:val="hybridMultilevel"/>
    <w:lvl w:ilvl="0">
      <w:lvlJc w:val="left"/>
      <w:lvlText w:val="•"/>
      <w:numFmt w:val="bullet"/>
      <w:start w:val="1"/>
    </w:lvl>
  </w:abstractNum>
  <w:abstractNum w:abstractNumId="3">
    <w:nsid w:val="579478FE"/>
    <w:multiLevelType w:val="hybridMultilevel"/>
    <w:lvl w:ilvl="0">
      <w:lvlJc w:val="left"/>
      <w:lvlText w:val="(%1)"/>
      <w:numFmt w:val="decimal"/>
      <w:start w:val="5"/>
    </w:lvl>
  </w:abstractNum>
  <w:abstractNum w:abstractNumId="4">
    <w:nsid w:val="749ABB43"/>
    <w:multiLevelType w:val="hybridMultilevel"/>
    <w:lvl w:ilvl="0">
      <w:lvlJc w:val="left"/>
      <w:lvlText w:val="(%1)"/>
      <w:numFmt w:val="lowerLetter"/>
      <w:start w:val="4"/>
    </w:lvl>
  </w:abstractNum>
  <w:abstractNum w:abstractNumId="5">
    <w:nsid w:val="3DC240FB"/>
    <w:multiLevelType w:val="hybridMultilevel"/>
    <w:lvl w:ilvl="0">
      <w:lvlJc w:val="left"/>
      <w:lvlText w:val="(%1)"/>
      <w:numFmt w:val="lowerLetter"/>
      <w:start w:val="1"/>
    </w:lvl>
  </w:abstractNum>
  <w:abstractNum w:abstractNumId="6">
    <w:nsid w:val="1BA026F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7">
    <w:nsid w:val="79A1DEAA"/>
    <w:multiLevelType w:val="hybridMultilevel"/>
    <w:lvl w:ilvl="0">
      <w:lvlJc w:val="left"/>
      <w:lvlText w:val="(%1)"/>
      <w:numFmt w:val="lowerLetter"/>
      <w:start w:val="61"/>
    </w:lvl>
    <w:lvl w:ilvl="1">
      <w:lvlJc w:val="left"/>
      <w:lvlText w:val="(%2)"/>
      <w:numFmt w:val="lowerLetter"/>
      <w:start w:val="2"/>
    </w:lvl>
    <w:lvl w:ilvl="2">
      <w:lvlJc w:val="left"/>
      <w:lvlText w:val="(%3)"/>
      <w:numFmt w:val="lowerLetter"/>
      <w:start w:val="35"/>
    </w:lvl>
  </w:abstractNum>
  <w:abstractNum w:abstractNumId="8">
    <w:nsid w:val="75C6C33A"/>
    <w:multiLevelType w:val="hybridMultilevel"/>
    <w:lvl w:ilvl="0">
      <w:lvlJc w:val="left"/>
      <w:lvlText w:val="(%1)"/>
      <w:numFmt w:val="lowerRoman"/>
      <w:start w:val="3"/>
    </w:lvl>
  </w:abstractNum>
  <w:abstractNum w:abstractNumId="9">
    <w:nsid w:val="12E685FB"/>
    <w:multiLevelType w:val="hybridMultilevel"/>
    <w:lvl w:ilvl="0">
      <w:lvlJc w:val="left"/>
      <w:lvlText w:val="(%1)"/>
      <w:numFmt w:val="lowerLetter"/>
      <w:start w:val="1"/>
    </w:lvl>
    <w:lvl w:ilvl="1">
      <w:lvlJc w:val="left"/>
      <w:lvlText w:val="(%2)"/>
      <w:numFmt w:val="lowerRoman"/>
      <w:start w:val="1"/>
    </w:lvl>
  </w:abstractNum>
  <w:abstractNum w:abstractNumId="10">
    <w:nsid w:val="70C6A529"/>
    <w:multiLevelType w:val="hybridMultilevel"/>
    <w:lvl w:ilvl="0">
      <w:lvlJc w:val="left"/>
      <w:lvlText w:val="(%1)"/>
      <w:numFmt w:val="lowerLetter"/>
      <w:start w:val="1"/>
    </w:lvl>
  </w:abstractNum>
  <w:abstractNum w:abstractNumId="11">
    <w:nsid w:val="520EEDD1"/>
    <w:multiLevelType w:val="hybridMultilevel"/>
    <w:lvl w:ilvl="0">
      <w:lvlJc w:val="left"/>
      <w:lvlText w:val="(%1)"/>
      <w:numFmt w:val="lowerLetter"/>
      <w:start w:val="1"/>
    </w:lvl>
  </w:abstractNum>
  <w:abstractNum w:abstractNumId="12">
    <w:nsid w:val="374A3FE6"/>
    <w:multiLevelType w:val="hybridMultilevel"/>
    <w:lvl w:ilvl="0">
      <w:lvlJc w:val="left"/>
      <w:lvlText w:val="(%1)"/>
      <w:numFmt w:val="lowerLetter"/>
      <w:start w:val="2"/>
    </w:lvl>
    <w:lvl w:ilvl="1">
      <w:lvlJc w:val="left"/>
      <w:lvlText w:val="(%2)"/>
      <w:numFmt w:val="lowerLetter"/>
      <w:start w:val="9"/>
    </w:lvl>
  </w:abstractNum>
  <w:abstractNum w:abstractNumId="13">
    <w:nsid w:val="4F4EF005"/>
    <w:multiLevelType w:val="hybridMultilevel"/>
    <w:lvl w:ilvl="0">
      <w:lvlJc w:val="left"/>
      <w:lvlText w:val="(%1)"/>
      <w:numFmt w:val="lowerRoman"/>
      <w:start w:val="2"/>
    </w:lvl>
  </w:abstractNum>
  <w:abstractNum w:abstractNumId="14">
    <w:nsid w:val="23F9C13C"/>
    <w:multiLevelType w:val="hybridMultilevel"/>
    <w:lvl w:ilvl="0">
      <w:lvlJc w:val="left"/>
      <w:lvlText w:val="(%1)"/>
      <w:numFmt w:val="lowerLetter"/>
      <w:start w:val="5"/>
    </w:lvl>
  </w:abstractNum>
  <w:abstractNum w:abstractNumId="15">
    <w:nsid w:val="649BB77C"/>
    <w:multiLevelType w:val="hybridMultilevel"/>
    <w:lvl w:ilvl="0">
      <w:lvlJc w:val="left"/>
      <w:lvlText w:val="(%1)"/>
      <w:numFmt w:val="lowerLetter"/>
      <w:start w:val="25"/>
    </w:lvl>
    <w:lvl w:ilvl="1">
      <w:lvlJc w:val="left"/>
      <w:lvlText w:val="(%2)"/>
      <w:numFmt w:val="lowerLetter"/>
      <w:start w:val="14"/>
    </w:lvl>
  </w:abstractNum>
  <w:abstractNum w:abstractNumId="16">
    <w:nsid w:val="275AC794"/>
    <w:multiLevelType w:val="hybridMultilevel"/>
    <w:lvl w:ilvl="0">
      <w:lvlJc w:val="left"/>
      <w:lvlText w:val="(%1)"/>
      <w:numFmt w:val="lowerLetter"/>
      <w:start w:val="17"/>
    </w:lvl>
  </w:abstractNum>
  <w:abstractNum w:abstractNumId="17">
    <w:nsid w:val="39386575"/>
    <w:multiLevelType w:val="hybridMultilevel"/>
    <w:lvl w:ilvl="0">
      <w:lvlJc w:val="left"/>
      <w:lvlText w:val="(%1)"/>
      <w:numFmt w:val="lowerLetter"/>
      <w:start w:val="27"/>
    </w:lvl>
  </w:abstractNum>
  <w:abstractNum w:abstractNumId="18">
    <w:nsid w:val="1CF10FD8"/>
    <w:multiLevelType w:val="hybridMultilevel"/>
    <w:lvl w:ilvl="0">
      <w:lvlJc w:val="left"/>
      <w:lvlText w:val="(%1)"/>
      <w:numFmt w:val="lowerLetter"/>
      <w:start w:val="35"/>
    </w:lvl>
  </w:abstractNum>
  <w:abstractNum w:abstractNumId="19">
    <w:nsid w:val="180115BE"/>
    <w:multiLevelType w:val="hybridMultilevel"/>
    <w:lvl w:ilvl="0">
      <w:lvlJc w:val="left"/>
      <w:lvlText w:val="(%1)"/>
      <w:numFmt w:val="lowerLetter"/>
      <w:start w:val="39"/>
    </w:lvl>
  </w:abstractNum>
  <w:abstractNum w:abstractNumId="20">
    <w:nsid w:val="235BA861"/>
    <w:multiLevelType w:val="hybridMultilevel"/>
    <w:lvl w:ilvl="0">
      <w:lvlJc w:val="left"/>
      <w:lvlText w:val="(%1)"/>
      <w:numFmt w:val="lowerLetter"/>
      <w:start w:val="48"/>
    </w:lvl>
  </w:abstractNum>
  <w:abstractNum w:abstractNumId="21">
    <w:nsid w:val="47398C89"/>
    <w:multiLevelType w:val="hybridMultilevel"/>
    <w:lvl w:ilvl="0">
      <w:lvlJc w:val="left"/>
      <w:lvlText w:val="(%1)"/>
      <w:numFmt w:val="lowerLetter"/>
      <w:start w:val="53"/>
    </w:lvl>
  </w:abstractNum>
  <w:abstractNum w:abstractNumId="22">
    <w:nsid w:val="354FE9F9"/>
    <w:multiLevelType w:val="hybridMultilevel"/>
    <w:lvl w:ilvl="0">
      <w:lvlJc w:val="left"/>
      <w:lvlText w:val="(%1)"/>
      <w:numFmt w:val="lowerLetter"/>
      <w:start w:val="54"/>
    </w:lvl>
  </w:abstractNum>
  <w:abstractNum w:abstractNumId="23">
    <w:nsid w:val="15B5AF5C"/>
    <w:multiLevelType w:val="hybridMultilevel"/>
    <w:lvl w:ilvl="0">
      <w:lvlJc w:val="left"/>
      <w:lvlText w:val="(%1)"/>
      <w:numFmt w:val="lowerLetter"/>
      <w:start w:val="1"/>
    </w:lvl>
  </w:abstractNum>
  <w:abstractNum w:abstractNumId="24">
    <w:nsid w:val="741226BB"/>
    <w:multiLevelType w:val="hybridMultilevel"/>
    <w:lvl w:ilvl="0">
      <w:lvlJc w:val="left"/>
      <w:lvlText w:val="(%1)"/>
      <w:numFmt w:val="lowerLetter"/>
      <w:start w:val="2"/>
    </w:lvl>
  </w:abstractNum>
  <w:abstractNum w:abstractNumId="25">
    <w:nsid w:val="D34B6A8"/>
    <w:multiLevelType w:val="hybridMultilevel"/>
    <w:lvl w:ilvl="0">
      <w:lvlJc w:val="left"/>
      <w:lvlText w:val="(%1)"/>
      <w:numFmt w:val="lowerLetter"/>
      <w:start w:val="4"/>
    </w:lvl>
  </w:abstractNum>
  <w:abstractNum w:abstractNumId="26">
    <w:nsid w:val="10233C99"/>
    <w:multiLevelType w:val="hybridMultilevel"/>
    <w:lvl w:ilvl="0">
      <w:lvlJc w:val="left"/>
      <w:lvlText w:val="%1"/>
      <w:numFmt w:val="lowerLetter"/>
      <w:start w:val="1"/>
    </w:lvl>
    <w:lvl w:ilvl="1">
      <w:lvlJc w:val="left"/>
      <w:lvlText w:val="(%2)"/>
      <w:numFmt w:val="lowerLetter"/>
      <w:start w:val="1"/>
    </w:lvl>
  </w:abstractNum>
  <w:abstractNum w:abstractNumId="27">
    <w:nsid w:val="3F6AB60F"/>
    <w:multiLevelType w:val="hybridMultilevel"/>
    <w:lvl w:ilvl="0">
      <w:lvlJc w:val="left"/>
      <w:lvlText w:val="(%1)"/>
      <w:numFmt w:val="lowerLetter"/>
      <w:start w:val="2"/>
    </w:lvl>
    <w:lvl w:ilvl="1">
      <w:lvlJc w:val="left"/>
      <w:lvlText w:val="%2"/>
      <w:numFmt w:val="lowerLetter"/>
      <w:start w:val="1"/>
    </w:lvl>
  </w:abstractNum>
  <w:abstractNum w:abstractNumId="28">
    <w:nsid w:val="61574095"/>
    <w:multiLevelType w:val="hybridMultilevel"/>
    <w:lvl w:ilvl="0">
      <w:lvlJc w:val="left"/>
      <w:lvlText w:val="(%1)"/>
      <w:numFmt w:val="lowerLetter"/>
      <w:start w:val="3"/>
    </w:lvl>
  </w:abstractNum>
  <w:abstractNum w:abstractNumId="29">
    <w:nsid w:val="7E0C57B1"/>
    <w:multiLevelType w:val="hybridMultilevel"/>
    <w:lvl w:ilvl="0">
      <w:lvlJc w:val="left"/>
      <w:lvlText w:val="(%1)"/>
      <w:numFmt w:val="lowerLetter"/>
      <w:start w:val="1"/>
    </w:lvl>
  </w:abstractNum>
  <w:abstractNum w:abstractNumId="30">
    <w:nsid w:val="77AE35EB"/>
    <w:multiLevelType w:val="hybridMultilevel"/>
    <w:lvl w:ilvl="0">
      <w:lvlJc w:val="left"/>
      <w:lvlText w:val="(%1)"/>
      <w:numFmt w:val="lowerLetter"/>
      <w:start w:val="1"/>
    </w:lvl>
  </w:abstractNum>
  <w:abstractNum w:abstractNumId="31">
    <w:nsid w:val="579BE4F1"/>
    <w:multiLevelType w:val="hybridMultilevel"/>
    <w:lvl w:ilvl="0">
      <w:lvlJc w:val="left"/>
      <w:lvlText w:val="(%1)"/>
      <w:numFmt w:val="lowerLetter"/>
      <w:start w:val="1"/>
    </w:lvl>
  </w:abstractNum>
  <w:abstractNum w:abstractNumId="32">
    <w:nsid w:val="310C50B3"/>
    <w:multiLevelType w:val="hybridMultilevel"/>
    <w:lvl w:ilvl="0">
      <w:lvlJc w:val="left"/>
      <w:lvlText w:val="(%1)"/>
      <w:numFmt w:val="lowerRoman"/>
      <w:start w:val="4"/>
    </w:lvl>
    <w:lvl w:ilvl="1">
      <w:lvlJc w:val="left"/>
      <w:lvlText w:val="(%2)"/>
      <w:numFmt w:val="lowerLetter"/>
      <w:start w:val="4"/>
    </w:lvl>
  </w:abstractNum>
  <w:abstractNum w:abstractNumId="33">
    <w:nsid w:val="5FF87E05"/>
    <w:multiLevelType w:val="hybridMultilevel"/>
    <w:lvl w:ilvl="0">
      <w:lvlJc w:val="left"/>
      <w:lvlText w:val="%1"/>
      <w:numFmt w:val="lowerLetter"/>
      <w:start w:val="1"/>
    </w:lvl>
    <w:lvl w:ilvl="1">
      <w:lvlJc w:val="left"/>
      <w:lvlText w:val="(%2)"/>
      <w:numFmt w:val="lowerLetter"/>
      <w:start w:val="6"/>
    </w:lvl>
  </w:abstractNum>
  <w:abstractNum w:abstractNumId="34">
    <w:nsid w:val="2F305DEF"/>
    <w:multiLevelType w:val="hybridMultilevel"/>
    <w:lvl w:ilvl="0">
      <w:lvlJc w:val="left"/>
      <w:lvlText w:val="(%1)"/>
      <w:numFmt w:val="lowerLetter"/>
      <w:start w:val="9"/>
    </w:lvl>
    <w:lvl w:ilvl="1">
      <w:lvlJc w:val="left"/>
      <w:lvlText w:val="%2"/>
      <w:numFmt w:val="lowerLetter"/>
      <w:start w:val="1"/>
    </w:lvl>
  </w:abstractNum>
  <w:abstractNum w:abstractNumId="35">
    <w:nsid w:val="25A70BF7"/>
    <w:multiLevelType w:val="hybridMultilevel"/>
    <w:lvl w:ilvl="0">
      <w:lvlJc w:val="left"/>
      <w:lvlText w:val="%1"/>
      <w:numFmt w:val="lowerLetter"/>
      <w:start w:val="1"/>
    </w:lvl>
    <w:lvl w:ilvl="1">
      <w:lvlJc w:val="left"/>
      <w:lvlText w:val="(%2)"/>
      <w:numFmt w:val="lowerLetter"/>
      <w:start w:val="1"/>
    </w:lvl>
  </w:abstractNum>
  <w:abstractNum w:abstractNumId="36">
    <w:nsid w:val="1DBABF00"/>
    <w:multiLevelType w:val="hybridMultilevel"/>
    <w:lvl w:ilvl="0">
      <w:lvlJc w:val="left"/>
      <w:lvlText w:val="(%1)"/>
      <w:numFmt w:val="lowerLetter"/>
      <w:start w:val="35"/>
    </w:lvl>
    <w:lvl w:ilvl="1">
      <w:lvlJc w:val="left"/>
      <w:lvlText w:val="%2"/>
      <w:numFmt w:val="lowerLetter"/>
      <w:start w:val="1"/>
    </w:lvl>
  </w:abstractNum>
  <w:abstractNum w:abstractNumId="37">
    <w:nsid w:val="4AD084E9"/>
    <w:multiLevelType w:val="hybridMultilevel"/>
    <w:lvl w:ilvl="0">
      <w:lvlJc w:val="left"/>
      <w:lvlText w:val="(%1)"/>
      <w:numFmt w:val="lowerLetter"/>
      <w:start w:val="4"/>
    </w:lvl>
  </w:abstractNum>
  <w:abstractNum w:abstractNumId="38">
    <w:nsid w:val="1F48EAA1"/>
    <w:multiLevelType w:val="hybridMultilevel"/>
    <w:lvl w:ilvl="0">
      <w:lvlJc w:val="left"/>
      <w:lvlText w:val="(%1)"/>
      <w:numFmt w:val="lowerLetter"/>
      <w:start w:val="1"/>
    </w:lvl>
    <w:lvl w:ilvl="1">
      <w:lvlJc w:val="left"/>
      <w:lvlText w:val="(%2)"/>
      <w:numFmt w:val="lowerLetter"/>
      <w:start w:val="9"/>
    </w:lvl>
  </w:abstractNum>
  <w:abstractNum w:abstractNumId="39">
    <w:nsid w:val="1381823A"/>
    <w:multiLevelType w:val="hybridMultilevel"/>
    <w:lvl w:ilvl="0">
      <w:lvlJc w:val="left"/>
      <w:lvlText w:val="(%1)"/>
      <w:numFmt w:val="lowerRoman"/>
      <w:start w:val="2"/>
    </w:lvl>
  </w:abstractNum>
  <w:abstractNum w:abstractNumId="40">
    <w:nsid w:val="5DB70AE5"/>
    <w:multiLevelType w:val="hybridMultilevel"/>
    <w:lvl w:ilvl="0">
      <w:lvlJc w:val="left"/>
      <w:lvlText w:val="(%1)"/>
      <w:numFmt w:val="lowerLetter"/>
      <w:start w:val="1"/>
    </w:lvl>
    <w:lvl w:ilvl="1">
      <w:lvlJc w:val="left"/>
      <w:lvlText w:val="(%2)"/>
      <w:numFmt w:val="lowerRoman"/>
      <w:start w:val="4"/>
    </w:lvl>
  </w:abstractNum>
  <w:abstractNum w:abstractNumId="41">
    <w:nsid w:val="100F8FCA"/>
    <w:multiLevelType w:val="hybridMultilevel"/>
    <w:lvl w:ilvl="0">
      <w:lvlJc w:val="left"/>
      <w:lvlText w:val="(%1)"/>
      <w:numFmt w:val="lowerLetter"/>
      <w:start w:val="2"/>
    </w:lvl>
  </w:abstractNum>
  <w:abstractNum w:abstractNumId="42">
    <w:nsid w:val="6590700B"/>
    <w:multiLevelType w:val="hybridMultilevel"/>
    <w:lvl w:ilvl="0">
      <w:lvlJc w:val="left"/>
      <w:lvlText w:val="(%1)"/>
      <w:numFmt w:val="lowerLetter"/>
      <w:start w:val="3"/>
    </w:lvl>
  </w:abstractNum>
  <w:abstractNum w:abstractNumId="43">
    <w:nsid w:val="15014ACB"/>
    <w:multiLevelType w:val="hybridMultilevel"/>
    <w:lvl w:ilvl="0">
      <w:lvlJc w:val="left"/>
      <w:lvlText w:val="(%1)"/>
      <w:numFmt w:val="lowerLetter"/>
      <w:start w:val="8"/>
    </w:lvl>
  </w:abstractNum>
  <w:abstractNum w:abstractNumId="44">
    <w:nsid w:val="5F5E7FD0"/>
    <w:multiLevelType w:val="hybridMultilevel"/>
    <w:lvl w:ilvl="0">
      <w:lvlJc w:val="left"/>
      <w:lvlText w:val="%1"/>
      <w:numFmt w:val="upperLetter"/>
      <w:start w:val="1"/>
    </w:lvl>
    <w:lvl w:ilvl="1">
      <w:lvlJc w:val="left"/>
      <w:lvlText w:val="(%2)"/>
      <w:numFmt w:val="lowerLetter"/>
      <w:start w:val="11"/>
    </w:lvl>
  </w:abstractNum>
  <w:abstractNum w:abstractNumId="45">
    <w:nsid w:val="98A3148"/>
    <w:multiLevelType w:val="hybridMultilevel"/>
    <w:lvl w:ilvl="0">
      <w:lvlJc w:val="left"/>
      <w:lvlText w:val="(%1)"/>
      <w:numFmt w:val="upperLetter"/>
      <w:start w:val="1"/>
    </w:lvl>
    <w:lvl w:ilvl="1">
      <w:lvlJc w:val="left"/>
      <w:lvlText w:val="%2"/>
      <w:numFmt w:val="lowerLetter"/>
      <w:start w:val="1"/>
    </w:lvl>
  </w:abstractNum>
  <w:abstractNum w:abstractNumId="46">
    <w:nsid w:val="799D0247"/>
    <w:multiLevelType w:val="hybridMultilevel"/>
    <w:lvl w:ilvl="0">
      <w:lvlJc w:val="left"/>
      <w:lvlText w:val="(%1)"/>
      <w:numFmt w:val="upperLetter"/>
      <w:start w:val="3"/>
    </w:lvl>
    <w:lvl w:ilvl="1">
      <w:lvlJc w:val="left"/>
      <w:lvlText w:val="%2"/>
      <w:numFmt w:val="lowerLetter"/>
      <w:start w:val="1"/>
    </w:lvl>
  </w:abstractNum>
  <w:abstractNum w:abstractNumId="47">
    <w:nsid w:val="6B94764"/>
    <w:multiLevelType w:val="hybridMultilevel"/>
    <w:lvl w:ilvl="0">
      <w:lvlJc w:val="left"/>
      <w:lvlText w:val="(%1)"/>
      <w:numFmt w:val="lowerLetter"/>
      <w:start w:val="14"/>
    </w:lvl>
  </w:abstractNum>
  <w:abstractNum w:abstractNumId="48">
    <w:nsid w:val="42C296BD"/>
    <w:multiLevelType w:val="hybridMultilevel"/>
    <w:lvl w:ilvl="0">
      <w:lvlJc w:val="left"/>
      <w:lvlText w:val="(%1)"/>
      <w:numFmt w:val="lowerLetter"/>
      <w:start w:val="1"/>
    </w:lvl>
  </w:abstractNum>
  <w:abstractNum w:abstractNumId="49">
    <w:nsid w:val="168E121F"/>
    <w:multiLevelType w:val="hybridMultilevel"/>
    <w:lvl w:ilvl="0">
      <w:lvlJc w:val="left"/>
      <w:lvlText w:val="(%1)"/>
      <w:numFmt w:val="lowerLetter"/>
      <w:start w:val="1"/>
    </w:lvl>
  </w:abstractNum>
  <w:abstractNum w:abstractNumId="50">
    <w:nsid w:val="1EBA5D23"/>
    <w:multiLevelType w:val="hybridMultilevel"/>
    <w:lvl w:ilvl="0">
      <w:lvlJc w:val="left"/>
      <w:lvlText w:val="%1"/>
      <w:numFmt w:val="lowerLetter"/>
      <w:start w:val="1"/>
    </w:lvl>
    <w:lvl w:ilvl="1">
      <w:lvlJc w:val="left"/>
      <w:lvlText w:val="(%2)"/>
      <w:numFmt w:val="lowerLetter"/>
      <w:start w:val="2"/>
    </w:lvl>
  </w:abstractNum>
  <w:abstractNum w:abstractNumId="51">
    <w:nsid w:val="661E3F1E"/>
    <w:multiLevelType w:val="hybridMultilevel"/>
    <w:lvl w:ilvl="0">
      <w:lvlJc w:val="left"/>
      <w:lvlText w:val="(%1)"/>
      <w:numFmt w:val="lowerLetter"/>
      <w:start w:val="35"/>
    </w:lvl>
    <w:lvl w:ilvl="1">
      <w:lvlJc w:val="left"/>
      <w:lvlText w:val="%2"/>
      <w:numFmt w:val="lowerLetter"/>
      <w:start w:val="1"/>
    </w:lvl>
  </w:abstractNum>
  <w:abstractNum w:abstractNumId="52">
    <w:nsid w:val="5DC79EA8"/>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53">
    <w:nsid w:val="540A471C"/>
    <w:multiLevelType w:val="hybridMultilevel"/>
    <w:lvl w:ilvl="0">
      <w:lvlJc w:val="left"/>
      <w:lvlText w:val="(%1)"/>
      <w:numFmt w:val="upperLetter"/>
      <w:start w:val="2"/>
    </w:lvl>
    <w:lvl w:ilvl="1">
      <w:lvlJc w:val="left"/>
      <w:lvlText w:val="(%2)"/>
      <w:numFmt w:val="lowerLetter"/>
      <w:start w:val="3"/>
    </w:lvl>
    <w:lvl w:ilvl="2">
      <w:lvlJc w:val="left"/>
      <w:lvlText w:val="(%3)"/>
      <w:numFmt w:val="lowerRoman"/>
      <w:start w:val="1"/>
    </w:lvl>
  </w:abstractNum>
  <w:abstractNum w:abstractNumId="54">
    <w:nsid w:val="7BD3EE7B"/>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55">
    <w:nsid w:val="51D9C564"/>
    <w:multiLevelType w:val="hybridMultilevel"/>
    <w:lvl w:ilvl="0">
      <w:lvlJc w:val="left"/>
      <w:lvlText w:val="(%1)"/>
      <w:numFmt w:val="upperLetter"/>
      <w:start w:val="3"/>
    </w:lvl>
    <w:lvl w:ilvl="1">
      <w:lvlJc w:val="left"/>
      <w:lvlText w:val="(%2)"/>
      <w:numFmt w:val="lowerLetter"/>
      <w:start w:val="5"/>
    </w:lvl>
    <w:lvl w:ilvl="2">
      <w:lvlJc w:val="left"/>
      <w:lvlText w:val="%3"/>
      <w:numFmt w:val="lowerLetter"/>
      <w:start w:val="1"/>
    </w:lvl>
  </w:abstractNum>
  <w:abstractNum w:abstractNumId="56">
    <w:nsid w:val="613EFDC5"/>
    <w:multiLevelType w:val="hybridMultilevel"/>
    <w:lvl w:ilvl="0">
      <w:lvlJc w:val="left"/>
      <w:lvlText w:val="(%1)"/>
      <w:numFmt w:val="lowerLetter"/>
      <w:start w:val="1"/>
    </w:lvl>
  </w:abstractNum>
  <w:abstractNum w:abstractNumId="57">
    <w:nsid w:val="BF72B14"/>
    <w:multiLevelType w:val="hybridMultilevel"/>
    <w:lvl w:ilvl="0">
      <w:lvlJc w:val="left"/>
      <w:lvlText w:val="(%1)"/>
      <w:numFmt w:val="lowerLetter"/>
      <w:start w:val="3"/>
    </w:lvl>
  </w:abstractNum>
  <w:abstractNum w:abstractNumId="58">
    <w:nsid w:val="11447B73"/>
    <w:multiLevelType w:val="hybridMultilevel"/>
    <w:lvl w:ilvl="0">
      <w:lvlJc w:val="left"/>
      <w:lvlText w:val="(%1)"/>
      <w:numFmt w:val="lowerLetter"/>
      <w:start w:val="1"/>
    </w:lvl>
  </w:abstractNum>
  <w:abstractNum w:abstractNumId="59">
    <w:nsid w:val="42963E5A"/>
    <w:multiLevelType w:val="hybridMultilevel"/>
    <w:lvl w:ilvl="0">
      <w:lvlJc w:val="left"/>
      <w:lvlText w:val="(%1)"/>
      <w:numFmt w:val="lowerLetter"/>
      <w:start w:val="1"/>
    </w:lvl>
  </w:abstractNum>
  <w:abstractNum w:abstractNumId="60">
    <w:nsid w:val="A0382C5"/>
    <w:multiLevelType w:val="hybridMultilevel"/>
    <w:lvl w:ilvl="0">
      <w:lvlJc w:val="left"/>
      <w:lvlText w:val="(%1)"/>
      <w:numFmt w:val="lowerLetter"/>
      <w:start w:val="1"/>
    </w:lvl>
  </w:abstractNum>
  <w:abstractNum w:abstractNumId="61">
    <w:nsid w:val="8F2B15E"/>
    <w:multiLevelType w:val="hybridMultilevel"/>
    <w:lvl w:ilvl="0">
      <w:lvlJc w:val="left"/>
      <w:lvlText w:val="(%1)"/>
      <w:numFmt w:val="lowerLetter"/>
      <w:start w:val="1"/>
    </w:lvl>
  </w:abstractNum>
  <w:abstractNum w:abstractNumId="62">
    <w:nsid w:val="1A32234B"/>
    <w:multiLevelType w:val="hybridMultilevel"/>
    <w:lvl w:ilvl="0">
      <w:lvlJc w:val="left"/>
      <w:lvlText w:val="(%1)"/>
      <w:numFmt w:val="lowerLetter"/>
      <w:start w:val="5"/>
    </w:lvl>
  </w:abstractNum>
  <w:abstractNum w:abstractNumId="63">
    <w:nsid w:val="3B0FD379"/>
    <w:multiLevelType w:val="hybridMultilevel"/>
    <w:lvl w:ilvl="0">
      <w:lvlJc w:val="left"/>
      <w:lvlText w:val="%1"/>
      <w:numFmt w:val="decimal"/>
      <w:start w:val="1"/>
    </w:lvl>
    <w:lvl w:ilvl="1">
      <w:lvlJc w:val="left"/>
      <w:lvlText w:val="(%2)"/>
      <w:numFmt w:val="lowerLetter"/>
      <w:start w:val="7"/>
    </w:lvl>
  </w:abstractNum>
  <w:abstractNum w:abstractNumId="64">
    <w:nsid w:val="68EB2F63"/>
    <w:multiLevelType w:val="hybridMultilevel"/>
    <w:lvl w:ilvl="0">
      <w:lvlJc w:val="left"/>
      <w:lvlText w:val="(%1)"/>
      <w:numFmt w:val="decimal"/>
      <w:start w:val="1"/>
    </w:lvl>
    <w:lvl w:ilvl="1">
      <w:lvlJc w:val="left"/>
      <w:lvlText w:val="%2"/>
      <w:numFmt w:val="lowerLetter"/>
      <w:start w:val="1"/>
    </w:lvl>
  </w:abstractNum>
  <w:abstractNum w:abstractNumId="65">
    <w:nsid w:val="4962813B"/>
    <w:multiLevelType w:val="hybridMultilevel"/>
    <w:lvl w:ilvl="0">
      <w:lvlJc w:val="left"/>
      <w:lvlText w:val="(%1)"/>
      <w:numFmt w:val="lowerLetter"/>
      <w:start w:val="12"/>
    </w:lvl>
  </w:abstractNum>
  <w:abstractNum w:abstractNumId="66">
    <w:nsid w:val="60B6DF70"/>
    <w:multiLevelType w:val="hybridMultilevel"/>
    <w:lvl w:ilvl="0">
      <w:lvlJc w:val="left"/>
      <w:lvlText w:val="(%1)"/>
      <w:numFmt w:val="lowerLetter"/>
      <w:start w:val="1"/>
    </w:lvl>
  </w:abstractNum>
  <w:abstractNum w:abstractNumId="67">
    <w:nsid w:val="6A5EE64"/>
    <w:multiLevelType w:val="hybridMultilevel"/>
    <w:lvl w:ilvl="0">
      <w:lvlJc w:val="left"/>
      <w:lvlText w:val="(%1)"/>
      <w:numFmt w:val="lowerLetter"/>
      <w:start w:val="3"/>
    </w:lvl>
  </w:abstractNum>
  <w:abstractNum w:abstractNumId="68">
    <w:nsid w:val="14330624"/>
    <w:multiLevelType w:val="hybridMultilevel"/>
    <w:lvl w:ilvl="0">
      <w:lvlJc w:val="left"/>
      <w:lvlText w:val="(%1)"/>
      <w:numFmt w:val="lowerLetter"/>
      <w:start w:val="1"/>
    </w:lvl>
    <w:lvl w:ilvl="1">
      <w:lvlJc w:val="left"/>
      <w:lvlText w:val="(%2)"/>
      <w:numFmt w:val="lowerLetter"/>
      <w:start w:val="9"/>
    </w:lvl>
  </w:abstractNum>
  <w:abstractNum w:abstractNumId="69">
    <w:nsid w:val="7FFFCA11"/>
    <w:multiLevelType w:val="hybridMultilevel"/>
    <w:lvl w:ilvl="0">
      <w:lvlJc w:val="left"/>
      <w:lvlText w:val="%1"/>
      <w:numFmt w:val="lowerLetter"/>
      <w:start w:val="1"/>
    </w:lvl>
    <w:lvl w:ilvl="1">
      <w:lvlJc w:val="left"/>
      <w:lvlText w:val="(%2)"/>
      <w:numFmt w:val="lowerLetter"/>
      <w:start w:val="35"/>
    </w:lvl>
  </w:abstractNum>
  <w:abstractNum w:abstractNumId="70">
    <w:nsid w:val="1A27709E"/>
    <w:multiLevelType w:val="hybridMultilevel"/>
    <w:lvl w:ilvl="0">
      <w:lvlJc w:val="left"/>
      <w:lvlText w:val="(%1)"/>
      <w:numFmt w:val="lowerLetter"/>
      <w:start w:val="3"/>
    </w:lvl>
    <w:lvl w:ilvl="1">
      <w:lvlJc w:val="left"/>
      <w:lvlText w:val="%2"/>
      <w:numFmt w:val="lowerLetter"/>
      <w:start w:val="1"/>
    </w:lvl>
  </w:abstractNum>
  <w:abstractNum w:abstractNumId="71">
    <w:nsid w:val="71EA1109"/>
    <w:multiLevelType w:val="hybridMultilevel"/>
    <w:lvl w:ilvl="0">
      <w:lvlJc w:val="left"/>
      <w:lvlText w:val="(%1)"/>
      <w:numFmt w:val="lowerLetter"/>
      <w:start w:val="35"/>
    </w:lvl>
    <w:lvl w:ilvl="1">
      <w:lvlJc w:val="left"/>
      <w:lvlText w:val="(%2)"/>
      <w:numFmt w:val="lowerLetter"/>
      <w:start w:val="4"/>
    </w:lvl>
  </w:abstractNum>
  <w:abstractNum w:abstractNumId="72">
    <w:nsid w:val="100F59DC"/>
    <w:multiLevelType w:val="hybridMultilevel"/>
    <w:lvl w:ilvl="0">
      <w:lvlJc w:val="left"/>
      <w:lvlText w:val="(%1)"/>
      <w:numFmt w:val="lowerLetter"/>
      <w:start w:val="1"/>
    </w:lvl>
  </w:abstractNum>
  <w:abstractNum w:abstractNumId="73">
    <w:nsid w:val="7FB7E0AA"/>
    <w:multiLevelType w:val="hybridMultilevel"/>
    <w:lvl w:ilvl="0">
      <w:lvlJc w:val="left"/>
      <w:lvlText w:val="(%1)"/>
      <w:numFmt w:val="lowerLetter"/>
      <w:start w:val="2"/>
    </w:lvl>
  </w:abstractNum>
  <w:abstractNum w:abstractNumId="74">
    <w:nsid w:val="6EB5BD4"/>
    <w:multiLevelType w:val="hybridMultilevel"/>
    <w:lvl w:ilvl="0">
      <w:lvlJc w:val="left"/>
      <w:lvlText w:val="(%1)"/>
      <w:numFmt w:val="lowerLetter"/>
      <w:start w:val="1"/>
    </w:lvl>
  </w:abstractNum>
  <w:abstractNum w:abstractNumId="75">
    <w:nsid w:val="6F6DD9AC"/>
    <w:multiLevelType w:val="hybridMultilevel"/>
    <w:lvl w:ilvl="0">
      <w:lvlJc w:val="left"/>
      <w:lvlText w:val="(%1)"/>
      <w:numFmt w:val="lowerLetter"/>
      <w:start w:val="2"/>
    </w:lvl>
  </w:abstractNum>
  <w:abstractNum w:abstractNumId="76">
    <w:nsid w:val="94211F2"/>
    <w:multiLevelType w:val="hybridMultilevel"/>
    <w:lvl w:ilvl="0">
      <w:lvlJc w:val="left"/>
      <w:lvlText w:val="(%1)"/>
      <w:numFmt w:val="lowerRoman"/>
      <w:start w:val="2"/>
    </w:lvl>
  </w:abstractNum>
  <w:abstractNum w:abstractNumId="77">
    <w:nsid w:val="885E1B"/>
    <w:multiLevelType w:val="hybridMultilevel"/>
    <w:lvl w:ilvl="0">
      <w:lvlJc w:val="left"/>
      <w:lvlText w:val="(%1)"/>
      <w:numFmt w:val="lowerLetter"/>
      <w:start w:val="1"/>
    </w:lvl>
    <w:lvl w:ilvl="1">
      <w:lvlJc w:val="left"/>
      <w:lvlText w:val="(%2)"/>
      <w:numFmt w:val="lowerRoman"/>
      <w:start w:val="1"/>
    </w:lvl>
  </w:abstractNum>
  <w:abstractNum w:abstractNumId="78">
    <w:nsid w:val="76272110"/>
    <w:multiLevelType w:val="hybridMultilevel"/>
    <w:lvl w:ilvl="0">
      <w:lvlJc w:val="left"/>
      <w:lvlText w:val="(%1)"/>
      <w:numFmt w:val="lowerLetter"/>
      <w:start w:val="1"/>
    </w:lvl>
    <w:lvl w:ilvl="1">
      <w:lvlJc w:val="left"/>
      <w:lvlText w:val="(%2)"/>
      <w:numFmt w:val="lowerRoman"/>
      <w:start w:val="1"/>
    </w:lvl>
  </w:abstractNum>
  <w:abstractNum w:abstractNumId="79">
    <w:nsid w:val="4C04A8AF"/>
    <w:multiLevelType w:val="hybridMultilevel"/>
    <w:lvl w:ilvl="0">
      <w:lvlJc w:val="left"/>
      <w:lvlText w:val="(%1)"/>
      <w:numFmt w:val="lowerLetter"/>
      <w:start w:val="1"/>
    </w:lvl>
  </w:abstractNum>
  <w:abstractNum w:abstractNumId="80">
    <w:nsid w:val="1716703B"/>
    <w:multiLevelType w:val="hybridMultilevel"/>
    <w:lvl w:ilvl="0">
      <w:lvlJc w:val="left"/>
      <w:lvlText w:val="%1"/>
      <w:numFmt w:val="lowerLetter"/>
      <w:start w:val="1"/>
    </w:lvl>
    <w:lvl w:ilvl="1">
      <w:lvlJc w:val="left"/>
      <w:lvlText w:val="(%2)"/>
      <w:numFmt w:val="lowerLetter"/>
      <w:start w:val="1"/>
    </w:lvl>
  </w:abstractNum>
  <w:abstractNum w:abstractNumId="81">
    <w:nsid w:val="14E17E33"/>
    <w:multiLevelType w:val="hybridMultilevel"/>
    <w:lvl w:ilvl="0">
      <w:lvlJc w:val="left"/>
      <w:lvlText w:val="(%1)"/>
      <w:numFmt w:val="lowerLetter"/>
      <w:start w:val="61"/>
    </w:lvl>
    <w:lvl w:ilvl="1">
      <w:lvlJc w:val="left"/>
      <w:lvlText w:val="(%2)"/>
      <w:numFmt w:val="lowerLetter"/>
      <w:start w:val="2"/>
    </w:lvl>
  </w:abstractNum>
  <w:abstractNum w:abstractNumId="82">
    <w:nsid w:val="3222E7CD"/>
    <w:multiLevelType w:val="hybridMultilevel"/>
    <w:lvl w:ilvl="0">
      <w:lvlJc w:val="left"/>
      <w:lvlText w:val="(%1)"/>
      <w:numFmt w:val="lowerRoman"/>
      <w:start w:val="2"/>
    </w:lvl>
  </w:abstractNum>
  <w:abstractNum w:abstractNumId="83">
    <w:nsid w:val="74DE0EE3"/>
    <w:multiLevelType w:val="hybridMultilevel"/>
    <w:lvl w:ilvl="0">
      <w:lvlJc w:val="left"/>
      <w:lvlText w:val="(%1)"/>
      <w:numFmt w:val="lowerRoman"/>
      <w:start w:val="3"/>
    </w:lvl>
  </w:abstractNum>
  <w:abstractNum w:abstractNumId="84">
    <w:nsid w:val="68EBC550"/>
    <w:multiLevelType w:val="hybridMultilevel"/>
    <w:lvl w:ilvl="0">
      <w:lvlJc w:val="left"/>
      <w:lvlText w:val="(%1)"/>
      <w:numFmt w:val="lowerRoman"/>
      <w:start w:val="5"/>
    </w:lvl>
  </w:abstractNum>
  <w:abstractNum w:abstractNumId="85">
    <w:nsid w:val="2DF6D648"/>
    <w:multiLevelType w:val="hybridMultilevel"/>
    <w:lvl w:ilvl="0">
      <w:lvlJc w:val="left"/>
      <w:lvlText w:val="(%1)"/>
      <w:numFmt w:val="lowerLetter"/>
      <w:start w:val="1"/>
    </w:lvl>
    <w:lvl w:ilvl="1">
      <w:lvlJc w:val="left"/>
      <w:lvlText w:val="(%2)"/>
      <w:numFmt w:val="lowerRoman"/>
      <w:start w:val="1"/>
    </w:lvl>
  </w:abstractNum>
  <w:abstractNum w:abstractNumId="86">
    <w:nsid w:val="46B7D447"/>
    <w:multiLevelType w:val="hybridMultilevel"/>
    <w:lvl w:ilvl="0">
      <w:lvlJc w:val="left"/>
      <w:lvlText w:val="(%1)"/>
      <w:numFmt w:val="lowerLetter"/>
      <w:start w:val="3"/>
    </w:lvl>
  </w:abstractNum>
  <w:abstractNum w:abstractNumId="87">
    <w:nsid w:val="4A2AC315"/>
    <w:multiLevelType w:val="hybridMultilevel"/>
    <w:lvl w:ilvl="0">
      <w:lvlJc w:val="left"/>
      <w:lvlText w:val="(%1)"/>
      <w:numFmt w:val="lowerLetter"/>
      <w:start w:val="1"/>
    </w:lvl>
  </w:abstractNum>
  <w:abstractNum w:abstractNumId="88">
    <w:nsid w:val="39EE015C"/>
    <w:multiLevelType w:val="hybridMultilevel"/>
    <w:lvl w:ilvl="0">
      <w:lvlJc w:val="left"/>
      <w:lvlText w:val="(%1)"/>
      <w:numFmt w:val="lowerLetter"/>
      <w:start w:val="3"/>
    </w:lvl>
  </w:abstractNum>
  <w:abstractNum w:abstractNumId="89">
    <w:nsid w:val="57FC4FBB"/>
    <w:multiLevelType w:val="hybridMultilevel"/>
    <w:lvl w:ilvl="0">
      <w:lvlJc w:val="left"/>
      <w:lvlText w:val="1"/>
      <w:numFmt w:val="bullet"/>
      <w:start w:val="1"/>
    </w:lvl>
  </w:abstractNum>
  <w:abstractNum w:abstractNumId="90">
    <w:nsid w:val="CC1016F"/>
    <w:multiLevelType w:val="hybridMultilevel"/>
    <w:lvl w:ilvl="0">
      <w:lvlJc w:val="left"/>
      <w:lvlText w:val="(%1)"/>
      <w:numFmt w:val="decimal"/>
      <w:start w:val="1"/>
    </w:lvl>
    <w:lvl w:ilvl="1">
      <w:lvlJc w:val="left"/>
      <w:lvlText w:val="☐"/>
      <w:numFmt w:val="bullet"/>
      <w:start w:val="1"/>
    </w:lvl>
  </w:abstractNum>
  <w:abstractNum w:abstractNumId="91">
    <w:nsid w:val="43F18422"/>
    <w:multiLevelType w:val="hybridMultilevel"/>
    <w:lvl w:ilvl="0">
      <w:lvlJc w:val="left"/>
      <w:lvlText w:val="(%1)"/>
      <w:numFmt w:val="decimal"/>
      <w:start w:val="2"/>
    </w:lvl>
    <w:lvl w:ilvl="1">
      <w:lvlJc w:val="left"/>
      <w:lvlText w:val="☐"/>
      <w:numFmt w:val="bullet"/>
      <w:start w:val="1"/>
    </w:lvl>
  </w:abstractNum>
  <w:abstractNum w:abstractNumId="92">
    <w:nsid w:val="60EF0119"/>
    <w:multiLevelType w:val="hybridMultilevel"/>
    <w:lvl w:ilvl="0">
      <w:lvlJc w:val="left"/>
      <w:lvlText w:val="(%1)"/>
      <w:numFmt w:val="decimal"/>
      <w:start w:val="1"/>
    </w:lvl>
    <w:lvl w:ilvl="1">
      <w:lvlJc w:val="left"/>
      <w:lvlText w:val="☐"/>
      <w:numFmt w:val="bullet"/>
      <w:start w:val="1"/>
    </w:lvl>
  </w:abstractNum>
  <w:abstractNum w:abstractNumId="93">
    <w:nsid w:val="26F324BA"/>
    <w:multiLevelType w:val="hybridMultilevel"/>
    <w:lvl w:ilvl="0">
      <w:lvlJc w:val="left"/>
      <w:lvlText w:val="(%1)"/>
      <w:numFmt w:val="decimal"/>
      <w:start w:val="2"/>
    </w:lvl>
    <w:lvl w:ilvl="1">
      <w:lvlJc w:val="left"/>
      <w:lvlText w:val="☐"/>
      <w:numFmt w:val="bullet"/>
      <w:start w:val="1"/>
    </w:lvl>
  </w:abstractNum>
  <w:abstractNum w:abstractNumId="94">
    <w:nsid w:val="7F01579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2019-12-07T15:24:55Z</dcterms:created>
  <dcterms:modified xsi:type="dcterms:W3CDTF">2019-12-07T15:24:55Z</dcterms:modified>
</cp:coreProperties>
</file>