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67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6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Smith William Maxwell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FLUIDIGM CORPORATION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7000 SHORELINE COURT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FLDM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05/18/2011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VP, Legal Affairs &amp; GC</w:t>
      </w:r>
    </w:p>
    <w:p>
      <w:pPr>
        <w:spacing w:after="0" w:line="57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14.6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05/18/2011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05/17/2021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40,000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09"/>
        </w:trPr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The option is exercisable at the rate of 1/48th of the shares on June 18, 2011 and 1/48th of the shares on each monthly anniversary thereafter, such that the option will be fully exercisable on May 18, 2015.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Vikram Jog, attorney-in-fact 05/20/2011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9564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64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35931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2019-12-17T15:28:32Z</dcterms:created>
  <dcterms:modified xsi:type="dcterms:W3CDTF">2019-12-17T15:28:32Z</dcterms:modified>
</cp:coreProperties>
</file>