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73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736590"/>
                    </a:xfrm>
                    <a:prstGeom prst="rect">
                      <a:avLst/>
                    </a:prstGeom>
                    <a:noFill/>
                  </pic:spPr>
                </pic:pic>
              </a:graphicData>
            </a:graphic>
          </wp:anchor>
        </w:drawing>
      </w:r>
    </w:p>
    <w:p>
      <w:pPr>
        <w:sectPr>
          <w:pgSz w:w="11900" w:h="16838" w:orient="portrait"/>
          <w:cols w:equalWidth="0" w:num="1">
            <w:col w:w="11420"/>
          </w:cols>
          <w:pgMar w:left="240" w:top="226" w:right="239" w:bottom="26"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vMerge w:val="restart"/>
          </w:tcPr>
          <w:p>
            <w:pPr>
              <w:spacing w:after="0"/>
              <w:rPr>
                <w:rFonts w:ascii="Arial" w:cs="Arial" w:eastAsia="Arial" w:hAnsi="Arial"/>
                <w:sz w:val="22"/>
                <w:szCs w:val="22"/>
                <w:color w:val="0000EE"/>
                <w:w w:val="96"/>
              </w:rPr>
            </w:pPr>
            <w:hyperlink r:id="rId11">
              <w:r>
                <w:rPr>
                  <w:rFonts w:ascii="Arial" w:cs="Arial" w:eastAsia="Arial" w:hAnsi="Arial"/>
                  <w:sz w:val="22"/>
                  <w:szCs w:val="22"/>
                  <w:color w:val="0000EE"/>
                  <w:w w:val="96"/>
                </w:rPr>
                <w:t>Whitaker Raymond J</w:t>
              </w:r>
            </w:hyperlink>
          </w:p>
        </w:tc>
        <w:tc>
          <w:tcPr>
            <w:tcW w:w="12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w w:val="97"/>
              </w:rPr>
              <w:t>45 ROCKEFELLER PLAZA, SUITE 1410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gridSpan w:val="3"/>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 YORK</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220" w:type="dxa"/>
            <w:vAlign w:val="bottom"/>
          </w:tcPr>
          <w:p>
            <w:pPr>
              <w:ind w:left="180"/>
              <w:spacing w:after="0"/>
              <w:rPr>
                <w:sz w:val="20"/>
                <w:szCs w:val="20"/>
                <w:color w:val="auto"/>
              </w:rPr>
            </w:pPr>
            <w:r>
              <w:rPr>
                <w:rFonts w:ascii="Arial" w:cs="Arial" w:eastAsia="Arial" w:hAnsi="Arial"/>
                <w:sz w:val="18"/>
                <w:szCs w:val="18"/>
                <w:color w:val="0000FF"/>
              </w:rPr>
              <w:t>10111</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220" w:type="dxa"/>
            <w:vAlign w:val="bottom"/>
          </w:tcPr>
          <w:p>
            <w:pPr>
              <w:ind w:left="18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0"/>
        </w:trPr>
        <w:tc>
          <w:tcPr>
            <w:tcW w:w="1840" w:type="dxa"/>
            <w:vAlign w:val="bottom"/>
          </w:tcPr>
          <w:p>
            <w:pPr>
              <w:ind w:left="20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54"/>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08"/>
        </w:trPr>
        <w:tc>
          <w:tcPr>
            <w:tcW w:w="1840" w:type="dxa"/>
            <w:vAlign w:val="bottom"/>
            <w:vMerge w:val="restart"/>
          </w:tcPr>
          <w:p>
            <w:pPr>
              <w:ind w:left="540"/>
              <w:spacing w:after="0" w:line="141" w:lineRule="exact"/>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line="141"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8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560"/>
        <w:spacing w:after="0" w:line="188"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9"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496" w:lineRule="exact"/>
        <w:rPr>
          <w:sz w:val="24"/>
          <w:szCs w:val="24"/>
          <w:color w:val="auto"/>
        </w:rPr>
      </w:pPr>
    </w:p>
    <w:p>
      <w:pPr>
        <w:sectPr>
          <w:pgSz w:w="11900" w:h="16838" w:orient="portrait"/>
          <w:cols w:equalWidth="0" w:num="2">
            <w:col w:w="4720" w:space="480"/>
            <w:col w:w="6220"/>
          </w:cols>
          <w:pgMar w:left="240" w:top="226" w:right="239" w:bottom="26"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0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9"/>
              </w:rPr>
              <w:t>Series E Preferred Warrant (Right to Buy)</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line="324" w:lineRule="exact"/>
              <w:rPr>
                <w:sz w:val="20"/>
                <w:szCs w:val="20"/>
                <w:color w:val="auto"/>
              </w:rPr>
            </w:pPr>
            <w:r>
              <w:rPr>
                <w:rFonts w:ascii="Arial" w:cs="Arial" w:eastAsia="Arial" w:hAnsi="Arial"/>
                <w:sz w:val="35"/>
                <w:szCs w:val="35"/>
                <w:color w:val="0000FF"/>
                <w:w w:val="75"/>
                <w:vertAlign w:val="subscript"/>
              </w:rPr>
              <w:t>11,924</w:t>
            </w:r>
            <w:r>
              <w:rPr>
                <w:rFonts w:ascii="Arial" w:cs="Arial" w:eastAsia="Arial" w:hAnsi="Arial"/>
                <w:sz w:val="11"/>
                <w:szCs w:val="11"/>
                <w:color w:val="008000"/>
                <w:w w:val="75"/>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(6)</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1"/>
              </w:rPr>
              <w:t>47,400</w:t>
            </w:r>
            <w:r>
              <w:rPr>
                <w:rFonts w:ascii="Arial" w:cs="Arial" w:eastAsia="Arial" w:hAnsi="Arial"/>
                <w:sz w:val="22"/>
                <w:szCs w:val="22"/>
                <w:color w:val="008000"/>
                <w:w w:val="81"/>
                <w:vertAlign w:val="superscript"/>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4"/>
              </w:rPr>
              <w:t>320,063</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4"/>
              </w:rPr>
              <w:t>66,991</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9"/>
              </w:rPr>
              <w:t>Series E Preferred Warrant (Right to Buy)</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1"/>
              </w:rPr>
              <w:t>11,924</w:t>
            </w:r>
            <w:r>
              <w:rPr>
                <w:rFonts w:ascii="Arial" w:cs="Arial" w:eastAsia="Arial" w:hAnsi="Arial"/>
                <w:sz w:val="22"/>
                <w:szCs w:val="22"/>
                <w:color w:val="008000"/>
                <w:w w:val="81"/>
                <w:vertAlign w:val="superscript"/>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(6)</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1"/>
              </w:rPr>
              <w:t>47,400</w:t>
            </w:r>
            <w:r>
              <w:rPr>
                <w:rFonts w:ascii="Arial" w:cs="Arial" w:eastAsia="Arial" w:hAnsi="Arial"/>
                <w:sz w:val="22"/>
                <w:szCs w:val="22"/>
                <w:color w:val="008000"/>
                <w:w w:val="81"/>
                <w:vertAlign w:val="superscript"/>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4"/>
              </w:rPr>
              <w:t>320,063</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1"/>
                <w:szCs w:val="11"/>
                <w:color w:val="008000"/>
              </w:rPr>
              <w:t>(7)</w:t>
            </w:r>
          </w:p>
        </w:tc>
        <w:tc>
          <w:tcPr>
            <w:tcW w:w="1820" w:type="dxa"/>
            <w:vAlign w:val="bottom"/>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Pr>
          <w:p>
            <w:pPr>
              <w:jc w:val="center"/>
              <w:ind w:left="99"/>
              <w:spacing w:after="0"/>
              <w:rPr>
                <w:sz w:val="20"/>
                <w:szCs w:val="20"/>
                <w:color w:val="auto"/>
              </w:rPr>
            </w:pPr>
            <w:r>
              <w:rPr>
                <w:rFonts w:ascii="Arial" w:cs="Arial" w:eastAsia="Arial" w:hAnsi="Arial"/>
                <w:sz w:val="18"/>
                <w:szCs w:val="18"/>
                <w:color w:val="0000FF"/>
                <w:w w:val="84"/>
              </w:rPr>
              <w:t>66,991</w:t>
            </w:r>
            <w:r>
              <w:rPr>
                <w:rFonts w:ascii="Arial" w:cs="Arial" w:eastAsia="Arial" w:hAnsi="Arial"/>
                <w:sz w:val="22"/>
                <w:szCs w:val="22"/>
                <w:color w:val="008000"/>
                <w:w w:val="84"/>
                <w:vertAlign w:val="superscript"/>
              </w:rPr>
              <w:t>(3)</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0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820" w:type="dxa"/>
            <w:vAlign w:val="bottom"/>
            <w:tcBorders>
              <w:top w:val="single" w:sz="8" w:color="2C2C2C"/>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bottom w:val="single" w:sz="8" w:color="2C2C2C"/>
            </w:tcBorders>
          </w:tcPr>
          <w:p>
            <w:pPr>
              <w:jc w:val="center"/>
              <w:ind w:left="99"/>
              <w:spacing w:after="0"/>
              <w:rPr>
                <w:sz w:val="20"/>
                <w:szCs w:val="20"/>
                <w:color w:val="auto"/>
              </w:rPr>
            </w:pPr>
            <w:r>
              <w:rPr>
                <w:rFonts w:ascii="Arial" w:cs="Arial" w:eastAsia="Arial" w:hAnsi="Arial"/>
                <w:sz w:val="18"/>
                <w:szCs w:val="18"/>
                <w:color w:val="0000FF"/>
                <w:w w:val="85"/>
              </w:rPr>
              <w:t>8,670</w:t>
            </w:r>
            <w:r>
              <w:rPr>
                <w:rFonts w:ascii="Arial" w:cs="Arial" w:eastAsia="Arial" w:hAnsi="Arial"/>
                <w:sz w:val="22"/>
                <w:szCs w:val="22"/>
                <w:color w:val="008000"/>
                <w:w w:val="85"/>
                <w:vertAlign w:val="superscript"/>
              </w:rPr>
              <w:t>(3)</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8.38</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5"/>
              </w:rPr>
              <w:t>8,670</w:t>
            </w:r>
            <w:r>
              <w:rPr>
                <w:rFonts w:ascii="Arial" w:cs="Arial" w:eastAsia="Arial" w:hAnsi="Arial"/>
                <w:sz w:val="22"/>
                <w:szCs w:val="22"/>
                <w:color w:val="008000"/>
                <w:w w:val="85"/>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E Preferred Stock into 1.3 shares of Common Stock to occur upon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immediately prior to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EuclidSR Partners, L.P., is the record holder of the securities reported on Lines 1, 2, 3 and 4 of Table 2.</w:t>
      </w:r>
    </w:p>
    <w:p>
      <w:pPr>
        <w:spacing w:after="0" w:line="41" w:lineRule="exact"/>
        <w:rPr>
          <w:rFonts w:ascii="Arial" w:cs="Arial" w:eastAsia="Arial" w:hAnsi="Arial"/>
          <w:sz w:val="14"/>
          <w:szCs w:val="14"/>
          <w:color w:val="008000"/>
        </w:rPr>
      </w:pPr>
    </w:p>
    <w:p>
      <w:pPr>
        <w:ind w:left="40" w:right="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Mr. Whitaker, the reporting person who is a member of the Board of Directors of the Issuer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has no expiration date.</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C Preferred Stock and Series D Preferred Stock into one share of Common Stock to occur upon the closing of the Issuer's initial public offering. Each share has no expiration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EuclidSR Biotechnology Partners, L.P., is the record holder of the securities reported on Lines 5, 6, 7 and 8 of Table 2.</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shares subject to such Option shall vest on each monthly anniversary of January 28, 2011 (the "Vesting Commencement Date"), such that the Option will be fully vested on the first annual anniversary of the Vesting Commencement Date. The Option shall expire on January 6, 2021.</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fully vested on January 28, 2011. The Option shall expire on January 28,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26"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182" w:lineRule="exact"/>
        <w:rPr>
          <w:sz w:val="20"/>
          <w:szCs w:val="20"/>
          <w:color w:val="auto"/>
        </w:rPr>
      </w:pPr>
    </w:p>
    <w:p>
      <w:pPr>
        <w:ind w:left="1060" w:right="1999" w:hanging="525"/>
        <w:spacing w:after="0" w:line="271"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February, 2011.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Raymond J. Whitaker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20"/>
        <w:spacing w:after="0"/>
        <w:rPr>
          <w:sz w:val="20"/>
          <w:szCs w:val="20"/>
          <w:color w:val="auto"/>
        </w:rPr>
      </w:pPr>
      <w:r>
        <w:rPr>
          <w:rFonts w:ascii="Courier New" w:cs="Courier New" w:eastAsia="Courier New" w:hAnsi="Courier New"/>
          <w:sz w:val="18"/>
          <w:szCs w:val="18"/>
          <w:color w:val="auto"/>
        </w:rPr>
        <w:t>Raymond J. Whitaker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92970"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2019-12-17T14:21:27Z</dcterms:created>
  <dcterms:modified xsi:type="dcterms:W3CDTF">2019-12-17T14:21:27Z</dcterms:modified>
</cp:coreProperties>
</file>