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08/07/2024</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08/07/2024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60" w:type="dxa"/>
            <w:vAlign w:val="bottom"/>
            <w:vMerge w:val="restart"/>
          </w:tcPr>
          <w:p>
            <w:pPr>
              <w:jc w:val="right"/>
              <w:ind w:right="111"/>
              <w:spacing w:after="0"/>
              <w:rPr>
                <w:sz w:val="20"/>
                <w:szCs w:val="20"/>
                <w:color w:val="auto"/>
              </w:rPr>
            </w:pPr>
            <w:r>
              <w:rPr>
                <w:rFonts w:ascii="Times New Roman" w:cs="Times New Roman" w:eastAsia="Times New Roman" w:hAnsi="Times New Roman"/>
                <w:sz w:val="17"/>
                <w:szCs w:val="17"/>
                <w:color w:val="0000FF"/>
              </w:rPr>
              <w:t>500,000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1.5724</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48,430,821</w:t>
            </w:r>
          </w:p>
        </w:tc>
        <w:tc>
          <w:tcPr>
            <w:tcW w:w="260" w:type="dxa"/>
            <w:vAlign w:val="bottom"/>
          </w:tcPr>
          <w:p>
            <w:pPr>
              <w:spacing w:after="0"/>
              <w:rPr>
                <w:sz w:val="21"/>
                <w:szCs w:val="21"/>
                <w:color w:val="auto"/>
              </w:rPr>
            </w:pPr>
          </w:p>
        </w:tc>
        <w:tc>
          <w:tcPr>
            <w:tcW w:w="660" w:type="dxa"/>
            <w:vAlign w:val="bottom"/>
            <w:vMerge w:val="restart"/>
          </w:tcPr>
          <w:p>
            <w:pPr>
              <w:jc w:val="center"/>
              <w:ind w:right="302"/>
              <w:spacing w:after="0"/>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(2)</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08/08/2024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60" w:type="dxa"/>
            <w:vAlign w:val="bottom"/>
            <w:vMerge w:val="restart"/>
          </w:tcPr>
          <w:p>
            <w:pPr>
              <w:jc w:val="right"/>
              <w:ind w:right="111"/>
              <w:spacing w:after="0"/>
              <w:rPr>
                <w:sz w:val="20"/>
                <w:szCs w:val="20"/>
                <w:color w:val="auto"/>
              </w:rPr>
            </w:pPr>
            <w:r>
              <w:rPr>
                <w:rFonts w:ascii="Times New Roman" w:cs="Times New Roman" w:eastAsia="Times New Roman" w:hAnsi="Times New Roman"/>
                <w:sz w:val="17"/>
                <w:szCs w:val="17"/>
                <w:color w:val="0000FF"/>
              </w:rPr>
              <w:t>569,562</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1.6374</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49,000,413</w:t>
            </w:r>
          </w:p>
        </w:tc>
        <w:tc>
          <w:tcPr>
            <w:tcW w:w="260" w:type="dxa"/>
            <w:vAlign w:val="bottom"/>
          </w:tcPr>
          <w:p>
            <w:pPr>
              <w:spacing w:after="0"/>
              <w:rPr>
                <w:sz w:val="21"/>
                <w:szCs w:val="21"/>
                <w:color w:val="auto"/>
              </w:rPr>
            </w:pPr>
          </w:p>
        </w:tc>
        <w:tc>
          <w:tcPr>
            <w:tcW w:w="660" w:type="dxa"/>
            <w:vAlign w:val="bottom"/>
            <w:vMerge w:val="restart"/>
          </w:tcPr>
          <w:p>
            <w:pPr>
              <w:jc w:val="center"/>
              <w:ind w:right="302"/>
              <w:spacing w:after="0"/>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(2)</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545,000</w:t>
            </w:r>
          </w:p>
        </w:tc>
        <w:tc>
          <w:tcPr>
            <w:tcW w:w="260" w:type="dxa"/>
            <w:vAlign w:val="bottom"/>
          </w:tcPr>
          <w:p>
            <w:pPr>
              <w:spacing w:after="0"/>
              <w:rPr>
                <w:sz w:val="21"/>
                <w:szCs w:val="21"/>
                <w:color w:val="auto"/>
              </w:rPr>
            </w:pPr>
          </w:p>
        </w:tc>
        <w:tc>
          <w:tcPr>
            <w:tcW w:w="660" w:type="dxa"/>
            <w:vAlign w:val="bottom"/>
            <w:vMerge w:val="restart"/>
          </w:tcPr>
          <w:p>
            <w:pPr>
              <w:jc w:val="center"/>
              <w:ind w:right="302"/>
              <w:spacing w:after="0"/>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(4)</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13,939,637</w:t>
            </w:r>
          </w:p>
        </w:tc>
        <w:tc>
          <w:tcPr>
            <w:tcW w:w="260" w:type="dxa"/>
            <w:vAlign w:val="bottom"/>
          </w:tcPr>
          <w:p>
            <w:pPr>
              <w:spacing w:after="0"/>
              <w:rPr>
                <w:sz w:val="21"/>
                <w:szCs w:val="21"/>
                <w:color w:val="auto"/>
              </w:rPr>
            </w:pPr>
          </w:p>
        </w:tc>
        <w:tc>
          <w:tcPr>
            <w:tcW w:w="660" w:type="dxa"/>
            <w:vAlign w:val="bottom"/>
            <w:vMerge w:val="restart"/>
          </w:tcPr>
          <w:p>
            <w:pPr>
              <w:jc w:val="center"/>
              <w:ind w:right="302"/>
              <w:spacing w:after="0"/>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(5)</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top w:val="single" w:sz="8" w:color="2C2C2C"/>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2,781,432</w:t>
            </w:r>
            <w:r>
              <w:rPr>
                <w:rFonts w:ascii="Times New Roman" w:cs="Times New Roman" w:eastAsia="Times New Roman" w:hAnsi="Times New Roman"/>
                <w:sz w:val="22"/>
                <w:szCs w:val="22"/>
                <w:color w:val="008000"/>
                <w:w w:val="96"/>
                <w:vertAlign w:val="superscript"/>
              </w:rPr>
              <w:t>(6)</w:t>
            </w:r>
          </w:p>
        </w:tc>
        <w:tc>
          <w:tcPr>
            <w:tcW w:w="26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jc w:val="center"/>
              <w:ind w:right="30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(7)</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2,744,219</w:t>
            </w:r>
          </w:p>
        </w:tc>
        <w:tc>
          <w:tcPr>
            <w:tcW w:w="260" w:type="dxa"/>
            <w:vAlign w:val="bottom"/>
          </w:tcPr>
          <w:p>
            <w:pPr>
              <w:spacing w:after="0"/>
              <w:rPr>
                <w:sz w:val="21"/>
                <w:szCs w:val="21"/>
                <w:color w:val="auto"/>
              </w:rPr>
            </w:pPr>
          </w:p>
        </w:tc>
        <w:tc>
          <w:tcPr>
            <w:tcW w:w="660" w:type="dxa"/>
            <w:vAlign w:val="bottom"/>
            <w:vMerge w:val="restart"/>
          </w:tcPr>
          <w:p>
            <w:pPr>
              <w:jc w:val="center"/>
              <w:ind w:right="302"/>
              <w:spacing w:after="0"/>
              <w:rPr>
                <w:sz w:val="20"/>
                <w:szCs w:val="20"/>
                <w:color w:val="auto"/>
              </w:rPr>
            </w:pPr>
            <w:r>
              <w:rPr>
                <w:rFonts w:ascii="Times New Roman" w:cs="Times New Roman" w:eastAsia="Times New Roman" w:hAnsi="Times New Roman"/>
                <w:sz w:val="34"/>
                <w:szCs w:val="34"/>
                <w:color w:val="0000FF"/>
                <w:w w:val="88"/>
                <w:vertAlign w:val="subscript"/>
              </w:rPr>
              <w:t>I</w:t>
            </w:r>
            <w:r>
              <w:rPr>
                <w:rFonts w:ascii="Times New Roman" w:cs="Times New Roman" w:eastAsia="Times New Roman" w:hAnsi="Times New Roman"/>
                <w:sz w:val="11"/>
                <w:szCs w:val="11"/>
                <w:color w:val="008000"/>
                <w:w w:val="88"/>
              </w:rPr>
              <w:t>(8)</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740" w:type="dxa"/>
            <w:vAlign w:val="bottom"/>
            <w:gridSpan w:val="18"/>
          </w:tcPr>
          <w:p>
            <w:pPr>
              <w:jc w:val="center"/>
              <w:ind w:left="27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gridSpan w:val="13"/>
          </w:tcPr>
          <w:p>
            <w:pPr>
              <w:jc w:val="center"/>
              <w:ind w:lef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8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Casdin Partners Master Fund,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Casdin Eli</w:t>
              </w:r>
            </w:hyperlink>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1350 AVENUE OF THE AMERICAS</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2600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4"/>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5"/>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Casdin Amplify Fund,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4"/>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4"/>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5"/>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Casdin Capital,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4"/>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4"/>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5"/>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4"/>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4"/>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CASDIN PRIVATE GROWTH EQUITY</w:t>
        </w:r>
      </w:hyperlink>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FUND GP,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Casdin Private Growth Equity Fund II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Casdin Private Growth Equity Fund II, L.P.</w:t>
        </w:r>
      </w:hyperlink>
    </w:p>
    <w:p>
      <w:pPr>
        <w:sectPr>
          <w:pgSz w:w="11900" w:h="16880" w:orient="portrait"/>
          <w:cols w:equalWidth="0" w:num="1">
            <w:col w:w="9979"/>
          </w:cols>
          <w:pgMar w:left="480" w:top="125" w:right="1440" w:bottom="0" w:gutter="0" w:footer="0" w:header="0"/>
        </w:sectPr>
      </w:pPr>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80" w:orient="portrait"/>
          <w:cols w:equalWidth="0" w:num="1">
            <w:col w:w="9979"/>
          </w:cols>
          <w:pgMar w:left="480" w:top="125" w:right="1440" w:bottom="0" w:gutter="0" w:footer="0" w:header="0"/>
          <w:type w:val="continuous"/>
        </w:sectPr>
      </w:pPr>
    </w:p>
    <w:bookmarkStart w:id="2" w:name="page3"/>
    <w:bookmarkEnd w:id="2"/>
    <w:p>
      <w:pPr>
        <w:ind w:left="80"/>
        <w:spacing w:after="0"/>
        <w:rPr>
          <w:sz w:val="20"/>
          <w:szCs w:val="20"/>
          <w:color w:val="auto"/>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940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2940685"/>
                    </a:xfrm>
                    <a:prstGeom prst="rect">
                      <a:avLst/>
                    </a:prstGeom>
                    <a:noFill/>
                  </pic:spPr>
                </pic:pic>
              </a:graphicData>
            </a:graphic>
          </wp:anchor>
        </w:drawing>
        <w:t>1350 AVENUE OF THE AMERICAS</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Casdin Private Growth Equity Fund, 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1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$1.525 to $1.595.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5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Capital, LLC ("Casdin"), the investment adviser to the Master Fund, (ii) Casdin Partners GP, LLC (the "GP"), the general partner of the Master Fund,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ind w:right="2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$1.565 to $1.68.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Amplify Fund, LP ("Amplify") and are deemed to be indirectly beneficially owned by (i) Casdin, the investment adviser to Amplify, (ii) the GP, the general partner of Amplify, and (iii) Eli Casdin, the managing member of Casdin Capital, LLC and Casdin Partners GP, LLC.</w:t>
      </w:r>
    </w:p>
    <w:p>
      <w:pPr>
        <w:spacing w:after="0" w:line="7" w:lineRule="exact"/>
        <w:rPr>
          <w:rFonts w:ascii="Times New Roman" w:cs="Times New Roman" w:eastAsia="Times New Roman" w:hAnsi="Times New Roman"/>
          <w:sz w:val="13"/>
          <w:szCs w:val="13"/>
          <w:color w:val="008000"/>
        </w:rPr>
      </w:pPr>
    </w:p>
    <w:p>
      <w:pPr>
        <w:ind w:right="1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II, L.P. (the "Equity Fund II") and may be deemed to be indirectly beneficially owned by (i) Casdin, the investment adviser to the Equity Fund II, and (ii) Eli Casdin, the managing member of Casdin.</w:t>
      </w:r>
    </w:p>
    <w:p>
      <w:pPr>
        <w:spacing w:after="0" w:line="7" w:lineRule="exact"/>
        <w:rPr>
          <w:rFonts w:ascii="Times New Roman" w:cs="Times New Roman" w:eastAsia="Times New Roman" w:hAnsi="Times New Roman"/>
          <w:sz w:val="13"/>
          <w:szCs w:val="13"/>
          <w:color w:val="008000"/>
        </w:rPr>
      </w:pPr>
    </w:p>
    <w:p>
      <w:pPr>
        <w:ind w:right="2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Restricted Stock United ("RSUs"). Certain RSUs vest in full on the earlier to occur of June 28, 2025 and one day prior to the date of the Company's next annual meeting of stockholders, subject to the Reporting Person's continued service through the applicable vesting date and other RSUs vested as to 25% on July 23, 2024 and thereafter in two equal installments on the 15th day of the last month of each remaining fiscal quarter of 2024, subject to the Reporting Person's continued service through the applicable vesting date.</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L.P. (the "Equity Fund") and may be deemed to be indirectly beneficially owned by (i) Casdin, the investment adviser to the Equity Fund, and (ii) Eli Casdin, the managing member of Casdin.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008000"/>
        </w:rPr>
        <w:t>Eli Casdin has been deputized to represent the Reporting Persons on the board of directors of the Issuer. By virtue of Mr. Casdin's representation, for purposes of Section 16 of the Securities Exchange Act of 1934 (the "Exchange Act"), each of the Reporting Persons may be deemed directors by deputization of the Issuer. 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ectPr>
          <w:pgSz w:w="11900" w:h="16838" w:orient="portrait"/>
          <w:cols w:equalWidth="0" w:num="1">
            <w:col w:w="10900"/>
          </w:cols>
          <w:pgMar w:left="500" w:top="178" w:right="499" w:bottom="0" w:gutter="0" w:footer="0" w:header="0"/>
        </w:sectPr>
      </w:pP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7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093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Amplify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4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12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9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12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61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II,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92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 L.P., By: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98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Private Growth Equity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00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1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L.P., By: Casdin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Growth Equity Fund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680" w:space="60"/>
            <w:col w:w="2160"/>
          </w:cols>
          <w:pgMar w:left="500" w:top="178" w:right="499" w:bottom="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0900"/>
          </w:cols>
          <w:pgMar w:left="500" w:top="178" w:right="499" w:bottom="0" w:gutter="0" w:footer="0" w:header="0"/>
          <w:type w:val="continuous"/>
        </w:sectPr>
      </w:pPr>
    </w:p>
    <w:bookmarkStart w:id="3" w:name="page4"/>
    <w:bookmarkEnd w:id="3"/>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6"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3"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12" Type="http://schemas.openxmlformats.org/officeDocument/2006/relationships/hyperlink" Target="http://www.sec.gov/cgi-bin/browse-edgar?action=getcompany&amp;CIK=0001534265"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534264" TargetMode="External"/><Relationship Id="rId17" Type="http://schemas.openxmlformats.org/officeDocument/2006/relationships/hyperlink" Target="http://www.sec.gov/cgi-bin/browse-edgar?action=getcompany&amp;CIK=0002028254" TargetMode="External"/><Relationship Id="rId18" Type="http://schemas.openxmlformats.org/officeDocument/2006/relationships/hyperlink" Target="http://www.sec.gov/cgi-bin/browse-edgar?action=getcompany&amp;CIK=0001534261" TargetMode="External"/><Relationship Id="rId19" Type="http://schemas.openxmlformats.org/officeDocument/2006/relationships/hyperlink" Target="http://www.sec.gov/cgi-bin/browse-edgar?action=getcompany&amp;CIK=0001534260" TargetMode="External"/><Relationship Id="rId20" Type="http://schemas.openxmlformats.org/officeDocument/2006/relationships/hyperlink" Target="http://www.sec.gov/cgi-bin/browse-edgar?action=getcompany&amp;CIK=0001864554" TargetMode="External"/><Relationship Id="rId21" Type="http://schemas.openxmlformats.org/officeDocument/2006/relationships/hyperlink" Target="http://www.sec.gov/cgi-bin/browse-edgar?action=getcompany&amp;CIK=0001919480" TargetMode="External"/><Relationship Id="rId22" Type="http://schemas.openxmlformats.org/officeDocument/2006/relationships/hyperlink" Target="http://www.sec.gov/cgi-bin/browse-edgar?action=getcompany&amp;CIK=0001891102" TargetMode="External"/><Relationship Id="rId24" Type="http://schemas.openxmlformats.org/officeDocument/2006/relationships/hyperlink" Target="http://www.sec.gov/cgi-bin/browse-edgar?action=getcompany&amp;CIK=00018230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2024-08-09T20:47:30Z</dcterms:created>
  <dcterms:modified xsi:type="dcterms:W3CDTF">2024-08-09T20:47:30Z</dcterms:modified>
</cp:coreProperties>
</file>