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659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659755"/>
                    </a:xfrm>
                    <a:prstGeom prst="rect">
                      <a:avLst/>
                    </a:prstGeom>
                    <a:noFill/>
                  </pic:spPr>
                </pic:pic>
              </a:graphicData>
            </a:graphic>
          </wp:anchor>
        </w:drawing>
      </w:r>
    </w:p>
    <w:p>
      <w:pPr>
        <w:sectPr>
          <w:pgSz w:w="11900" w:h="16866"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JOG VIKRAM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02/09/2011</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7000 SHORELINE COURT, SUITE 100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4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08"/>
        </w:trPr>
        <w:tc>
          <w:tcPr>
            <w:tcW w:w="420" w:type="dxa"/>
            <w:vAlign w:val="bottom"/>
            <w:vMerge w:val="continue"/>
          </w:tcPr>
          <w:p>
            <w:pPr>
              <w:spacing w:after="0"/>
              <w:rPr>
                <w:sz w:val="9"/>
                <w:szCs w:val="9"/>
                <w:color w:val="auto"/>
              </w:rPr>
            </w:pPr>
          </w:p>
        </w:tc>
        <w:tc>
          <w:tcPr>
            <w:tcW w:w="1420" w:type="dxa"/>
            <w:vAlign w:val="bottom"/>
          </w:tcPr>
          <w:p>
            <w:pPr>
              <w:ind w:left="120"/>
              <w:spacing w:after="0" w:line="108" w:lineRule="exact"/>
              <w:rPr>
                <w:sz w:val="20"/>
                <w:szCs w:val="20"/>
                <w:color w:val="auto"/>
              </w:rPr>
            </w:pPr>
            <w:r>
              <w:rPr>
                <w:rFonts w:ascii="Arial" w:cs="Arial" w:eastAsia="Arial" w:hAnsi="Arial"/>
                <w:sz w:val="12"/>
                <w:szCs w:val="12"/>
                <w:color w:val="auto"/>
              </w:rPr>
              <w:t>below)</w:t>
            </w:r>
          </w:p>
        </w:tc>
        <w:tc>
          <w:tcPr>
            <w:tcW w:w="1480" w:type="dxa"/>
            <w:vAlign w:val="bottom"/>
          </w:tcPr>
          <w:p>
            <w:pPr>
              <w:ind w:left="320"/>
              <w:spacing w:after="0" w:line="108" w:lineRule="exact"/>
              <w:rPr>
                <w:sz w:val="20"/>
                <w:szCs w:val="20"/>
                <w:color w:val="auto"/>
              </w:rPr>
            </w:pPr>
            <w:r>
              <w:rPr>
                <w:rFonts w:ascii="Arial" w:cs="Arial" w:eastAsia="Arial" w:hAnsi="Arial"/>
                <w:sz w:val="12"/>
                <w:szCs w:val="12"/>
                <w:color w:val="auto"/>
              </w:rPr>
              <w:t>below)</w:t>
            </w:r>
          </w:p>
        </w:tc>
        <w:tc>
          <w:tcPr>
            <w:tcW w:w="2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880" w:type="dxa"/>
            <w:vAlign w:val="bottom"/>
          </w:tcPr>
          <w:p>
            <w:pPr>
              <w:ind w:left="80"/>
              <w:spacing w:after="0" w:line="101" w:lineRule="exact"/>
              <w:rPr>
                <w:sz w:val="20"/>
                <w:szCs w:val="20"/>
                <w:color w:val="auto"/>
              </w:rPr>
            </w:pPr>
            <w:r>
              <w:rPr>
                <w:rFonts w:ascii="Arial" w:cs="Arial" w:eastAsia="Arial" w:hAnsi="Arial"/>
                <w:sz w:val="11"/>
                <w:szCs w:val="11"/>
                <w:color w:val="auto"/>
              </w:rPr>
              <w:t>Applicable Line)</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20" w:type="dxa"/>
        <w:tblCellMar>
          <w:top w:w="0" w:type="dxa"/>
          <w:left w:w="0" w:type="dxa"/>
          <w:bottom w:w="0" w:type="dxa"/>
          <w:right w:w="0" w:type="dxa"/>
        </w:tblCellMar>
      </w:tblPr>
      <w:tr>
        <w:trPr>
          <w:trHeight w:val="222"/>
        </w:trPr>
        <w:tc>
          <w:tcPr>
            <w:tcW w:w="2180" w:type="dxa"/>
            <w:vAlign w:val="bottom"/>
          </w:tcPr>
          <w:p>
            <w:pPr>
              <w:spacing w:after="0"/>
              <w:rPr>
                <w:sz w:val="20"/>
                <w:szCs w:val="20"/>
                <w:color w:val="auto"/>
              </w:rPr>
            </w:pPr>
            <w:r>
              <w:rPr>
                <w:rFonts w:ascii="Arial" w:cs="Arial" w:eastAsia="Arial" w:hAnsi="Arial"/>
                <w:sz w:val="18"/>
                <w:szCs w:val="18"/>
                <w:color w:val="0000FF"/>
              </w:rPr>
              <w:t>Chief Financial Officer</w:t>
            </w:r>
          </w:p>
        </w:tc>
        <w:tc>
          <w:tcPr>
            <w:tcW w:w="3040" w:type="dxa"/>
            <w:vAlign w:val="bottom"/>
            <w:vMerge w:val="restart"/>
          </w:tcPr>
          <w:p>
            <w:pPr>
              <w:ind w:left="5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81"/>
        </w:trPr>
        <w:tc>
          <w:tcPr>
            <w:tcW w:w="218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180" w:type="dxa"/>
            <w:vAlign w:val="bottom"/>
          </w:tcPr>
          <w:p>
            <w:pPr>
              <w:spacing w:after="0"/>
              <w:rPr>
                <w:sz w:val="17"/>
                <w:szCs w:val="17"/>
                <w:color w:val="auto"/>
              </w:rPr>
            </w:pPr>
          </w:p>
        </w:tc>
        <w:tc>
          <w:tcPr>
            <w:tcW w:w="3040" w:type="dxa"/>
            <w:vAlign w:val="bottom"/>
          </w:tcPr>
          <w:p>
            <w:pPr>
              <w:ind w:left="88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3040" w:type="dxa"/>
            <w:vAlign w:val="bottom"/>
          </w:tcPr>
          <w:p>
            <w:pPr>
              <w:ind w:left="88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328" w:lineRule="exact"/>
        <w:rPr>
          <w:sz w:val="24"/>
          <w:szCs w:val="24"/>
          <w:color w:val="auto"/>
        </w:rPr>
      </w:pPr>
    </w:p>
    <w:p>
      <w:pPr>
        <w:sectPr>
          <w:pgSz w:w="11900" w:h="16866" w:orient="portrait"/>
          <w:cols w:equalWidth="0" w:num="2">
            <w:col w:w="4720" w:space="480"/>
            <w:col w:w="6220"/>
          </w:cols>
          <w:pgMar w:left="240" w:top="226" w:right="239" w:bottom="0"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Series E1 Preferred Warrant (Right to Buy)</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Pr>
          <w:p>
            <w:pPr>
              <w:jc w:val="center"/>
              <w:ind w:left="119"/>
              <w:spacing w:after="0"/>
              <w:rPr>
                <w:sz w:val="20"/>
                <w:szCs w:val="20"/>
                <w:color w:val="auto"/>
              </w:rPr>
            </w:pPr>
            <w:r>
              <w:rPr>
                <w:rFonts w:ascii="Arial" w:cs="Arial" w:eastAsia="Arial" w:hAnsi="Arial"/>
                <w:sz w:val="18"/>
                <w:szCs w:val="18"/>
                <w:color w:val="0000FF"/>
                <w:w w:val="85"/>
              </w:rPr>
              <w:t>2,064</w:t>
            </w:r>
            <w:r>
              <w:rPr>
                <w:rFonts w:ascii="Arial" w:cs="Arial" w:eastAsia="Arial" w:hAnsi="Arial"/>
                <w:sz w:val="22"/>
                <w:szCs w:val="22"/>
                <w:color w:val="008000"/>
                <w:w w:val="85"/>
                <w:vertAlign w:val="superscript"/>
              </w:rPr>
              <w:t>(3)</w:t>
            </w:r>
          </w:p>
        </w:tc>
        <w:tc>
          <w:tcPr>
            <w:tcW w:w="880" w:type="dxa"/>
            <w:vAlign w:val="bottom"/>
          </w:tcPr>
          <w:p>
            <w:pPr>
              <w:jc w:val="right"/>
              <w:ind w:right="221"/>
              <w:spacing w:after="0"/>
              <w:rPr>
                <w:sz w:val="20"/>
                <w:szCs w:val="20"/>
                <w:color w:val="auto"/>
              </w:rPr>
            </w:pPr>
            <w:r>
              <w:rPr>
                <w:rFonts w:ascii="Arial" w:cs="Arial" w:eastAsia="Arial" w:hAnsi="Arial"/>
                <w:sz w:val="18"/>
                <w:szCs w:val="18"/>
                <w:color w:val="0000FF"/>
              </w:rPr>
              <w:t>0.02</w:t>
            </w:r>
          </w:p>
        </w:tc>
        <w:tc>
          <w:tcPr>
            <w:tcW w:w="880" w:type="dxa"/>
            <w:vAlign w:val="bottom"/>
          </w:tcPr>
          <w:p>
            <w:pPr>
              <w:jc w:val="center"/>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top w:val="single" w:sz="8" w:color="2C2C2C"/>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80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40" w:type="dxa"/>
            <w:vAlign w:val="bottom"/>
            <w:tcBorders>
              <w:top w:val="single" w:sz="8" w:color="2C2C2C"/>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top w:val="single" w:sz="8" w:color="2C2C2C"/>
              <w:bottom w:val="single" w:sz="8" w:color="2C2C2C"/>
            </w:tcBorders>
          </w:tcPr>
          <w:p>
            <w:pPr>
              <w:jc w:val="center"/>
              <w:ind w:left="119"/>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(3)</w:t>
            </w:r>
          </w:p>
        </w:tc>
        <w:tc>
          <w:tcPr>
            <w:tcW w:w="880" w:type="dxa"/>
            <w:vAlign w:val="bottom"/>
            <w:tcBorders>
              <w:top w:val="single" w:sz="8" w:color="2C2C2C"/>
              <w:bottom w:val="single" w:sz="8" w:color="2C2C2C"/>
            </w:tcBorders>
          </w:tcPr>
          <w:p>
            <w:pPr>
              <w:jc w:val="right"/>
              <w:ind w:right="221"/>
              <w:spacing w:after="0"/>
              <w:rPr>
                <w:sz w:val="20"/>
                <w:szCs w:val="20"/>
                <w:color w:val="auto"/>
              </w:rPr>
            </w:pPr>
            <w:r>
              <w:rPr>
                <w:rFonts w:ascii="Arial" w:cs="Arial" w:eastAsia="Arial" w:hAnsi="Arial"/>
                <w:sz w:val="18"/>
                <w:szCs w:val="18"/>
                <w:color w:val="0000FF"/>
              </w:rPr>
              <w:t>8.38</w:t>
            </w: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(3)</w:t>
            </w:r>
          </w:p>
        </w:tc>
        <w:tc>
          <w:tcPr>
            <w:tcW w:w="880" w:type="dxa"/>
            <w:vAlign w:val="bottom"/>
            <w:tcBorders>
              <w:bottom w:val="single" w:sz="8" w:color="2C2C2C"/>
            </w:tcBorders>
          </w:tcPr>
          <w:p>
            <w:pPr>
              <w:jc w:val="right"/>
              <w:ind w:right="221"/>
              <w:spacing w:after="0"/>
              <w:rPr>
                <w:sz w:val="20"/>
                <w:szCs w:val="20"/>
                <w:color w:val="auto"/>
              </w:rPr>
            </w:pPr>
            <w:r>
              <w:rPr>
                <w:rFonts w:ascii="Arial" w:cs="Arial" w:eastAsia="Arial" w:hAnsi="Arial"/>
                <w:sz w:val="18"/>
                <w:szCs w:val="18"/>
                <w:color w:val="0000FF"/>
              </w:rPr>
              <w:t>8.38</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4"/>
              </w:rPr>
              <w:t>82,576</w:t>
            </w:r>
            <w:r>
              <w:rPr>
                <w:rFonts w:ascii="Arial" w:cs="Arial" w:eastAsia="Arial" w:hAnsi="Arial"/>
                <w:sz w:val="22"/>
                <w:szCs w:val="22"/>
                <w:color w:val="008000"/>
                <w:w w:val="84"/>
                <w:vertAlign w:val="superscript"/>
              </w:rPr>
              <w:t>(3)</w:t>
            </w:r>
          </w:p>
        </w:tc>
        <w:tc>
          <w:tcPr>
            <w:tcW w:w="880" w:type="dxa"/>
            <w:vAlign w:val="bottom"/>
            <w:tcBorders>
              <w:bottom w:val="single" w:sz="8" w:color="2C2C2C"/>
            </w:tcBorders>
          </w:tcPr>
          <w:p>
            <w:pPr>
              <w:jc w:val="right"/>
              <w:ind w:right="221"/>
              <w:spacing w:after="0"/>
              <w:rPr>
                <w:sz w:val="20"/>
                <w:szCs w:val="20"/>
                <w:color w:val="auto"/>
              </w:rPr>
            </w:pPr>
            <w:r>
              <w:rPr>
                <w:rFonts w:ascii="Arial" w:cs="Arial" w:eastAsia="Arial" w:hAnsi="Arial"/>
                <w:sz w:val="18"/>
                <w:szCs w:val="18"/>
                <w:color w:val="0000FF"/>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5"/>
              </w:rPr>
              <w:t>8,257</w:t>
            </w:r>
            <w:r>
              <w:rPr>
                <w:rFonts w:ascii="Arial" w:cs="Arial" w:eastAsia="Arial" w:hAnsi="Arial"/>
                <w:sz w:val="22"/>
                <w:szCs w:val="22"/>
                <w:color w:val="008000"/>
                <w:w w:val="85"/>
                <w:vertAlign w:val="superscript"/>
              </w:rPr>
              <w:t>(3)</w:t>
            </w:r>
          </w:p>
        </w:tc>
        <w:tc>
          <w:tcPr>
            <w:tcW w:w="880" w:type="dxa"/>
            <w:vAlign w:val="bottom"/>
            <w:tcBorders>
              <w:bottom w:val="single" w:sz="8" w:color="2C2C2C"/>
            </w:tcBorders>
          </w:tcPr>
          <w:p>
            <w:pPr>
              <w:jc w:val="right"/>
              <w:ind w:right="221"/>
              <w:spacing w:after="0"/>
              <w:rPr>
                <w:sz w:val="20"/>
                <w:szCs w:val="20"/>
                <w:color w:val="auto"/>
              </w:rPr>
            </w:pPr>
            <w:r>
              <w:rPr>
                <w:rFonts w:ascii="Arial" w:cs="Arial" w:eastAsia="Arial" w:hAnsi="Arial"/>
                <w:sz w:val="18"/>
                <w:szCs w:val="18"/>
                <w:color w:val="0000FF"/>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5"/>
              </w:rPr>
              <w:t>8,257</w:t>
            </w:r>
            <w:r>
              <w:rPr>
                <w:rFonts w:ascii="Arial" w:cs="Arial" w:eastAsia="Arial" w:hAnsi="Arial"/>
                <w:sz w:val="22"/>
                <w:szCs w:val="22"/>
                <w:color w:val="008000"/>
                <w:w w:val="85"/>
                <w:vertAlign w:val="superscript"/>
              </w:rPr>
              <w:t>(3)</w:t>
            </w:r>
          </w:p>
        </w:tc>
        <w:tc>
          <w:tcPr>
            <w:tcW w:w="880" w:type="dxa"/>
            <w:vAlign w:val="bottom"/>
            <w:tcBorders>
              <w:bottom w:val="single" w:sz="8" w:color="2C2C2C"/>
            </w:tcBorders>
          </w:tcPr>
          <w:p>
            <w:pPr>
              <w:jc w:val="right"/>
              <w:ind w:right="221"/>
              <w:spacing w:after="0"/>
              <w:rPr>
                <w:sz w:val="20"/>
                <w:szCs w:val="20"/>
                <w:color w:val="auto"/>
              </w:rPr>
            </w:pPr>
            <w:r>
              <w:rPr>
                <w:rFonts w:ascii="Arial" w:cs="Arial" w:eastAsia="Arial" w:hAnsi="Arial"/>
                <w:sz w:val="18"/>
                <w:szCs w:val="18"/>
                <w:color w:val="0000FF"/>
              </w:rPr>
              <w:t>4.45</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(3)</w:t>
            </w:r>
          </w:p>
        </w:tc>
        <w:tc>
          <w:tcPr>
            <w:tcW w:w="880" w:type="dxa"/>
            <w:vAlign w:val="bottom"/>
            <w:tcBorders>
              <w:bottom w:val="single" w:sz="8" w:color="2C2C2C"/>
            </w:tcBorders>
          </w:tcPr>
          <w:p>
            <w:pPr>
              <w:jc w:val="right"/>
              <w:ind w:right="221"/>
              <w:spacing w:after="0"/>
              <w:rPr>
                <w:sz w:val="20"/>
                <w:szCs w:val="20"/>
                <w:color w:val="auto"/>
              </w:rPr>
            </w:pPr>
            <w:r>
              <w:rPr>
                <w:rFonts w:ascii="Arial" w:cs="Arial" w:eastAsia="Arial" w:hAnsi="Arial"/>
                <w:sz w:val="18"/>
                <w:szCs w:val="18"/>
                <w:color w:val="0000FF"/>
              </w:rPr>
              <w:t>4.09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(11)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(11)</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jc w:val="center"/>
              <w:ind w:left="119"/>
              <w:spacing w:after="0"/>
              <w:rPr>
                <w:sz w:val="20"/>
                <w:szCs w:val="20"/>
                <w:color w:val="auto"/>
              </w:rPr>
            </w:pPr>
            <w:r>
              <w:rPr>
                <w:rFonts w:ascii="Arial" w:cs="Arial" w:eastAsia="Arial" w:hAnsi="Arial"/>
                <w:sz w:val="18"/>
                <w:szCs w:val="18"/>
                <w:color w:val="0000FF"/>
                <w:w w:val="85"/>
              </w:rPr>
              <w:t>5,780</w:t>
            </w:r>
            <w:r>
              <w:rPr>
                <w:rFonts w:ascii="Arial" w:cs="Arial" w:eastAsia="Arial" w:hAnsi="Arial"/>
                <w:sz w:val="22"/>
                <w:szCs w:val="22"/>
                <w:color w:val="008000"/>
                <w:w w:val="85"/>
                <w:vertAlign w:val="superscript"/>
              </w:rPr>
              <w:t>(3)</w:t>
            </w:r>
          </w:p>
        </w:tc>
        <w:tc>
          <w:tcPr>
            <w:tcW w:w="880" w:type="dxa"/>
            <w:vAlign w:val="bottom"/>
            <w:tcBorders>
              <w:bottom w:val="single" w:sz="8" w:color="2C2C2C"/>
            </w:tcBorders>
          </w:tcPr>
          <w:p>
            <w:pPr>
              <w:jc w:val="right"/>
              <w:ind w:right="221"/>
              <w:spacing w:after="0"/>
              <w:rPr>
                <w:sz w:val="20"/>
                <w:szCs w:val="20"/>
                <w:color w:val="auto"/>
              </w:rPr>
            </w:pPr>
            <w:r>
              <w:rPr>
                <w:rFonts w:ascii="Arial" w:cs="Arial" w:eastAsia="Arial" w:hAnsi="Arial"/>
                <w:sz w:val="18"/>
                <w:szCs w:val="18"/>
                <w:color w:val="0000FF"/>
              </w:rPr>
              <w:t>4.09</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automatic conversion of each share of Series E1 Preferred Stock into one share of Common Stock to occur upon the closing of the Issuer's initial public offering. Each share has no expiration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immediately prior to the closing of the Issuer's initial public offering.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 1-for-1.73 reverse stock split of the Issuer's outstanding shares effected February 3, 2011.</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Vikram and Pratima Jog Family Trust U/A dated June 23, 2009 is the record holder of the securites reported on line 1 of Table 2. Vikram Jog and Pratima Jog are trustees of the Vikram and Pratima Family Trust U/A dated June 23, 2009.</w:t>
      </w:r>
    </w:p>
    <w:p>
      <w:pPr>
        <w:spacing w:after="0" w:line="30" w:lineRule="exact"/>
        <w:rPr>
          <w:rFonts w:ascii="Arial" w:cs="Arial" w:eastAsia="Arial" w:hAnsi="Arial"/>
          <w:sz w:val="14"/>
          <w:szCs w:val="14"/>
          <w:color w:val="008000"/>
        </w:rPr>
      </w:pPr>
    </w:p>
    <w:p>
      <w:pPr>
        <w:ind w:left="40" w:right="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 of the shares subject to the Option shall vest on the one year anniversary of April 1, 2010 (the "Vesting Commencement Date"), and thereafter 1/48th of the shares subject to the Option shall vest on each monthly anniversary of the Vesting Commencement Date such that the Option will be fully vested on April 1, 2014; provided that vesting for a percentage of the Option equal to the Company's percentage achievement of its 2010 corporate goals shall be accelerated to December 31, 2010 . The percentage of the Option not accelerated shall vest over 4 years as described above. Vesting is subject to the reporting person continuing to be a service provider on such dates. The Option shall expire on January 4, 2021.</w:t>
      </w:r>
    </w:p>
    <w:p>
      <w:pPr>
        <w:spacing w:after="0" w:line="3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100% of the shares subject to the Option shall vest on April 1, 2014; provided that vesting for a percentage of the shares subject to the Option equal to the reporting person's percentage achievement of his 2010 departmental goals shall be accelerated to December 31, 2010. The shares, if any, not subject to such accelerated vesting shall vest on April 1, 2014. Vesting is subject to the reporting person continuing to be a service provider on such dates. The Option shall expire on January 4, 2021.</w:t>
      </w:r>
    </w:p>
    <w:p>
      <w:pPr>
        <w:spacing w:after="0" w:line="30" w:lineRule="exact"/>
        <w:rPr>
          <w:rFonts w:ascii="Arial" w:cs="Arial" w:eastAsia="Arial" w:hAnsi="Arial"/>
          <w:sz w:val="14"/>
          <w:szCs w:val="14"/>
          <w:color w:val="008000"/>
        </w:rPr>
      </w:pPr>
    </w:p>
    <w:p>
      <w:pPr>
        <w:ind w:left="40" w:right="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was originally granted on February 7, 2008 and was re-granted on December 23, 2009 as part of the Issuer's option repricing. 18.75% of the shares subject to the Option shall vest on the one year anniversary of February 7, 2008 (the "Vesting Commencement Date"), and thereafter 1/48th of the shares subject to the Option shall vest monthly thereafter on the same day of the month as the Vesting Commencement Date such that all shares subject to the Option shall be fully vested on a date fifty one months after the Vesting Commencement Date. Vesting is subject to the reporting person continuing to be a service provider on such dates. The Option shall expire on February 6, 2018.</w:t>
      </w:r>
    </w:p>
    <w:p>
      <w:pPr>
        <w:spacing w:after="0" w:line="31" w:lineRule="exact"/>
        <w:rPr>
          <w:rFonts w:ascii="Arial" w:cs="Arial" w:eastAsia="Arial" w:hAnsi="Arial"/>
          <w:sz w:val="14"/>
          <w:szCs w:val="14"/>
          <w:color w:val="008000"/>
        </w:rPr>
      </w:pPr>
    </w:p>
    <w:p>
      <w:pPr>
        <w:ind w:left="40" w:right="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was originally granted on February 7, 2008 and was re-granted on December 23, 2009 as part of the Issuer's option repricing. 5,215 shares subject to the Option were vested as of the re-grant date and thereafter 97 shares vested monthly until March 1, 2012 and thereafter 171 shares will vest monthly. The Option will fully vest on May 1, 2012 and shall expire on February 6, 2018.</w:t>
      </w:r>
    </w:p>
    <w:p>
      <w:pPr>
        <w:ind w:left="40" w:right="32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was originally granted on February 7, 2008 and was re-granted on December 23, 2009 as part of the Issuer's option repricing. 5,263 shares subject to the Option were vested as of the re-grant date, an additional 2,477 shares will vest on December 31, 2011 and 171 shares will vest monthly thereafter. The Option will fully vest on March 31, 2012 and shall expire on February 6, 2018.</w:t>
      </w:r>
    </w:p>
    <w:p>
      <w:pPr>
        <w:ind w:left="40" w:right="180" w:firstLine="9"/>
        <w:spacing w:after="0" w:line="288" w:lineRule="auto"/>
        <w:tabs>
          <w:tab w:leader="none" w:pos="2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100% of the shares subject to the Option will vest on December 31, 2012; provided that a percentage of the Option equal to the percentage of the reporting person's departmental goals that are achieved would become fully vested effective as of December 31, 2009. The compensation committee determined that the reporting person met the performance criteria for 2009, resulting in the Option then becoming fully vested on December 31, 2009. The Option shall expire on November 17, 2019.</w:t>
      </w:r>
    </w:p>
    <w:p>
      <w:pPr>
        <w:spacing w:after="0" w:line="2" w:lineRule="exact"/>
        <w:rPr>
          <w:rFonts w:ascii="Arial" w:cs="Arial" w:eastAsia="Arial" w:hAnsi="Arial"/>
          <w:sz w:val="12"/>
          <w:szCs w:val="12"/>
          <w:color w:val="008000"/>
        </w:rPr>
      </w:pPr>
    </w:p>
    <w:p>
      <w:pPr>
        <w:ind w:left="40" w:right="60" w:firstLine="9"/>
        <w:spacing w:after="0" w:line="285" w:lineRule="auto"/>
        <w:tabs>
          <w:tab w:leader="none" w:pos="23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compensation committee determined that 70% of the Issuer's corporate goals for 2009 had been achieved. This resulted in 70% of the shares subject to the Option vesting on December 31, 2009, 25% of the remaining 40% of the shares subject to the Option vested on April 1, 2010 and 1/48th of the remaining unvested shares subject to the Option shall vest each month thereafter such that all shares subject to the Option shall be fully vested on April 1, 2013. The Option shall expire on November 17, 2009.</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ectPr>
          <w:pgSz w:w="11900" w:h="16866" w:orient="portrait"/>
          <w:cols w:equalWidth="0" w:num="1">
            <w:col w:w="11420"/>
          </w:cols>
          <w:pgMar w:left="240" w:top="226" w:right="239" w:bottom="0" w:gutter="0" w:footer="0" w:header="0"/>
          <w:type w:val="continuous"/>
        </w:sectPr>
      </w:pPr>
    </w:p>
    <w:p>
      <w:pPr>
        <w:spacing w:after="0" w:line="7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Vikram Jog</w:t>
      </w:r>
      <w:r>
        <w:rPr>
          <w:sz w:val="20"/>
          <w:szCs w:val="20"/>
          <w:color w:val="auto"/>
        </w:rPr>
        <w:tab/>
      </w:r>
      <w:r>
        <w:rPr>
          <w:rFonts w:ascii="Arial" w:cs="Arial" w:eastAsia="Arial" w:hAnsi="Arial"/>
          <w:sz w:val="15"/>
          <w:szCs w:val="15"/>
          <w:color w:val="0000FF"/>
        </w:rPr>
        <w:t>02/09/2011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649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496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-13970</wp:posOffset>
            </wp:positionV>
            <wp:extent cx="503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ectPr>
          <w:pgSz w:w="11900" w:h="16866"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66" w:right="1299"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as a Section 16 reporting person of Fluidigm Corporation (the "Company"), hereby constitutes and appoints the officers of the Company and the responsible attorneys and paralegals of Wilson Sonsini Goodrich &amp; Rosati, P.C., and each of them, the undersigned's true and lawful attorney-in-fact to:</w:t>
      </w:r>
    </w:p>
    <w:p>
      <w:pPr>
        <w:spacing w:after="0" w:line="207" w:lineRule="exact"/>
        <w:rPr>
          <w:sz w:val="20"/>
          <w:szCs w:val="20"/>
          <w:color w:val="auto"/>
        </w:rPr>
      </w:pPr>
    </w:p>
    <w:p>
      <w:pPr>
        <w:ind w:left="1060" w:right="1999" w:hanging="525"/>
        <w:spacing w:after="0" w:line="271" w:lineRule="auto"/>
        <w:tabs>
          <w:tab w:leader="none" w:pos="10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87"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ratifies and confirms all that said attorney-in-fact and agents shall do or cause to be done by virtue hereof. The undersigned acknowledges that the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attorney-in-fact.</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7th day of February, 2011.</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 /s/ Vikram Jog</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Vikram Jog</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222641" TargetMode="External"/><Relationship Id="rId12"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2019-12-17T15:08:51Z</dcterms:created>
  <dcterms:modified xsi:type="dcterms:W3CDTF">2019-12-17T15:08:51Z</dcterms:modified>
</cp:coreProperties>
</file>