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-605790</wp:posOffset>
            </wp:positionV>
            <wp:extent cx="825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3999865</wp:posOffset>
            </wp:positionH>
            <wp:positionV relativeFrom="paragraph">
              <wp:posOffset>-614045</wp:posOffset>
            </wp:positionV>
            <wp:extent cx="825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4024630</wp:posOffset>
            </wp:positionH>
            <wp:positionV relativeFrom="paragraph">
              <wp:posOffset>-589915</wp:posOffset>
            </wp:positionV>
            <wp:extent cx="1262380" cy="5657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2380" cy="565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7855" cy="18770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187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Khadder Nicholas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700"/>
        <w:spacing w:after="0" w:line="3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FLUIDIGM CORPORATION 2 TOWER PLACE, STE 2000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FLUIDIGM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FLDM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1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Gen. Counsel &amp; Secretary</w:t>
      </w:r>
    </w:p>
    <w:p>
      <w:pPr>
        <w:spacing w:after="0" w:line="5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-2473960</wp:posOffset>
            </wp:positionH>
            <wp:positionV relativeFrom="paragraph">
              <wp:posOffset>266065</wp:posOffset>
            </wp:positionV>
            <wp:extent cx="6967855" cy="876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855" cy="876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3609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36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65,000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05/23/2020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the contingent right to receive one share of FLDM common stock.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vest over three years, with 1/2 of the total number of shares vesting on May 20, 2021 and 1/4 of the total number of shares vesting on each of May 20, 2022 and May 20, 2023.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vest as to 1/4 of the underlying shares on May 20, 2021, and as to an additional 1/16th of the total number of shares each quarter thereafter.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Nicholas Khadder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05/26/2020</w:t>
            </w:r>
          </w:p>
        </w:tc>
      </w:tr>
      <w:tr>
        <w:trPr>
          <w:trHeight w:val="22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8911" TargetMode="External"/><Relationship Id="rId14" Type="http://schemas.openxmlformats.org/officeDocument/2006/relationships/hyperlink" Target="http://www.sec.gov/cgi-bin/browse-edgar?action=getcompany&amp;CIK=0001162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2020-05-26T08:32:37Z</dcterms:created>
  <dcterms:modified xsi:type="dcterms:W3CDTF">2020-05-26T08:32:37Z</dcterms:modified>
</cp:coreProperties>
</file>