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Fluidigm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77-0513190</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 Tower Place, Suite 2000, South San Francisco, California 94080</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FLDM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On March 29, 2022, Fluidigm Corporation (the “Company”) entered into a support agreement (the “Agreement”) with Caligan Partners LP and each of the other persons and entities set forth on the signature pages to the Agreement (collectively, the “Caligan Group”). Among other matters, the Agreement provides that effective as of the consummation of the Transactions (as defined below) (i) the Company will increase the size of its Board of Directors (the “Board”) to eight and appoint Dr. Frank Witney to the Board to serve as a Class III director with a term expiring at the Company’s 2022 annual meeting of stockholders, (ii) at the special meeting of the Company’s stockholders called to consider the Transactions (including any adjournments, postponements or other delays thereof), the members of the Caligan Group will cause all applicable securities of the Company that are beneficially owned by the members of the Caligan Group to be (a) present for quorum purposes; and (b) voted in the manner recommended by the Board on all proposals, (iii) the Company will nominate Dr. Witney for election at the 2022 annual meeting of stockholders and recommend, support and solicit proxies for his election, and (iv) certain standstill restrictions to which the Caligan Group is subject will terminate.</w:t>
      </w:r>
    </w:p>
    <w:p>
      <w:pPr>
        <w:spacing w:after="0" w:line="188"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does not purport to be complete and is subject to, and qualified in its entirety by, the full text of the Agreement, which is attached as Exhibit 10.1 and incorporated herein by reference.</w:t>
      </w:r>
    </w:p>
    <w:p>
      <w:pPr>
        <w:spacing w:after="0" w:line="266"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Election of New Directors</w:t>
      </w:r>
    </w:p>
    <w:p>
      <w:pPr>
        <w:spacing w:after="0" w:line="119" w:lineRule="exact"/>
        <w:rPr>
          <w:sz w:val="20"/>
          <w:szCs w:val="20"/>
          <w:color w:val="auto"/>
        </w:rPr>
      </w:pPr>
    </w:p>
    <w:p>
      <w:pPr>
        <w:ind w:left="4" w:right="120"/>
        <w:spacing w:after="0" w:line="269" w:lineRule="auto"/>
        <w:rPr>
          <w:sz w:val="20"/>
          <w:szCs w:val="20"/>
          <w:color w:val="auto"/>
        </w:rPr>
      </w:pPr>
      <w:r>
        <w:rPr>
          <w:rFonts w:ascii="Times New Roman" w:cs="Times New Roman" w:eastAsia="Times New Roman" w:hAnsi="Times New Roman"/>
          <w:sz w:val="17"/>
          <w:szCs w:val="17"/>
          <w:color w:val="auto"/>
        </w:rPr>
        <w:t>In connection with the Agreement, on March 28, 2022, upon the recommendation of the Nominating and Corporate Governance Committee of the Board, the Board appointed Franklin R. Witney to serve as a member of the Board until his successor is duly elected and qualified, or until his earlier death, resignation or removal, with such appointment to be contingent on and effective upon the consummation of the transactions (the “Transactions”) contemplated by the (1) the Series B-1 Convertible Preferred Stock Purchase Agreement (the “Casdin Purchase Agreement”), dated as of January 23, 2022, by and between the Company, Casdin Private Growth Equity Fund II, L.P. and Casdin Partners Master Fund, L.P. (collectively, “Casdin”) and</w:t>
      </w:r>
    </w:p>
    <w:p>
      <w:pPr>
        <w:spacing w:after="0" w:line="3" w:lineRule="exact"/>
        <w:rPr>
          <w:sz w:val="20"/>
          <w:szCs w:val="20"/>
          <w:color w:val="auto"/>
        </w:rPr>
      </w:pPr>
    </w:p>
    <w:p>
      <w:pPr>
        <w:ind w:left="4" w:right="140" w:hanging="4"/>
        <w:spacing w:after="0" w:line="255"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B-2 Convertible Preferred Stock Purchase Agreement (the “Viking Purchase Agreement”), dated as of January 23, 2022, by and between the Company, Viking Global Opportunities Illiquid Investments Sub-Master LP and Viking Global Opportunities Drawdown (Aggregator) LP (collectively, “Viking”) (collectively, the Casdin Purchase Agreement and Viking Purchase Agreement, the “Purchase Agreements”).</w:t>
      </w:r>
    </w:p>
    <w:p>
      <w:pPr>
        <w:spacing w:after="0" w:line="186"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Dr. Witney, age 68, has served as an Operating Partner at Ampersand Capital Partners, a private equity firm, since September 2016. From July 2011 to March 2016, Dr. Witney served as President and Chief Executive Officer of Affymetrix, Inc., a provider of life science products and molecular diagnostic products, until Affymetrix, Inc.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 Dr. Witney currently serves on the board of directors of PerkinElmer Inc., CODEX DNA, and Cerus Corporation. He has previously served on the boards of Gyros Protein Technologies, RareCyte Inc., GeneOptx and Canopy Bioscience. Dr. Witney earned a B.S. in microbiology from the University of Illinois and a M.S., in microbiology and Ph.D in molecular and cellular biology from Indiana University.</w:t>
      </w:r>
    </w:p>
    <w:p>
      <w:pPr>
        <w:spacing w:after="0" w:line="188"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Dr. Witney has not been involved in any related person transaction within the meaning of Item 404(a) of Regulation S-K promulgated under the Securities Exchange Act of 1934, as amended (the “Exchange Act”), and required to be disclosed herein. Other than as provided under the Agreement, there are no arrangements or understandings pursuant to which Dr. Witney was elected as a director.</w:t>
      </w:r>
    </w:p>
    <w:p>
      <w:pPr>
        <w:spacing w:after="0" w:line="176"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to the Board, Dr. Witney will enter into the Company’s standard form of indemnification agreement pursuant to which the Company will indemnify him for certain actions taken in his capacity as director. A copy of the Company’s form of indemnification agreement was filed with the Securities and Exchange Commission on January 28, 2011 as Exhibit 10.1 to Amendment No. 3 to Registration Statement on Form S-1 and is incorporated herein in its entirety by reference.</w:t>
      </w:r>
    </w:p>
    <w:p>
      <w:pPr>
        <w:spacing w:after="0" w:line="180"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As a non-employee director and contingent upon Dr. Witney joining the Board upon the consummation of the Transactions, Dr. Witney will participate in the Company’s compensation program applicable to all non-employee directors, in accordance</w:t>
      </w:r>
    </w:p>
    <w:p>
      <w:pPr>
        <w:sectPr>
          <w:pgSz w:w="11900" w:h="16838" w:orient="portrait"/>
          <w:cols w:equalWidth="0" w:num="1">
            <w:col w:w="11004"/>
          </w:cols>
          <w:pgMar w:left="436" w:top="293" w:right="459" w:bottom="1440" w:gutter="0" w:footer="0" w:header="0"/>
        </w:sectPr>
      </w:pPr>
    </w:p>
    <w:bookmarkStart w:id="2" w:name="page3"/>
    <w:bookmarkEnd w:id="2"/>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with the Company’s previously disclosed non-employee director compensation program, as such may be amended from time to time. A description of the Company’s cash and equity compensation program for non-employee directions is contained in the section entitled “</w:t>
      </w:r>
      <w:r>
        <w:rPr>
          <w:rFonts w:ascii="Times New Roman" w:cs="Times New Roman" w:eastAsia="Times New Roman" w:hAnsi="Times New Roman"/>
          <w:sz w:val="17"/>
          <w:szCs w:val="17"/>
          <w:i w:val="1"/>
          <w:iCs w:val="1"/>
          <w:color w:val="auto"/>
        </w:rPr>
        <w:t>Compensation of Non-Employee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Directions- Compensation Policy, </w:t>
      </w:r>
      <w:r>
        <w:rPr>
          <w:rFonts w:ascii="Times New Roman" w:cs="Times New Roman" w:eastAsia="Times New Roman" w:hAnsi="Times New Roman"/>
          <w:sz w:val="17"/>
          <w:szCs w:val="17"/>
          <w:color w:val="auto"/>
        </w:rPr>
        <w:t>in the Company’s definitive proxy statement dated April 14, 2021,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Agreement is incorporated by reference herein.</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March 29, 2022, the Company issued a press release announcing the Agreement and Dr. Witney’s appointment to the Board. A copy of the press release is attached as Exhibit 99.1 to this Current Report on Form 8-K and is incorporated in this Item 5.02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4"/>
                <w:szCs w:val="24"/>
                <w:color w:val="auto"/>
              </w:rPr>
            </w:pPr>
          </w:p>
        </w:tc>
        <w:tc>
          <w:tcPr>
            <w:tcW w:w="95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Support Agreement, dated March 29, 2022, by and among Fluidigm Corporation and Caligan Partners LP and certain of its affiliates</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20" w:type="dxa"/>
            <w:vAlign w:val="bottom"/>
            <w:gridSpan w:val="3"/>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Press release dated March 29, 2022</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9" w:lineRule="exact"/>
        <w:rPr>
          <w:sz w:val="20"/>
          <w:szCs w:val="20"/>
          <w:color w:val="auto"/>
        </w:rPr>
      </w:pPr>
    </w:p>
    <w:p>
      <w:pPr>
        <w:spacing w:after="0"/>
        <w:tabs>
          <w:tab w:leader="none" w:pos="4740" w:val="left"/>
          <w:tab w:leader="none" w:pos="5180" w:val="left"/>
        </w:tabs>
        <w:rPr>
          <w:sz w:val="20"/>
          <w:szCs w:val="20"/>
          <w:color w:val="auto"/>
        </w:rPr>
      </w:pPr>
      <w:r>
        <w:rPr>
          <w:rFonts w:ascii="Times New Roman" w:cs="Times New Roman" w:eastAsia="Times New Roman" w:hAnsi="Times New Roman"/>
          <w:sz w:val="18"/>
          <w:szCs w:val="18"/>
          <w:color w:val="auto"/>
        </w:rPr>
        <w:t>Date: March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17145</wp:posOffset>
            </wp:positionV>
            <wp:extent cx="2863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Nicholas Khadder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29,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Caligan Partners 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David Johnson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 Fluidigm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 Caligan Partners LP and each of the other persons and entities set forth on the signature pages to this Agreement (collectively, the “</w:t>
      </w:r>
      <w:r>
        <w:rPr>
          <w:rFonts w:ascii="Times New Roman" w:cs="Times New Roman" w:eastAsia="Times New Roman" w:hAnsi="Times New Roman"/>
          <w:sz w:val="18"/>
          <w:szCs w:val="18"/>
          <w:b w:val="1"/>
          <w:bCs w:val="1"/>
          <w:color w:val="auto"/>
        </w:rPr>
        <w:t>Caligan Group</w:t>
      </w:r>
      <w:r>
        <w:rPr>
          <w:rFonts w:ascii="Times New Roman" w:cs="Times New Roman" w:eastAsia="Times New Roman" w:hAnsi="Times New Roman"/>
          <w:sz w:val="18"/>
          <w:szCs w:val="18"/>
          <w:color w:val="auto"/>
        </w:rPr>
        <w:t>”). Company and the Caligan Group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20" w:firstLine="436"/>
        <w:spacing w:after="0" w:line="257"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Director</w:t>
      </w:r>
      <w:r>
        <w:rPr>
          <w:rFonts w:ascii="Times New Roman" w:cs="Times New Roman" w:eastAsia="Times New Roman" w:hAnsi="Times New Roman"/>
          <w:sz w:val="18"/>
          <w:szCs w:val="18"/>
          <w:color w:val="auto"/>
        </w:rPr>
        <w:t>.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taken all action necessary to appoint Frank Witney (“</w:t>
      </w:r>
      <w:r>
        <w:rPr>
          <w:rFonts w:ascii="Times New Roman" w:cs="Times New Roman" w:eastAsia="Times New Roman" w:hAnsi="Times New Roman"/>
          <w:sz w:val="18"/>
          <w:szCs w:val="18"/>
          <w:b w:val="1"/>
          <w:bCs w:val="1"/>
          <w:color w:val="auto"/>
        </w:rPr>
        <w:t>Mr. Witney</w:t>
      </w:r>
      <w:r>
        <w:rPr>
          <w:rFonts w:ascii="Times New Roman" w:cs="Times New Roman" w:eastAsia="Times New Roman" w:hAnsi="Times New Roman"/>
          <w:sz w:val="18"/>
          <w:szCs w:val="18"/>
          <w:color w:val="auto"/>
        </w:rPr>
        <w: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III director with a term expiring at the Company’s 2022 Annual Meeting of Stockholders, with such appointment to be contingent on the closing of the Private Placement Issuance (as such term is defined in Company’s Definitive Proxy Statement filed with the Securities and Exchange Commission on February 24, 2022 (as amended, the “</w:t>
      </w:r>
      <w:r>
        <w:rPr>
          <w:rFonts w:ascii="Times New Roman" w:cs="Times New Roman" w:eastAsia="Times New Roman" w:hAnsi="Times New Roman"/>
          <w:sz w:val="18"/>
          <w:szCs w:val="18"/>
          <w:b w:val="1"/>
          <w:bCs w:val="1"/>
          <w:color w:val="auto"/>
        </w:rPr>
        <w:t>Definitive Proxy Statement</w:t>
      </w:r>
      <w:r>
        <w:rPr>
          <w:rFonts w:ascii="Times New Roman" w:cs="Times New Roman" w:eastAsia="Times New Roman" w:hAnsi="Times New Roman"/>
          <w:sz w:val="18"/>
          <w:szCs w:val="18"/>
          <w:color w:val="auto"/>
        </w:rPr>
        <w:t>”). At the 2022 Annual Meeting of Stockholders, Company agrees to recommend, support and solicit proxies for the election of Mr. Witney to stand for a three-year term in the same manner in which Company supports and solicits proxies for its other nominees up for election in connection with the 2022 Annual Meeting of Stockholders.</w:t>
      </w:r>
    </w:p>
    <w:p>
      <w:pPr>
        <w:spacing w:after="0" w:line="184"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Commitment of the Caligan Group</w:t>
      </w:r>
      <w:r>
        <w:rPr>
          <w:rFonts w:ascii="Times New Roman" w:cs="Times New Roman" w:eastAsia="Times New Roman" w:hAnsi="Times New Roman"/>
          <w:sz w:val="18"/>
          <w:szCs w:val="18"/>
          <w:color w:val="auto"/>
        </w:rPr>
        <w:t>. At the special meeting of Company’s stockholders to consider, among other things,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Issuance (including any adjournments, postponements or other delays thereof), the members of the Caligan Group will cause all applicable securities of Company that are beneficially owned by the members of the Caligan Group to be (a) present for quorum purposes; and (b) voted in the manner recommended by the Board on all proposals.</w:t>
      </w:r>
    </w:p>
    <w:p>
      <w:pPr>
        <w:spacing w:after="0" w:line="179" w:lineRule="exact"/>
        <w:rPr>
          <w:rFonts w:ascii="Times New Roman" w:cs="Times New Roman" w:eastAsia="Times New Roman" w:hAnsi="Times New Roman"/>
          <w:sz w:val="18"/>
          <w:szCs w:val="18"/>
          <w:color w:val="auto"/>
        </w:rPr>
      </w:pPr>
    </w:p>
    <w:p>
      <w:pPr>
        <w:ind w:left="4" w:right="180" w:firstLine="436"/>
        <w:spacing w:after="0" w:line="273" w:lineRule="auto"/>
        <w:tabs>
          <w:tab w:leader="none" w:pos="62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Non-Disclosure Agreement</w:t>
      </w:r>
      <w:r>
        <w:rPr>
          <w:rFonts w:ascii="Times New Roman" w:cs="Times New Roman" w:eastAsia="Times New Roman" w:hAnsi="Times New Roman"/>
          <w:sz w:val="17"/>
          <w:szCs w:val="17"/>
          <w:color w:val="auto"/>
        </w:rPr>
        <w:t>. With respect to the non-disclosure agreement, dated August 29, 2021, between Company and the Caligan Group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NDA</w:t>
      </w:r>
      <w:r>
        <w:rPr>
          <w:rFonts w:ascii="Times New Roman" w:cs="Times New Roman" w:eastAsia="Times New Roman" w:hAnsi="Times New Roman"/>
          <w:sz w:val="17"/>
          <w:szCs w:val="17"/>
          <w:color w:val="auto"/>
        </w:rPr>
        <w:t>”), Company and the Caligan Group agree as follows: effective as of and conditioned upon the filing with the U.S. Securities and Exchange Commission of a Current Report on Form 8-K or widely disseminated press release disclosing the consummation of the Private Placement Issuance,</w:t>
      </w:r>
    </w:p>
    <w:p>
      <w:pPr>
        <w:spacing w:after="0" w:line="1"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Material (as defined in the NDA) previously provided to the Caligan Group under the NDA shall no longer constitute “material</w:t>
      </w:r>
    </w:p>
    <w:p>
      <w:pPr>
        <w:spacing w:after="0" w:line="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non-public information” within the meaning of applicable securities laws; (b) the standstill obligations provided in Section 12 of the NDA shall terminate (to the extent not already terminated pursuant to the terms of the NDA) and the Parties agree that the Standstill Period shall be concluded; and (iii) no additional Evaluation Material will be provided to any Receiving Party (as defined in the NDA) under the NDA. Except as described</w:t>
      </w:r>
    </w:p>
    <w:p>
      <w:pPr>
        <w:sectPr>
          <w:pgSz w:w="11900" w:h="16838" w:orient="portrait"/>
          <w:cols w:equalWidth="0" w:num="1">
            <w:col w:w="11024"/>
          </w:cols>
          <w:pgMar w:left="436" w:top="117" w:right="439" w:bottom="1440" w:gutter="0" w:footer="0" w:header="0"/>
        </w:sectPr>
      </w:pPr>
    </w:p>
    <w:bookmarkStart w:id="5" w:name="page6"/>
    <w:bookmarkEnd w:id="5"/>
    <w:p>
      <w:pPr>
        <w:ind w:right="2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herein, all other rights and obligations under the NDA shall remain in full force and effect in accordance with their terms until August 29, 2022;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Receiving Party and its Representatives (each as defined in the NDA) obligations with respect to the Evaluation Materials,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the non-use, non-disclosure, confidentiality, and protection of such Evaluation Materials, shall continue and survive such termination.</w:t>
      </w:r>
    </w:p>
    <w:p>
      <w:pPr>
        <w:spacing w:after="0" w:line="156" w:lineRule="exact"/>
        <w:rPr>
          <w:sz w:val="20"/>
          <w:szCs w:val="20"/>
          <w:color w:val="auto"/>
        </w:rPr>
      </w:pPr>
    </w:p>
    <w:p>
      <w:pPr>
        <w:ind w:firstLine="436"/>
        <w:spacing w:after="0" w:line="25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of the Caligan Group</w:t>
      </w:r>
      <w:r>
        <w:rPr>
          <w:rFonts w:ascii="Times New Roman" w:cs="Times New Roman" w:eastAsia="Times New Roman" w:hAnsi="Times New Roman"/>
          <w:sz w:val="18"/>
          <w:szCs w:val="18"/>
          <w:color w:val="auto"/>
        </w:rPr>
        <w:t>. Each of the members of the Caligan Group, severally and not jointly, represents that (a) its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signatory set forth on the signature page to this Agreement has the power and authority to execute this Agreement and any other documents or agreements to be entered into in connection with this Agreement and to bind such Person; (b) this Agreement has been duly authorized, executed and delivered by it and is a valid and binding obligation of such member, enforceable against it in accordance with its terms, except as enforcement thereof may be limited by applicable bankruptcy, insolvency, reorganization, moratorium, fraudulent conveyance or similar laws generally affecting the rights of creditors and subject to general equity principles; (c) this Agreement does not and will not violate any law, any order of any court or other agency of government, its organizational documents or any provision of any agreement or other instrument to which it or any of its properties or assets is bound, or conflict with, result in a breach of or constitute (with due notice or lapse of time or both) a default under any such agreement or other instrument, or result in the creation or imposition of, or give rise to, any material lien, charge, restriction, claim, encumbrance or adverse penalty of any nature whatsoever; (d) as of the date of this Agreement, it has not, and no other member of the Caligan Group has, directly or indirectly, compensated or entered into any agreement, arrangement or understanding to compensate any person for his or her service as a director of Company with any cash, securities (including any rights or options convertible into or exercisable for or exchangeable into securities or any profit sharing agreement or arrangement) or other form of compensation directly or indirectly related to Company or its securities; and (e) as of the date of this Agreement, the Caligan Group (i) is the beneficial owner of an aggregate of 8,380,265 shares of Company’s common stock; (ii) has voting authority over such shares; and (iii) owns no other equity or equity-related interest in Company.</w:t>
      </w:r>
    </w:p>
    <w:p>
      <w:pPr>
        <w:spacing w:after="0" w:line="195" w:lineRule="exact"/>
        <w:rPr>
          <w:rFonts w:ascii="Times New Roman" w:cs="Times New Roman" w:eastAsia="Times New Roman" w:hAnsi="Times New Roman"/>
          <w:sz w:val="18"/>
          <w:szCs w:val="18"/>
          <w:color w:val="auto"/>
        </w:rPr>
      </w:pPr>
    </w:p>
    <w:p>
      <w:pPr>
        <w:ind w:right="80" w:firstLine="436"/>
        <w:spacing w:after="0" w:line="254"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of Company</w:t>
      </w:r>
      <w:r>
        <w:rPr>
          <w:rFonts w:ascii="Times New Roman" w:cs="Times New Roman" w:eastAsia="Times New Roman" w:hAnsi="Times New Roman"/>
          <w:sz w:val="18"/>
          <w:szCs w:val="18"/>
          <w:color w:val="auto"/>
        </w:rPr>
        <w:t>. Company represents that this Agreement (a) has been duly authorized, executed and delivered by it and is a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binding obligation of Company, enforceable against Company in accordance with its terms, except as enforcement thereof may be limited by applicable bankruptcy, insolvency, reorganization, moratorium, fraudulent conveyance or similar laws generally affecting the rights of creditors and subject to general equity principles; (b) does not require the approval of the stockholders of Company; and (c) except as otherwise waived or approved, does not and will not violate any law, any order of any court or other agency of government, Company’s certificate of incorporation or bylaws, each as amended from time to time, or any provision of any agreement or other instrument to which Company or any of its properties or assets is bound, or conflict with, result in a breach of or constitute (with due notice or lapse of time or both) a default under any such agreement or other instrument, or result in the creation or imposition of, or give rise to, any material lien, charge, restriction, claim, encumbrance or adverse penalty of any nature whatsoever.</w:t>
      </w:r>
    </w:p>
    <w:p>
      <w:pPr>
        <w:sectPr>
          <w:pgSz w:w="11900" w:h="16838" w:orient="portrait"/>
          <w:cols w:equalWidth="0" w:num="1">
            <w:col w:w="11000"/>
          </w:cols>
          <w:pgMar w:left="440" w:top="270" w:right="459" w:bottom="1440" w:gutter="0" w:footer="0" w:header="0"/>
        </w:sectPr>
      </w:pPr>
    </w:p>
    <w:bookmarkStart w:id="6" w:name="page7"/>
    <w:bookmarkEnd w:id="6"/>
    <w:p>
      <w:pPr>
        <w:ind w:left="-436" w:firstLine="436"/>
        <w:spacing w:after="0" w:line="257"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Performance</w:t>
      </w:r>
      <w:r>
        <w:rPr>
          <w:rFonts w:ascii="Times New Roman" w:cs="Times New Roman" w:eastAsia="Times New Roman" w:hAnsi="Times New Roman"/>
          <w:sz w:val="18"/>
          <w:szCs w:val="18"/>
          <w:color w:val="auto"/>
        </w:rPr>
        <w:t>. Each Party acknowledges and agrees that money damages would not be a sufficient remedy for any breach (or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of this Agreement by it and that, in the event of any breach or threatened breach of this Agreement, (a) the Party seeking specific performance will be entitled to injunctive and other equitable relief, without proof of actual damages; (b) the Party against whom specific performance is sought will not plead in defense that there would be an adequate remedy at law; and (c) the Party against whom specific performance is sought agrees to waive any applicable right or requirement that a bond be posted. Such remedies will not be the exclusive remedies for a breach of this Agreement and will be in addition to all other remedies available at law or in equity.</w:t>
      </w:r>
    </w:p>
    <w:p>
      <w:pPr>
        <w:spacing w:after="0" w:line="180" w:lineRule="exact"/>
        <w:rPr>
          <w:rFonts w:ascii="Times New Roman" w:cs="Times New Roman" w:eastAsia="Times New Roman" w:hAnsi="Times New Roman"/>
          <w:sz w:val="18"/>
          <w:szCs w:val="18"/>
          <w:color w:val="auto"/>
        </w:rPr>
      </w:pPr>
    </w:p>
    <w:p>
      <w:pPr>
        <w:ind w:left="-436" w:right="60" w:firstLine="436"/>
        <w:spacing w:after="0" w:line="259"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Press Release</w:t>
      </w:r>
      <w:r>
        <w:rPr>
          <w:rFonts w:ascii="Times New Roman" w:cs="Times New Roman" w:eastAsia="Times New Roman" w:hAnsi="Times New Roman"/>
          <w:sz w:val="18"/>
          <w:szCs w:val="18"/>
          <w:color w:val="auto"/>
        </w:rPr>
        <w:t>. Promptly following the execution of this Agreement, Company shall issue a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announcing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substantially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issuance of the Press Release, neither Company nor Caligan shall issue any press release or public announcement regarding this Agreement or take any action that would require public disclosure thereof without the prior written consent of the other Party. None of the Parties shall make any public statement (including in any filing required under the Exchange Act) concerning the subject matter of this Agreement inconsistent with the Press Release.</w:t>
      </w:r>
    </w:p>
    <w:p>
      <w:pPr>
        <w:spacing w:after="0" w:line="181" w:lineRule="exact"/>
        <w:rPr>
          <w:rFonts w:ascii="Times New Roman" w:cs="Times New Roman" w:eastAsia="Times New Roman" w:hAnsi="Times New Roman"/>
          <w:sz w:val="18"/>
          <w:szCs w:val="18"/>
          <w:color w:val="auto"/>
        </w:rPr>
      </w:pPr>
    </w:p>
    <w:p>
      <w:pPr>
        <w:jc w:val="both"/>
        <w:ind w:left="-436" w:right="380" w:firstLine="436"/>
        <w:spacing w:after="0" w:line="267"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Notwithstanding anything contained herein, in the event that stockholder approval is not received for the Charter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and the Private Placement Issuance Proposal (each as defined in the Definitive Proxy Statement) at the special meeting of stockholders on April 1, 2022, this Agreement will terminate and be null and void and of no further force and effect.</w:t>
      </w:r>
    </w:p>
    <w:p>
      <w:pPr>
        <w:spacing w:after="0" w:line="173" w:lineRule="exact"/>
        <w:rPr>
          <w:rFonts w:ascii="Times New Roman" w:cs="Times New Roman" w:eastAsia="Times New Roman" w:hAnsi="Times New Roman"/>
          <w:sz w:val="18"/>
          <w:szCs w:val="18"/>
          <w:color w:val="auto"/>
        </w:rPr>
      </w:pPr>
    </w:p>
    <w:p>
      <w:pPr>
        <w:ind w:left="-436" w:right="60" w:firstLine="436"/>
        <w:spacing w:after="0" w:line="254"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 Binding Nature; Assignment; Waiver</w:t>
      </w:r>
      <w:r>
        <w:rPr>
          <w:rFonts w:ascii="Times New Roman" w:cs="Times New Roman" w:eastAsia="Times New Roman" w:hAnsi="Times New Roman"/>
          <w:sz w:val="18"/>
          <w:szCs w:val="18"/>
          <w:color w:val="auto"/>
        </w:rPr>
        <w:t>. This Agreement constitutes the only agreement between the Parties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matter of this Agreement and it supersedes all prior agreements, understandings, negotiations and discussions, whether oral or written. This Agreement binds, and will inure to the benefit of, the Parties and their respective successors and permitted assigns. No Party may assign or otherwise transfer either this Agreement or any of its rights, interests, or obligations under this Agreement without the prior written approval of the other Party. Any purported transfer requiring consent without such consent is void. No amendment, modification, supplement or waiver of any provision of this Agreement will be effective unless it is in writing and signed by the affected Party, and then only in the specific instance and for the specific purpose stated in such writing. Any waiver by any Party of a breach of any provision of this Agreement will not operate as or be construed to be a waiver of any other breach of such provision or of any breach of any other provision of this Agreement. The failure of a Party to insist upon strict adherence to any term of this Agreement on one or more occasions will not be considered a waiver or deprive that Party of the right to insist upon strict adherence to that term or any other term of this Agreement in the future.</w:t>
      </w:r>
    </w:p>
    <w:p>
      <w:pPr>
        <w:spacing w:after="0" w:line="185" w:lineRule="exact"/>
        <w:rPr>
          <w:rFonts w:ascii="Times New Roman" w:cs="Times New Roman" w:eastAsia="Times New Roman" w:hAnsi="Times New Roman"/>
          <w:sz w:val="18"/>
          <w:szCs w:val="18"/>
          <w:color w:val="auto"/>
        </w:rPr>
      </w:pPr>
    </w:p>
    <w:p>
      <w:pPr>
        <w:ind w:left="-436" w:right="20" w:firstLine="436"/>
        <w:spacing w:after="0" w:line="277" w:lineRule="auto"/>
        <w:tabs>
          <w:tab w:leader="none" w:pos="27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If any provision of this Agreement is held invalid or unenforceable by any court of competent jurisdiction, then the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provisions of this Agreement will remain in full force and effect. Any provision of this Agreement that is held invalid or unenforceable only in part or degree will remain in full force and effect to the extent not held invalid or unenforceable, and this Agreement will otherwise be construed so as to effectuate the original intention of the Parties reflected in this Agreement. The Parties further agree to replace such invalid or unenforceable provision of this Agreement with a valid and enforceable provision that will achieve, to the extent possible, the purposes of such invalid or unenforceable provision.</w:t>
      </w:r>
    </w:p>
    <w:p>
      <w:pPr>
        <w:sectPr>
          <w:pgSz w:w="11900" w:h="16838" w:orient="portrait"/>
          <w:cols w:equalWidth="0" w:num="1">
            <w:col w:w="10564"/>
          </w:cols>
          <w:pgMar w:left="876" w:top="268" w:right="459" w:bottom="1440" w:gutter="0" w:footer="0" w:header="0"/>
        </w:sectPr>
      </w:pPr>
    </w:p>
    <w:bookmarkStart w:id="7" w:name="page8"/>
    <w:bookmarkEnd w:id="7"/>
    <w:p>
      <w:pPr>
        <w:ind w:left="4" w:firstLine="436"/>
        <w:spacing w:after="0" w:line="255" w:lineRule="auto"/>
        <w:tabs>
          <w:tab w:leader="none" w:pos="7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Forum</w:t>
      </w:r>
      <w:r>
        <w:rPr>
          <w:rFonts w:ascii="Times New Roman" w:cs="Times New Roman" w:eastAsia="Times New Roman" w:hAnsi="Times New Roman"/>
          <w:sz w:val="18"/>
          <w:szCs w:val="18"/>
          <w:color w:val="auto"/>
        </w:rPr>
        <w:t>. This Agreement is governed by and will be construed in accordance with the laws of the State of Delaware.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Parties (a) irrevocably and unconditionally consents to the exclusive personal jurisdiction and venue of the Court of Chancery of the State of Delaware and any appellate court thereof (unless the federal courts have exclusive jurisdiction over the matter, in which case the United States District Court for the District of Delaware and any appellate court thereof will have exclusive personal jurisdiction); (b) agrees that it will not attempt to deny or defeat such personal jurisdiction by motion or other request for leave from any such court; (c) agrees that it will not bring any action relating to this Agreement or otherwise in any court other than the such courts; and (d) waives any claim of improper venue or any claim that those courts are an inconvenient forum. The Parties agree that mailing of process or other papers in connection with any such action or proceeding in the manner provided in paragraph 14 or in such other manner as may be permitted by applicable law, will be valid and sufficient service thereof.</w:t>
      </w:r>
    </w:p>
    <w:p>
      <w:pPr>
        <w:spacing w:after="0" w:line="184"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7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AFTER CONSULTING OR HAVING HAD THE OPPORTUNITY TO CONSULT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KNOWINGLY, VOLUNTARILY AND INTENTIONALLY WAIVES ANY RIGHT THAT SUCH PARTY MAY HAVE TO A TRIAL BY JURY IN ANY LITIGATION BASED UPON OR ARISING OUT OF THIS AGREEMENT OR ANY COURSE OF CONDUCT, DEALING, STATEMENTS (WHETHER ORAL OR WRITTEN), OR ACTIONS OF ANY OF THEM. No Party will seek to consolidate, by counterclaim or otherwise, any action in which a jury trial has been waived with any other action in which a jury trial cannot be or has not been waived.</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Party Beneficiaries</w:t>
      </w:r>
      <w:r>
        <w:rPr>
          <w:rFonts w:ascii="Times New Roman" w:cs="Times New Roman" w:eastAsia="Times New Roman" w:hAnsi="Times New Roman"/>
          <w:sz w:val="18"/>
          <w:szCs w:val="18"/>
          <w:color w:val="auto"/>
        </w:rPr>
        <w:t>. This Agreement is solely for the benefit of the Parties and is not enforceable by any other Person.</w:t>
      </w:r>
    </w:p>
    <w:p>
      <w:pPr>
        <w:spacing w:after="0" w:line="225" w:lineRule="exact"/>
        <w:rPr>
          <w:rFonts w:ascii="Times New Roman" w:cs="Times New Roman" w:eastAsia="Times New Roman" w:hAnsi="Times New Roman"/>
          <w:sz w:val="18"/>
          <w:szCs w:val="18"/>
          <w:color w:val="auto"/>
        </w:rPr>
      </w:pPr>
    </w:p>
    <w:p>
      <w:pPr>
        <w:ind w:left="4" w:right="20" w:firstLine="436"/>
        <w:spacing w:after="0" w:line="273" w:lineRule="auto"/>
        <w:tabs>
          <w:tab w:leader="none" w:pos="71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All notices and other communications under this Agreement must be in writing and will be deemed to have been duly delivered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received (a) four Business Days after being sent by registered or certified mail, return receipt requested, postage prepaid; (b) one Business Day after being sent for next Business Day delivery, fees prepaid, via a reputable nationwide overnight courier service; (c) immediately upon delivery by hand; or</w:t>
      </w:r>
    </w:p>
    <w:p>
      <w:pPr>
        <w:spacing w:after="0" w:line="1" w:lineRule="exact"/>
        <w:rPr>
          <w:rFonts w:ascii="Times New Roman" w:cs="Times New Roman" w:eastAsia="Times New Roman" w:hAnsi="Times New Roman"/>
          <w:sz w:val="17"/>
          <w:szCs w:val="17"/>
          <w:color w:val="auto"/>
        </w:rPr>
      </w:pPr>
    </w:p>
    <w:p>
      <w:pPr>
        <w:ind w:left="4" w:right="120" w:hanging="4"/>
        <w:spacing w:after="0" w:line="253"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sent by email (except that notice given by email will not be effective unless either (i) a duplicate copy of such email notice is promptly given by one of the other methods described in this paragraph 14 or (ii) the receiving Party delivers a written confirmation of receipt of such notice either by email or any other method described in this paragraph 14 (excluding “out of office” or other automated replies)). The addresses for such communications are as follows. At any time, any Party may, by notice given to the other Parties in accordance with this paragraph 14, provide updated information for notices pursuant to this Agreement.</w:t>
      </w:r>
    </w:p>
    <w:p>
      <w:pPr>
        <w:sectPr>
          <w:pgSz w:w="11900" w:h="16838" w:orient="portrait"/>
          <w:cols w:equalWidth="0" w:num="1">
            <w:col w:w="10964"/>
          </w:cols>
          <w:pgMar w:left="436" w:top="268" w:right="499" w:bottom="1440" w:gutter="0" w:footer="0" w:header="0"/>
        </w:sectPr>
      </w:pPr>
    </w:p>
    <w:bookmarkStart w:id="8" w:name="page9"/>
    <w:bookmarkEnd w:id="8"/>
    <w:p>
      <w:pPr>
        <w:ind w:left="9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Company:</w:t>
      </w:r>
    </w:p>
    <w:p>
      <w:pPr>
        <w:spacing w:after="0" w:line="22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Attention: Nicholas S. Khadder</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Attention: Robert F. Kornegay</w:t>
      </w:r>
    </w:p>
    <w:p>
      <w:pPr>
        <w:spacing w:after="0" w:line="9" w:lineRule="exact"/>
        <w:rPr>
          <w:sz w:val="20"/>
          <w:szCs w:val="20"/>
          <w:color w:val="auto"/>
        </w:rPr>
      </w:pPr>
    </w:p>
    <w:p>
      <w:pPr>
        <w:ind w:left="2184"/>
        <w:spacing w:after="0"/>
        <w:rPr>
          <w:sz w:val="20"/>
          <w:szCs w:val="20"/>
          <w:color w:val="auto"/>
        </w:rPr>
      </w:pPr>
      <w:r>
        <w:rPr>
          <w:rFonts w:ascii="Times New Roman" w:cs="Times New Roman" w:eastAsia="Times New Roman" w:hAnsi="Times New Roman"/>
          <w:sz w:val="18"/>
          <w:szCs w:val="18"/>
          <w:color w:val="auto"/>
        </w:rPr>
        <w:t>Zachary Myers</w:t>
      </w:r>
    </w:p>
    <w:p>
      <w:pPr>
        <w:spacing w:after="0" w:line="9" w:lineRule="exact"/>
        <w:rPr>
          <w:sz w:val="20"/>
          <w:szCs w:val="20"/>
          <w:color w:val="auto"/>
        </w:rPr>
      </w:pPr>
    </w:p>
    <w:p>
      <w:pPr>
        <w:ind w:left="2184"/>
        <w:spacing w:after="0"/>
        <w:rPr>
          <w:sz w:val="20"/>
          <w:szCs w:val="20"/>
          <w:color w:val="auto"/>
        </w:rPr>
      </w:pPr>
      <w:r>
        <w:rPr>
          <w:rFonts w:ascii="Times New Roman" w:cs="Times New Roman" w:eastAsia="Times New Roman" w:hAnsi="Times New Roman"/>
          <w:sz w:val="18"/>
          <w:szCs w:val="18"/>
          <w:color w:val="auto"/>
        </w:rPr>
        <w:t>Douglas K. Schnell</w:t>
      </w:r>
    </w:p>
    <w:p>
      <w:pPr>
        <w:spacing w:after="0" w:line="9" w:lineRule="exact"/>
        <w:rPr>
          <w:sz w:val="20"/>
          <w:szCs w:val="20"/>
          <w:color w:val="auto"/>
        </w:rPr>
      </w:pPr>
    </w:p>
    <w:p>
      <w:pPr>
        <w:ind w:left="1384"/>
        <w:spacing w:after="0"/>
        <w:tabs>
          <w:tab w:leader="none" w:pos="2203"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rkornegay@wsgr.com</w:t>
      </w:r>
    </w:p>
    <w:p>
      <w:pPr>
        <w:spacing w:after="0" w:line="9" w:lineRule="exact"/>
        <w:rPr>
          <w:sz w:val="20"/>
          <w:szCs w:val="20"/>
          <w:color w:val="auto"/>
        </w:rPr>
      </w:pPr>
    </w:p>
    <w:p>
      <w:pPr>
        <w:ind w:left="2284"/>
        <w:spacing w:after="0"/>
        <w:rPr>
          <w:sz w:val="20"/>
          <w:szCs w:val="20"/>
          <w:color w:val="auto"/>
        </w:rPr>
      </w:pPr>
      <w:r>
        <w:rPr>
          <w:rFonts w:ascii="Times New Roman" w:cs="Times New Roman" w:eastAsia="Times New Roman" w:hAnsi="Times New Roman"/>
          <w:sz w:val="18"/>
          <w:szCs w:val="18"/>
          <w:color w:val="auto"/>
        </w:rPr>
        <w:t>zmyers@wsgr.com</w:t>
      </w:r>
    </w:p>
    <w:p>
      <w:pPr>
        <w:spacing w:after="0" w:line="9" w:lineRule="exact"/>
        <w:rPr>
          <w:sz w:val="20"/>
          <w:szCs w:val="20"/>
          <w:color w:val="auto"/>
        </w:rPr>
      </w:pPr>
    </w:p>
    <w:p>
      <w:pPr>
        <w:ind w:left="2284"/>
        <w:spacing w:after="0"/>
        <w:rPr>
          <w:sz w:val="20"/>
          <w:szCs w:val="20"/>
          <w:color w:val="auto"/>
        </w:rPr>
      </w:pPr>
      <w:r>
        <w:rPr>
          <w:rFonts w:ascii="Times New Roman" w:cs="Times New Roman" w:eastAsia="Times New Roman" w:hAnsi="Times New Roman"/>
          <w:sz w:val="18"/>
          <w:szCs w:val="18"/>
          <w:color w:val="auto"/>
        </w:rPr>
        <w:t>dschnell@wsgr.com</w:t>
      </w:r>
    </w:p>
    <w:p>
      <w:pPr>
        <w:spacing w:after="0" w:line="20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If to the Caligan Group:</w:t>
      </w:r>
    </w:p>
    <w:p>
      <w:pPr>
        <w:spacing w:after="0" w:line="22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Caligan Partners LP</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ind w:left="-436" w:right="20" w:firstLine="436"/>
        <w:spacing w:after="0" w:line="256" w:lineRule="auto"/>
        <w:tabs>
          <w:tab w:leader="none" w:pos="2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by Counsel</w:t>
      </w:r>
      <w:r>
        <w:rPr>
          <w:rFonts w:ascii="Times New Roman" w:cs="Times New Roman" w:eastAsia="Times New Roman" w:hAnsi="Times New Roman"/>
          <w:sz w:val="18"/>
          <w:szCs w:val="18"/>
          <w:color w:val="auto"/>
        </w:rPr>
        <w:t>. Each of the Parties acknowledges that it has been represented by counsel of its choice throughout all negotiations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have preceded the execution of this Agreement, and that it has executed this Agreement with the advice of such counsel. Each Party and its counsel cooperated and participated in the drafting and preparation of this Agreement, and any and all drafts of this Agreement exchanged among the Parties will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expressly waived by each of the Parties, and any controversy over interpretations of this Agreement will be decided without regard to events of drafting or preparation.</w:t>
      </w:r>
    </w:p>
    <w:p>
      <w:pPr>
        <w:spacing w:after="0" w:line="182" w:lineRule="exact"/>
        <w:rPr>
          <w:rFonts w:ascii="Times New Roman" w:cs="Times New Roman" w:eastAsia="Times New Roman" w:hAnsi="Times New Roman"/>
          <w:sz w:val="18"/>
          <w:szCs w:val="18"/>
          <w:color w:val="auto"/>
        </w:rPr>
      </w:pPr>
    </w:p>
    <w:p>
      <w:pPr>
        <w:jc w:val="both"/>
        <w:ind w:left="-436" w:firstLine="436"/>
        <w:spacing w:after="0" w:line="261" w:lineRule="auto"/>
        <w:tabs>
          <w:tab w:leader="none" w:pos="2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and any amendments to this Agreement may be executed in one or more textually identical counterparts,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or by an electronic signature service (any such</w:t>
      </w:r>
    </w:p>
    <w:p>
      <w:pPr>
        <w:sectPr>
          <w:pgSz w:w="11900" w:h="16838" w:orient="portrait"/>
          <w:cols w:equalWidth="0" w:num="1">
            <w:col w:w="10504"/>
          </w:cols>
          <w:pgMar w:left="876" w:top="270" w:right="519" w:bottom="1440" w:gutter="0" w:footer="0" w:header="0"/>
        </w:sectPr>
      </w:pPr>
    </w:p>
    <w:bookmarkStart w:id="9" w:name="page10"/>
    <w:bookmarkEnd w:id="9"/>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that such defense relates to lack of authenticity.</w:t>
      </w:r>
    </w:p>
    <w:p>
      <w:pPr>
        <w:spacing w:after="0" w:line="181" w:lineRule="exact"/>
        <w:rPr>
          <w:sz w:val="20"/>
          <w:szCs w:val="20"/>
          <w:color w:val="auto"/>
        </w:rPr>
      </w:pPr>
    </w:p>
    <w:p>
      <w:pPr>
        <w:ind w:right="140" w:firstLine="436"/>
        <w:spacing w:after="0" w:line="284" w:lineRule="auto"/>
        <w:tabs>
          <w:tab w:leader="none" w:pos="7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set forth in this Agreement are for convenience of reference purposes only and will not affect or be deemed to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way the meaning or interpretation of this Agreement or any term or provision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0" w:name="page11"/>
    <w:bookmarkEnd w:id="10"/>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9" w:lineRule="exact"/>
        <w:rPr>
          <w:sz w:val="20"/>
          <w:szCs w:val="20"/>
          <w:color w:val="auto"/>
        </w:rPr>
      </w:pPr>
    </w:p>
    <w:p>
      <w:pPr>
        <w:ind w:left="6620"/>
        <w:spacing w:after="0"/>
        <w:tabs>
          <w:tab w:leader="none" w:pos="7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17145</wp:posOffset>
            </wp:positionV>
            <wp:extent cx="2400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Nicholas Khadder</w:t>
      </w:r>
    </w:p>
    <w:p>
      <w:pPr>
        <w:spacing w:after="0" w:line="27" w:lineRule="exact"/>
        <w:rPr>
          <w:sz w:val="20"/>
          <w:szCs w:val="20"/>
          <w:color w:val="auto"/>
        </w:rPr>
      </w:pPr>
    </w:p>
    <w:p>
      <w:pPr>
        <w:jc w:val="both"/>
        <w:ind w:left="724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Senior Vice President, General</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Counsel, and Secretary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JOHNSON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CALIGAN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Caligan Partners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CALIGAN PARTNERS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CALIGAN PARTNERS CV 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Caligan Partners CV V GP,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David Johnson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40"/>
          </w:cols>
          <w:pgMar w:left="440" w:top="270" w:right="14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(Press Release)</w:t>
      </w:r>
    </w:p>
    <w:p>
      <w:pPr>
        <w:sectPr>
          <w:pgSz w:w="11900" w:h="16838" w:orient="portrait"/>
          <w:cols w:equalWidth="0" w:num="1">
            <w:col w:w="9019"/>
          </w:cols>
          <w:pgMar w:left="1440" w:top="266"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Fluidigm Announces Support Agreement with Caligan Partners Related to $250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Capital Infusion by Casdin Capital and Viking Global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Caligan Partners to Vote “FOR” Casdin and Viking Transaction and All Other Fluidigm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Proposals at the Special Meeting to be Reconvened on April 1, 2022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Fluidigm Board to Appoint Frank Witney, a Director Candidate Recommended by Caligan, if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Casdin and Viking Transaction Closes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Urges ALL Stockholders to Vote “FOR” the Proposals at the Special Meeting</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SOUTH SAN FRANCISCO, Calif., March 29, 2022 — Fluidigm Corporation (Nasdaq:FLDM) today announced that it has entered into a support agreement with Caligan Partners LP (“Caligan”), Fluidigm’s current largest holder of common stock, under which Caligan has agreed to vote “FOR” all Fluidigm proposals related to the proposed strategic capital infusion transaction with Casdin Capital, LLC (“Casdin”) and Viking Global Investors LP (“Viking”) at Fluidigm’s Special Meeting of Stockholders (“Special Meeting”), which has been adjourned and will reconvene on April 1, 2022.</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support agreement, the Fluidigm Board of Directors will appoint Dr. Frank Witney, a veteran life sciences industry executive with deep operational expertise and a director candidate recommended by Caligan, as a director on Fluidigm’s Board, conditioned upon successful closing of the transaction. In connection with the appointment of Dr. Witney, the Fluidigm Board will be expanded to eight directors.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Dr. Carlos V. Paya, chairman of Fluidigm, said, “We are pleased to receive support from Caligan following our engagement over the last several months and to move forward toward the successful completion of the transaction with Casdin and Viking. The Board also looks forward to welcoming</w:t>
      </w:r>
    </w:p>
    <w:p>
      <w:pPr>
        <w:ind w:right="120"/>
        <w:spacing w:after="0" w:line="255" w:lineRule="auto"/>
        <w:rPr>
          <w:sz w:val="20"/>
          <w:szCs w:val="20"/>
          <w:color w:val="auto"/>
        </w:rPr>
      </w:pPr>
      <w:r>
        <w:rPr>
          <w:rFonts w:ascii="Times New Roman" w:cs="Times New Roman" w:eastAsia="Times New Roman" w:hAnsi="Times New Roman"/>
          <w:sz w:val="18"/>
          <w:szCs w:val="18"/>
          <w:color w:val="auto"/>
        </w:rPr>
        <w:t>Dr. Witney and working together upon closing the transaction to achieve the growth and value creation potential that this strategic capital infusion from Casdin and Viking will create. Our Board continues to believe this transaction is in the best interest of all Fluidigm stakeholders and unanimously recommends stockholders vote “FOR” ALL proposals.”</w:t>
      </w:r>
    </w:p>
    <w:p>
      <w:pPr>
        <w:spacing w:after="0" w:line="18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“Caligan is supportive of Fluidigm’s new path,” said David Johnson, Founder, Managing Partner, and CIO of Caligan. “Dr. Witney will be a tremendous addition to the Board with his proven track record of success leading life science tools companies. We look forward to Fluidigm achieving the untapped potential of its mass cytometry and microfluidics technologies.”</w:t>
      </w:r>
    </w:p>
    <w:p>
      <w:pPr>
        <w:sectPr>
          <w:pgSz w:w="11900" w:h="16838" w:orient="portrait"/>
          <w:cols w:equalWidth="0" w:num="1">
            <w:col w:w="11020"/>
          </w:cols>
          <w:pgMar w:left="440" w:top="117" w:right="439" w:bottom="1440" w:gutter="0" w:footer="0" w:header="0"/>
        </w:sectPr>
      </w:pPr>
    </w:p>
    <w:bookmarkStart w:id="13" w:name="page14"/>
    <w:bookmarkEnd w:id="13"/>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Dr. Witney said, “Fluidigm is at an exciting inflection point with significant potential for growth. I look forward to joining Fluidigm’s Board upon completing the strategic capital infusion transaction and to leveraging my experience in the life sciences industry to help advance Fluidigm’s mission and drive value for stockholders.”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reminds all stockholders that the parties will terminate the purchase agreements with Casdin and Viking if Fluidigm stockholders do not approve the matters presented at the Special Meeting.</w:t>
      </w:r>
    </w:p>
    <w:p>
      <w:pPr>
        <w:spacing w:after="0" w:line="26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stockholders vote “FOR” all Proposals at the Special Meeting. Your vote is very important regardless of the number of shares of common stock that you own.</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Fluidigm will continue to solicit proxies from its stockholders with respect to the Special Meeting. Stockholders as of the record date of February 18, 2022, who have not yet voted are encouraged to submit their proxies as soon as possible. Valid proxies submitted by stockholders prior to the adjourned Special Meeting will continue to be valid for purposes of the reconvened Special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stockholders who need assistance in completing the proxy card, need additional copies of the proxy materials, or have questions regarding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 may contact Fluidigm’s proxy solicitor: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Alliance Advisors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200 Broadacres Drive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Bloomfield, NJ 07003</w:t>
      </w:r>
    </w:p>
    <w:p>
      <w:pPr>
        <w:spacing w:after="0" w:line="9" w:lineRule="exact"/>
        <w:rPr>
          <w:sz w:val="20"/>
          <w:szCs w:val="20"/>
          <w:color w:val="auto"/>
        </w:rPr>
      </w:pPr>
    </w:p>
    <w:p>
      <w:pPr>
        <w:ind w:left="5380" w:hanging="438"/>
        <w:spacing w:after="0"/>
        <w:tabs>
          <w:tab w:leader="none" w:pos="5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782-7142</w:t>
      </w:r>
    </w:p>
    <w:p>
      <w:pPr>
        <w:spacing w:after="0" w:line="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FLDM@allianceadvisors.com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 is serving as financial advisor to Fluidigm and Wilson Sonsini Goodrich &amp; Rosati, Professional Corporation is serving as legal advisor.</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Centerview Partners LLC is serving as financial advisor to Casdin and Viking. Legal advisors are Paul, Weiss, Rifkind, Wharton &amp; Garrison LLP serving Casdin and Kirkland &amp; Ellis LLP serving Viking.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Frank Witney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Frank Witney has served as an Operating Partner at Ampersand Capital Partners since 2016 and is also currently Chairman at Leinco Technologies, a Director at PerkinElmer, and an active Board Observer at GenDx. Previously, Witney served as CEO of Affymetrix, a leading provider of genomics and cell biology products sold for $1.3 billion, and CEO of Dionex, a leading provider of analytical instrumentation sold for $2.1 billion. Witney was also Chairman of Gyros Protein Technologies, a Director at Nexcelom Biosciences, and held senior executive positions at PerkinElmer, Packard Bioscience and Bio-Rad Laboratories. He holds a Ph.D. in molecular and cellular biology from Indiana University.</w:t>
      </w:r>
    </w:p>
    <w:p>
      <w:pPr>
        <w:sectPr>
          <w:pgSz w:w="11900" w:h="16838" w:orient="portrait"/>
          <w:cols w:equalWidth="0" w:num="1">
            <w:col w:w="10940"/>
          </w:cols>
          <w:pgMar w:left="440" w:top="270"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Fluidigm</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Fluidigm (Nasdaq:FLDM) focuses on the most pressing needs in translational and clinical research, including cancer, immunology, and immunotherapy. Using proprietary CyTOF</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Fluidigm, the Fluidigm logo and CyTOF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among others, statements regarding: Fluidigm’s expectation regarding the transaction described in this communication (“the Transaction”); Fluidigm’s beliefs that the Transaction will maximize the value of and build on its existing product portfolio; expectations regarding the need for additional capital; expectations regarding the impact on customers, suppliers and employees as well as Fluidigm’s operating results; and other expectations regarding the Transaction. Forward-looking statements are subject</w:t>
      </w:r>
    </w:p>
    <w:p>
      <w:pPr>
        <w:sectPr>
          <w:pgSz w:w="11900" w:h="16838" w:orient="portrait"/>
          <w:cols w:equalWidth="0" w:num="1">
            <w:col w:w="11000"/>
          </w:cols>
          <w:pgMar w:left="440" w:top="266" w:right="459" w:bottom="1440" w:gutter="0" w:footer="0" w:header="0"/>
        </w:sectPr>
      </w:pPr>
    </w:p>
    <w:bookmarkStart w:id="15" w:name="page16"/>
    <w:bookmarkEnd w:id="1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Fluidigm’s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2021,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Spearman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650 243 6621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mark.spearman@fluidigm.com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DeNardo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415 389 6400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ir@fluidigm.com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lowerLetter"/>
      <w:start w:val="1"/>
    </w:lvl>
    <w:lvl w:ilvl="1">
      <w:lvlJc w:val="left"/>
      <w:lvlText w:val="%2."/>
      <w:numFmt w:val="decimal"/>
      <w:start w:val="1"/>
    </w:lvl>
  </w:abstractNum>
  <w:abstractNum w:abstractNumId="3">
    <w:nsid w:val="79E2A9E3"/>
    <w:multiLevelType w:val="hybridMultilevel"/>
    <w:lvl w:ilvl="0">
      <w:lvlJc w:val="left"/>
      <w:lvlText w:val="(%1)"/>
      <w:numFmt w:val="lowerLetter"/>
      <w:start w:val="1"/>
    </w:lvl>
    <w:lvl w:ilvl="1">
      <w:lvlJc w:val="left"/>
      <w:lvlText w:val="%2"/>
      <w:numFmt w:val="decimal"/>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lowerLetter"/>
      <w:start w:val="1"/>
    </w:lvl>
    <w:lvl w:ilvl="1">
      <w:lvlJc w:val="left"/>
      <w:lvlText w:val="%2."/>
      <w:numFmt w:val="decimal"/>
      <w:start w:val="11"/>
    </w:lvl>
  </w:abstractNum>
  <w:abstractNum w:abstractNumId="7">
    <w:nsid w:val="12200854"/>
    <w:multiLevelType w:val="hybridMultilevel"/>
    <w:lvl w:ilvl="0">
      <w:lvlJc w:val="left"/>
      <w:lvlText w:val="(%1)"/>
      <w:numFmt w:val="lowerLetter"/>
      <w:start w:val="4"/>
    </w:lvl>
    <w:lvl w:ilvl="1">
      <w:lvlJc w:val="left"/>
      <w:lvlText w:val="%2"/>
      <w:numFmt w:val="decimal"/>
      <w:start w:val="1"/>
    </w:lvl>
  </w:abstractNum>
  <w:abstractNum w:abstractNumId="8">
    <w:nsid w:val="4DB127F8"/>
    <w:multiLevelType w:val="hybridMultilevel"/>
    <w:lvl w:ilvl="0">
      <w:lvlJc w:val="left"/>
      <w:lvlText w:val="%1."/>
      <w:numFmt w:val="decimal"/>
      <w:start w:val="15"/>
    </w:lvl>
  </w:abstractNum>
  <w:abstractNum w:abstractNumId="9">
    <w:nsid w:val="216231B"/>
    <w:multiLevelType w:val="hybridMultilevel"/>
    <w:lvl w:ilvl="0">
      <w:lvlJc w:val="left"/>
      <w:lvlText w:val="%1."/>
      <w:numFmt w:val="decimal"/>
      <w:start w:val="17"/>
    </w:lvl>
  </w:abstractNum>
  <w:abstractNum w:abstractNumId="10">
    <w:nsid w:val="1F16E9E8"/>
    <w:multiLevelType w:val="hybridMultilevel"/>
    <w:lvl w:ilvl="0">
      <w:lvlJc w:val="left"/>
      <w:lvlText w:val="(%1)"/>
      <w:numFmt w:val="decimal"/>
      <w:start w:val="8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2022-03-29T08:37:26Z</dcterms:created>
  <dcterms:modified xsi:type="dcterms:W3CDTF">2022-03-29T08:37:26Z</dcterms:modified>
</cp:coreProperties>
</file>