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6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03/04/2024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250,000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11,496,525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7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03/05/2024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1,403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11,497,928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7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103,556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7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(3)</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700" w:type="dxa"/>
            <w:vAlign w:val="bottom"/>
            <w:vMerge w:val="restart"/>
          </w:tcPr>
          <w:p>
            <w:pPr>
              <w:jc w:val="center"/>
              <w:ind w:right="276"/>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footnoe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1,200,000</w:t>
            </w:r>
          </w:p>
        </w:tc>
        <w:tc>
          <w:tcPr>
            <w:tcW w:w="260" w:type="dxa"/>
            <w:vAlign w:val="bottom"/>
          </w:tcPr>
          <w:p>
            <w:pPr>
              <w:spacing w:after="0"/>
              <w:rPr>
                <w:sz w:val="21"/>
                <w:szCs w:val="21"/>
                <w:color w:val="auto"/>
              </w:rPr>
            </w:pPr>
          </w:p>
        </w:tc>
        <w:tc>
          <w:tcPr>
            <w:tcW w:w="700" w:type="dxa"/>
            <w:vAlign w:val="bottom"/>
            <w:vMerge w:val="restart"/>
          </w:tcPr>
          <w:p>
            <w:pPr>
              <w:jc w:val="center"/>
              <w:ind w:right="276"/>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footnoe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7,548,000</w:t>
            </w:r>
          </w:p>
        </w:tc>
        <w:tc>
          <w:tcPr>
            <w:tcW w:w="260" w:type="dxa"/>
            <w:vAlign w:val="bottom"/>
          </w:tcPr>
          <w:p>
            <w:pPr>
              <w:spacing w:after="0"/>
              <w:rPr>
                <w:sz w:val="21"/>
                <w:szCs w:val="21"/>
                <w:color w:val="auto"/>
              </w:rPr>
            </w:pPr>
          </w:p>
        </w:tc>
        <w:tc>
          <w:tcPr>
            <w:tcW w:w="700" w:type="dxa"/>
            <w:vAlign w:val="bottom"/>
            <w:vMerge w:val="restart"/>
          </w:tcPr>
          <w:p>
            <w:pPr>
              <w:jc w:val="center"/>
              <w:ind w:right="276"/>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17"/>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2"/>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276"/>
              <w:spacing w:after="0"/>
              <w:rPr>
                <w:sz w:val="20"/>
                <w:szCs w:val="20"/>
                <w:color w:val="auto"/>
              </w:rPr>
            </w:pPr>
            <w:r>
              <w:rPr>
                <w:rFonts w:ascii="Arial" w:cs="Arial" w:eastAsia="Arial" w:hAnsi="Arial"/>
                <w:sz w:val="12"/>
                <w:szCs w:val="12"/>
                <w:b w:val="1"/>
                <w:bCs w:val="1"/>
                <w:color w:val="auto"/>
                <w:w w:val="95"/>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60" w:type="dxa"/>
            <w:vAlign w:val="bottom"/>
            <w:tcBorders>
              <w:right w:val="single" w:sz="8" w:color="2C2C2C"/>
            </w:tcBorders>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Partners Master Fund,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Capital,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-2344420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2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Casdin Partners FO1-MSV,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25" w:right="1440" w:bottom="0" w:gutter="0" w:footer="0" w:header="0"/>
        </w:sectPr>
      </w:pP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ectPr>
          <w:pgSz w:w="11900" w:h="16838" w:orient="portrait"/>
          <w:cols w:equalWidth="0" w:num="1">
            <w:col w:w="9979"/>
          </w:cols>
          <w:pgMar w:left="480" w:top="125"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73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Casdin Eli</w:t>
              </w:r>
            </w:hyperlink>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$2.5525 to $2.616.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II LLC ("CMLS Holdings II"). The Board of Managers of CMLS Holdings II includes Eli Casdin, who, as a member of the Board of Managers of CMLS Holdings II, shares voting and investment discretion with respect to the common stock held by CMLS Holdings II.</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125" w:right="4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9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33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2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1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60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Casdin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9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592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20" w:space="40"/>
            <w:col w:w="2160"/>
          </w:cols>
          <w:pgMar w:left="480" w:top="125" w:right="49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5" w:right="4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534261" TargetMode="External"/><Relationship Id="rId16" Type="http://schemas.openxmlformats.org/officeDocument/2006/relationships/hyperlink" Target="http://www.sec.gov/cgi-bin/browse-edgar?action=getcompany&amp;CIK=0001534260" TargetMode="External"/><Relationship Id="rId18"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919480" TargetMode="External"/><Relationship Id="rId20" Type="http://schemas.openxmlformats.org/officeDocument/2006/relationships/hyperlink" Target="http://www.sec.gov/cgi-bin/browse-edgar?action=getcompany&amp;CIK=0001938709"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4"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2024-03-06T18:28:20Z</dcterms:created>
  <dcterms:modified xsi:type="dcterms:W3CDTF">2024-03-06T18:28:20Z</dcterms:modified>
</cp:coreProperties>
</file>