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51104.htm"/>
      <w:bookmarkStart w:id="1" w:name="kslab20251104"/>
      <w:bookmarkEnd w:id="0"/>
      <w:bookmarkEnd w:id="1"/>
      <w:r>
        <w:rPr/>
        <w:t> </w:t>
      </w:r>
    </w:p>
    <w:p>
      <w:pPr>
        <w:pStyle w:val="TextBody"/>
        <w:bidi w:val="0"/>
        <w:jc w:val="center"/>
        <w:rPr>
          <w:rFonts w:ascii="Times New Roman" w:hAnsi="Times New Roman"/>
          <w:b/>
          <w:color w:val="000000"/>
          <w:sz w:val="28"/>
        </w:rPr>
      </w:pPr>
      <w:bookmarkStart w:id="2" w:name="section1"/>
      <w:bookmarkEnd w:id="2"/>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November 4, 2025</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2581"/>
        <w:gridCol w:w="2296"/>
        <w:gridCol w:w="3391"/>
      </w:tblGrid>
      <w:tr>
        <w:trPr/>
        <w:tc>
          <w:tcPr>
            <w:tcW w:w="25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26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 Tower Place, Suite 2000</w:t>
            </w:r>
          </w:p>
          <w:p>
            <w:pPr>
              <w:pStyle w:val="TableContents"/>
              <w:bidi w:val="0"/>
              <w:spacing w:before="0" w:after="283"/>
              <w:jc w:val="center"/>
              <w:rPr>
                <w:rFonts w:ascii="Times New Roman" w:hAnsi="Times New Roman"/>
                <w:sz w:val="20"/>
              </w:rPr>
            </w:pPr>
            <w:r>
              <w:rPr>
                <w:rFonts w:ascii="Times New Roman" w:hAnsi="Times New Roman"/>
                <w:b/>
                <w:color w:val="000000"/>
                <w:sz w:val="20"/>
              </w:rPr>
              <w:t>South San Francisco, California</w:t>
            </w:r>
            <w:r>
              <w:rPr>
                <w:rFonts w:ascii="Times New Roman" w:hAnsi="Times New Roman"/>
                <w:color w:val="000000"/>
                <w:sz w:val="20"/>
              </w:rPr>
              <w:t xml:space="preserve"> </w:t>
            </w:r>
            <w:r>
              <w:rPr>
                <w:rFonts w:ascii="Times New Roman" w:hAnsi="Times New Roman"/>
                <w:b/>
                <w:color w:val="000000"/>
                <w:sz w:val="20"/>
              </w:rPr>
              <w:t>94080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12b-2 of the Exchange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4, 2025, Standard BioTools Inc. issued a press release which included information with respect to certain financial results for the three and nine months ended September 30, 2025. The press release is attached hereto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the press release, except for the information set forth under the headings “Operational Restructuring,” “Full Year 2025 Revenue Outlook” and “About Standard BioTools Inc.,” together with the forward-looking statement disclaimer, is incorporated by reference into this Item 2.02 of this Current Report on Form 8-K.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the headings “Operational Restructuring,” “Full Year 2025 Revenue Outlook” and “About Standard BioTools Inc.,” together with the forward-looking statement disclaimer, is incorporated by reference into this Item 7.01 of this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49" w:type="dxa"/>
        <w:jc w:val="left"/>
        <w:tblInd w:w="0" w:type="dxa"/>
        <w:tblLayout w:type="fixed"/>
        <w:tblCellMar>
          <w:top w:w="28" w:type="dxa"/>
          <w:left w:w="28" w:type="dxa"/>
          <w:bottom w:w="28" w:type="dxa"/>
          <w:right w:w="28" w:type="dxa"/>
        </w:tblCellMar>
      </w:tblPr>
      <w:tblGrid>
        <w:gridCol w:w="1066"/>
        <w:gridCol w:w="164"/>
        <w:gridCol w:w="6619"/>
      </w:tblGrid>
      <w:tr>
        <w:trPr/>
        <w:tc>
          <w:tcPr>
            <w:tcW w:w="10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19"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99.1</w:t>
            </w:r>
          </w:p>
        </w:tc>
        <w:tc>
          <w:tcPr>
            <w:tcW w:w="164" w:type="dxa"/>
            <w:tcBorders/>
            <w:tcMar>
              <w:top w:w="0" w:type="dxa"/>
              <w:left w:w="0" w:type="dxa"/>
              <w:bottom w:w="0" w:type="dxa"/>
              <w:right w:w="0" w:type="dxa"/>
            </w:tcMar>
            <w:vAlign w:val="center"/>
          </w:tcPr>
          <w:p>
            <w:pPr>
              <w:pStyle w:val="TableContents"/>
              <w:bidi w:val="0"/>
              <w:spacing w:before="0" w:after="283"/>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99_1.htm">
              <w:r>
                <w:rPr>
                  <w:rStyle w:val="InternetLink"/>
                  <w:rFonts w:ascii="Times New Roman" w:hAnsi="Times New Roman"/>
                  <w:color w:val="0000FF"/>
                  <w:sz w:val="20"/>
                  <w:u w:val="single"/>
                </w:rPr>
                <w:t>Press release issued by Standard BioTools Inc., dated November 4, 2025</w:t>
              </w:r>
            </w:hyperlink>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104</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4764" w:type="dxa"/>
        <w:jc w:val="left"/>
        <w:tblInd w:w="0" w:type="dxa"/>
        <w:tblLayout w:type="fixed"/>
        <w:tblCellMar>
          <w:top w:w="28" w:type="dxa"/>
          <w:left w:w="28" w:type="dxa"/>
          <w:bottom w:w="28" w:type="dxa"/>
          <w:right w:w="28" w:type="dxa"/>
        </w:tblCellMar>
      </w:tblPr>
      <w:tblGrid>
        <w:gridCol w:w="181"/>
        <w:gridCol w:w="651"/>
        <w:gridCol w:w="166"/>
        <w:gridCol w:w="3766"/>
      </w:tblGrid>
      <w:tr>
        <w:trPr/>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November 4, 2025</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583"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bookmarkStart w:id="3" w:name="lab-ex99_1.htm"/>
      <w:bookmarkStart w:id="4" w:name="kslabex99_1"/>
      <w:bookmarkEnd w:id="3"/>
      <w:bookmarkEnd w:id="4"/>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10953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95375" cy="7810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7"/>
        </w:rPr>
      </w:pPr>
      <w:r>
        <w:rPr>
          <w:rFonts w:ascii="Times New Roman" w:hAnsi="Times New Roman"/>
          <w:b/>
          <w:color w:val="000000"/>
          <w:sz w:val="27"/>
        </w:rPr>
        <w:t>Standard BioTools Reports Third Quarter 2025 Financial Results</w:t>
      </w:r>
    </w:p>
    <w:p>
      <w:pPr>
        <w:pStyle w:val="TextBody"/>
        <w:bidi w:val="0"/>
        <w:jc w:val="center"/>
        <w:rPr/>
      </w:pPr>
      <w:r>
        <w:rPr/>
        <w:t> </w:t>
      </w:r>
    </w:p>
    <w:p>
      <w:pPr>
        <w:pStyle w:val="TextBody"/>
        <w:bidi w:val="0"/>
        <w:spacing w:before="0" w:after="200"/>
        <w:jc w:val="both"/>
        <w:rPr>
          <w:rFonts w:ascii="Times New Roman" w:hAnsi="Times New Roman"/>
          <w:sz w:val="20"/>
        </w:rPr>
      </w:pPr>
      <w:r>
        <w:rPr>
          <w:rFonts w:ascii="Times New Roman" w:hAnsi="Times New Roman"/>
          <w:color w:val="000000"/>
          <w:sz w:val="22"/>
        </w:rPr>
        <w:t>SOUTH SAN FRANCISCO, Calif., November 4, 2025 -- Standard BioTools Inc. (NASDAQ: LAB) (the “Company” or “Standard BioTools”) today announced financial results for the quarter ended September 30, 2025.</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Recent Highlights: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Third quarter 2025 total combined company revenue of $46.2 million; Revenue from continuing operations of $19.6 million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Implemented restructuring plan expected to deliver over $40 million in annualized cost savings; On track to achieve positive adjusted EBITDA target in 2026</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i/>
          <w:color w:val="000000"/>
          <w:sz w:val="22"/>
        </w:rPr>
      </w:pPr>
      <w:r>
        <w:rPr>
          <w:rFonts w:ascii="Times New Roman" w:hAnsi="Times New Roman"/>
          <w:i/>
          <w:color w:val="000000"/>
          <w:sz w:val="22"/>
        </w:rPr>
        <w:t xml:space="preserve">$217.0 million in cash &amp; cash equivalents as of September 30, 2025; Approximately $550 million in cash &amp; cash equivalents expected at close of transaction with Illumina in first half of 2026 to fuel inorganic growth strategy </w:t>
      </w:r>
    </w:p>
    <w:p>
      <w:pPr>
        <w:pStyle w:val="TextBody"/>
        <w:bidi w:val="0"/>
        <w:jc w:val="both"/>
        <w:rPr>
          <w:color w:val="000000"/>
        </w:rPr>
      </w:pPr>
      <w:r>
        <w:rPr>
          <w:color w:val="000000"/>
        </w:rPr>
        <w:t>“</w:t>
      </w:r>
      <w:r>
        <w:rPr>
          <w:rFonts w:ascii="Times New Roman" w:hAnsi="Times New Roman"/>
          <w:color w:val="000000"/>
          <w:sz w:val="22"/>
        </w:rPr>
        <w:t>The third quarter marked another period of solid execution as we sharpen our focus and position Standard BioTools for the next stage,” said Michael Egholm, PhD, President and Chief Executive Officer of Standard BioTools. “Our commercial team delivered consistent overall performance amid a still-evolving macro environment, and with cost savings initiatives beginning to take hold, we are simplifying operations, increasing productivity and driving the go-forward business toward profitability expected in 2026. Combined with a strong balance sheet at quarter end and the significant cash injection expected from the pending Illumina transaction, we are well positioned to expand our portfolio through strategic M&amp;A that we believe will fuel growth and deliver long-term value for our shareholders.”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Operational Restructuring</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In September, as previously disclosed in the Company’s SEC filings, the Company implemented a phased operational restructuring plan expected to deliver over $40 million in total annualized cost savings, to be fully realized in 2026. The plan included an aggregate reduction-in-force of approximately 20% of its global workforce as well as initiatives designed to increase operating efficiency, reduce costs, and align resources with the Company’s long-term strategic objectives. These actions reinforce the Company’s path to generating positive adjusted EBITDA expected in 2026.</w:t>
      </w:r>
    </w:p>
    <w:p>
      <w:pPr>
        <w:pStyle w:val="TextBody"/>
        <w:bidi w:val="0"/>
        <w:jc w:val="both"/>
        <w:rPr>
          <w:color w:val="000000"/>
        </w:rPr>
      </w:pPr>
      <w:r>
        <w:rPr>
          <w:color w:val="000000"/>
        </w:rPr>
        <w:t>“</w:t>
      </w:r>
      <w:r>
        <w:rPr>
          <w:rFonts w:ascii="Times New Roman" w:hAnsi="Times New Roman"/>
          <w:color w:val="000000"/>
          <w:sz w:val="22"/>
        </w:rPr>
        <w:t>Given the current operating environment, these decisions were important to keep our organization lean, focused and positioned to emerge stronger tomorrow than we are today,” said Alex Kim, Chief Financial Officer of Standard BioTools. “I want to sincerely thank our departing colleagues for their contributions as we take these steps to secure the long-term success of Standard BioTools – delivering innovative solutions to our customers as they advance science and improve human health.”</w:t>
      </w:r>
    </w:p>
    <w:p>
      <w:pPr>
        <w:pStyle w:val="TextBody"/>
        <w:bidi w:val="0"/>
        <w:jc w:val="both"/>
        <w:rPr>
          <w:rFonts w:ascii="Times New Roman" w:hAnsi="Times New Roman"/>
          <w:sz w:val="20"/>
        </w:rPr>
      </w:pPr>
      <w:r>
        <w:rPr>
          <w:rFonts w:ascii="Times New Roman" w:hAnsi="Times New Roman"/>
          <w:color w:val="000000"/>
          <w:sz w:val="22"/>
        </w:rPr>
        <w:t>The cost savings initiative, together with the continued application of the Standard BioTools Business System (SBS), is expected to generate efficiencies across sales and marketing, research and development, and general and administrative functions. As previously announced, Standard BioTools will consolidate its South San Francisco operations into its Singapore facility, co-locating research and development with manufacturing. As part of this transition, the Company also plans to establish its global headquarters in Boston.</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br/>
      </w:r>
      <w:r>
        <w:rPr>
          <w:rFonts w:ascii="Times New Roman" w:hAnsi="Times New Roman"/>
          <w:b/>
          <w:color w:val="000000"/>
          <w:sz w:val="22"/>
        </w:rPr>
        <w:t>Financial Results Table: Continuing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07"/>
        <w:gridCol w:w="282"/>
        <w:gridCol w:w="765"/>
        <w:gridCol w:w="362"/>
        <w:gridCol w:w="195"/>
        <w:gridCol w:w="282"/>
        <w:gridCol w:w="765"/>
        <w:gridCol w:w="271"/>
        <w:gridCol w:w="146"/>
        <w:gridCol w:w="269"/>
        <w:gridCol w:w="729"/>
        <w:gridCol w:w="346"/>
        <w:gridCol w:w="186"/>
        <w:gridCol w:w="269"/>
        <w:gridCol w:w="806"/>
        <w:gridCol w:w="325"/>
      </w:tblGrid>
      <w:tr>
        <w:trPr/>
        <w:tc>
          <w:tcPr>
            <w:tcW w:w="420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(Unaudited, in millions, except percentages)</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 short-term and long-term investments</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Third Quarter 2025 Financial Results: Continuing Operations</w:t>
      </w:r>
    </w:p>
    <w:p>
      <w:pPr>
        <w:pStyle w:val="TextBody"/>
        <w:bidi w:val="0"/>
        <w:jc w:val="both"/>
        <w:rPr>
          <w:rFonts w:ascii="Times New Roman" w:hAnsi="Times New Roman"/>
          <w:color w:val="000000"/>
          <w:sz w:val="22"/>
        </w:rPr>
      </w:pPr>
      <w:r>
        <w:rPr>
          <w:rFonts w:ascii="Times New Roman" w:hAnsi="Times New Roman"/>
          <w:color w:val="000000"/>
          <w:sz w:val="22"/>
        </w:rPr>
        <w:t>Following the announced sale of SomaLogic, Inc. (“SomaLogic”) and other specified assets to Illumina, Inc. (“Illumina”) in June 2025, all financial results in this section reflect continuing operations only.</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 xml:space="preserve">Revenue </w:t>
      </w:r>
      <w:r>
        <w:rPr>
          <w:rFonts w:ascii="Times New Roman" w:hAnsi="Times New Roman"/>
          <w:color w:val="000000"/>
          <w:sz w:val="22"/>
        </w:rPr>
        <w:t>was $19.6 million in the third quarter of 2025, down 11% year-over-year.</w:t>
      </w:r>
    </w:p>
    <w:p>
      <w:pPr>
        <w:pStyle w:val="TextBody"/>
        <w:bidi w:val="0"/>
        <w:spacing w:before="0" w:after="80"/>
        <w:jc w:val="both"/>
        <w:rPr>
          <w:color w:val="000000"/>
        </w:rPr>
      </w:pPr>
      <w:r>
        <w:rPr>
          <w:color w:val="000000"/>
        </w:rPr>
        <w:t>•</w:t>
      </w:r>
    </w:p>
    <w:p>
      <w:pPr>
        <w:pStyle w:val="TextBody"/>
        <w:bidi w:val="0"/>
        <w:spacing w:before="0" w:after="80"/>
        <w:jc w:val="both"/>
        <w:rPr/>
      </w:pPr>
      <w:r>
        <w:rPr>
          <w:rFonts w:ascii="Times New Roman" w:hAnsi="Times New Roman"/>
          <w:b/>
          <w:color w:val="000000"/>
          <w:sz w:val="22"/>
        </w:rPr>
        <w:t>Consumables</w:t>
      </w:r>
      <w:r>
        <w:rPr>
          <w:color w:val="000000"/>
        </w:rPr>
        <w:t xml:space="preserve"> </w:t>
      </w:r>
      <w:r>
        <w:rPr>
          <w:rFonts w:ascii="Times New Roman" w:hAnsi="Times New Roman"/>
          <w:color w:val="000000"/>
          <w:sz w:val="22"/>
        </w:rPr>
        <w:t xml:space="preserve">revenue was $8.7 million in the third quarter of 2025, down 17% year-over-year. Lower consumables revenue in the quarter reflected project funding declines in flow and microfluidics, partially offset by growth in imaging. </w:t>
      </w:r>
    </w:p>
    <w:p>
      <w:pPr>
        <w:pStyle w:val="TextBody"/>
        <w:bidi w:val="0"/>
        <w:spacing w:before="0" w:after="80"/>
        <w:jc w:val="both"/>
        <w:rPr>
          <w:color w:val="000000"/>
        </w:rPr>
      </w:pPr>
      <w:r>
        <w:rPr>
          <w:color w:val="000000"/>
        </w:rPr>
        <w:t>•</w:t>
      </w:r>
    </w:p>
    <w:p>
      <w:pPr>
        <w:pStyle w:val="TextBody"/>
        <w:bidi w:val="0"/>
        <w:spacing w:before="0" w:after="80"/>
        <w:jc w:val="both"/>
        <w:rPr/>
      </w:pPr>
      <w:r>
        <w:rPr>
          <w:rFonts w:ascii="Times New Roman" w:hAnsi="Times New Roman"/>
          <w:b/>
          <w:color w:val="000000"/>
          <w:sz w:val="22"/>
        </w:rPr>
        <w:t>Instruments</w:t>
      </w:r>
      <w:r>
        <w:rPr>
          <w:color w:val="000000"/>
        </w:rPr>
        <w:t xml:space="preserve"> </w:t>
      </w:r>
      <w:r>
        <w:rPr>
          <w:rFonts w:ascii="Times New Roman" w:hAnsi="Times New Roman"/>
          <w:color w:val="000000"/>
          <w:sz w:val="22"/>
        </w:rPr>
        <w:t>revenue was $5.1 million in the third quarter of 2025, down 3% year-over-year. Instrument revenue in the quarter reflected growth in imaging but overall remained impacted by capital-constrained end-markets globally.</w:t>
      </w:r>
    </w:p>
    <w:p>
      <w:pPr>
        <w:pStyle w:val="TextBody"/>
        <w:bidi w:val="0"/>
        <w:spacing w:before="0" w:after="80"/>
        <w:jc w:val="both"/>
        <w:rPr>
          <w:color w:val="000000"/>
        </w:rPr>
      </w:pPr>
      <w:r>
        <w:rPr>
          <w:color w:val="000000"/>
        </w:rPr>
        <w:t>•</w:t>
      </w:r>
    </w:p>
    <w:p>
      <w:pPr>
        <w:pStyle w:val="TextBody"/>
        <w:bidi w:val="0"/>
        <w:spacing w:before="0" w:after="80"/>
        <w:jc w:val="both"/>
        <w:rPr/>
      </w:pPr>
      <w:r>
        <w:rPr>
          <w:rFonts w:ascii="Times New Roman" w:hAnsi="Times New Roman"/>
          <w:b/>
          <w:color w:val="000000"/>
          <w:sz w:val="22"/>
        </w:rPr>
        <w:t>Services</w:t>
      </w:r>
      <w:r>
        <w:rPr>
          <w:color w:val="000000"/>
        </w:rPr>
        <w:t xml:space="preserve"> </w:t>
      </w:r>
      <w:r>
        <w:rPr>
          <w:rFonts w:ascii="Times New Roman" w:hAnsi="Times New Roman"/>
          <w:color w:val="000000"/>
          <w:sz w:val="22"/>
        </w:rPr>
        <w:t xml:space="preserve">revenue, which is predominantly Field Services, was $5.8 million in the third quarter of 2025, down 9% year-over-year. Field Services revenue decreased due to fewer active service contracts and lower on-demand revenue driven by improved instrument quality and uptime.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Gross margins </w:t>
      </w:r>
      <w:r>
        <w:rPr>
          <w:rFonts w:ascii="Times New Roman" w:hAnsi="Times New Roman"/>
          <w:color w:val="000000"/>
          <w:sz w:val="22"/>
        </w:rPr>
        <w:t>in the third quarter of 2025 were approximately 48.5%, versus 54.9% in the third quarter of 2024; and non-GAAP gross margins in the third quarter of 2025 were approximately 53.5%, versus 57.3% in the third quarter of 2024. Gross margins and non-GAAP gross margins were driven by volume and product mix.</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Operating expenses </w:t>
      </w:r>
      <w:r>
        <w:rPr>
          <w:rFonts w:ascii="Times New Roman" w:hAnsi="Times New Roman"/>
          <w:color w:val="000000"/>
          <w:sz w:val="22"/>
        </w:rPr>
        <w:t>in the third quarter of 2025 were $42.4 million, an increase of $3.6 million, or up 9%, compared to the third quarter of 2024. Operating expenses included $9.4 million in restructuring and related charges. Non-GAAP operating expenses, which exclude transaction costs, stock-based compensation, and restructuring charges, were $27.0 million in the third quarter of 2025, an increase of $0.7 million, or up 3%, compared to the third quarter of 2024. The increase in operating expenses is due to the reclassification of SomaLogic as discontinued operations and the retention of shared corporate costs within continuing operations, more than offsetting lower R&amp;D expenses and continued productivity gains from SBS.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 xml:space="preserve">Net loss </w:t>
      </w:r>
      <w:r>
        <w:rPr>
          <w:rFonts w:ascii="Times New Roman" w:hAnsi="Times New Roman"/>
          <w:color w:val="000000"/>
          <w:sz w:val="22"/>
        </w:rPr>
        <w:t>for</w:t>
      </w:r>
      <w:r>
        <w:rPr>
          <w:color w:val="000000"/>
        </w:rPr>
        <w:t xml:space="preserve"> </w:t>
      </w:r>
      <w:r>
        <w:rPr>
          <w:rFonts w:ascii="Times New Roman" w:hAnsi="Times New Roman"/>
          <w:color w:val="000000"/>
          <w:sz w:val="22"/>
        </w:rPr>
        <w:t xml:space="preserve">the third quarter of 2025 was $31.7 million, compared to a net loss of $21.9 million in the third quarter of 2024, representing an increase of $9.8 million or 45%, while adjusted EBITDA for the third quarter of 2025 was a loss of $16.5 million, versus an adjusted EBITDA loss of $13.7 million in the third quarter of 2024, an increase of $2.9 million, or 21%.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Full Year 2025 Revenue Outlook</w:t>
      </w:r>
    </w:p>
    <w:p>
      <w:pPr>
        <w:pStyle w:val="TextBody"/>
        <w:bidi w:val="0"/>
        <w:jc w:val="both"/>
        <w:rPr>
          <w:rFonts w:ascii="Times New Roman" w:hAnsi="Times New Roman"/>
          <w:sz w:val="20"/>
        </w:rPr>
      </w:pPr>
      <w:r>
        <w:rPr>
          <w:rFonts w:ascii="Times New Roman" w:hAnsi="Times New Roman"/>
          <w:color w:val="000000"/>
          <w:sz w:val="22"/>
        </w:rPr>
        <w:t>For fiscal year 2025, the Company continues to expect combined revenue in the range of $165 million to $175 million. Revenue from continuing operations is expected to be in the range of $78 million to $83 million.</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Use of Non-GAAP Financial Information</w:t>
      </w:r>
    </w:p>
    <w:p>
      <w:pPr>
        <w:pStyle w:val="TextBody"/>
        <w:bidi w:val="0"/>
        <w:jc w:val="both"/>
        <w:rPr>
          <w:rFonts w:ascii="Times New Roman" w:hAnsi="Times New Roman"/>
          <w:sz w:val="20"/>
        </w:rPr>
      </w:pPr>
      <w:r>
        <w:rPr>
          <w:rFonts w:ascii="Times New Roman" w:hAnsi="Times New Roman"/>
          <w:color w:val="000000"/>
          <w:sz w:val="22"/>
        </w:rPr>
        <w:t>Standard BioTools has presented certain financial information in accordance with U.S. GAAP and on a non-GAAP basis. The non-GAAP financial measures included in this press release are non-GAAP gross margin, non-GAAP gross profit,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This press release contains forward-looking statements within the meaning of the Private Securities Litigation Reform Act of 1995, including, among others, statements regarding future financial and business performance, including with respect to future revenue and expected cash at the closing of the transaction with Illumina; operational and strategic plans, including potential cost savings from the operational restructuring plan and the timing for realizing such cost savings; deployment of capital; market and growth opportunity and potential; and the potential to realize the expected benefits and synergies of prior and potential future acquisitions, including the potential for such transactions to drive long-term profitable growth. Forward-looking statements are subject to numerous risks and uncertainties that could cause actual results to differ materially from currently anticipated results, including, but not limited to, risks that the anticipated benefits and synergies of announced divestures and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the timing of the closing of the transaction with Illumina and the operating expenses over the intervening period;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anticipated NIH funding pressures; the expected effect from U.S. export controls and the expected impact from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both"/>
        <w:rPr>
          <w:rFonts w:ascii="Times New Roman" w:hAnsi="Times New Roman"/>
          <w:sz w:val="20"/>
        </w:rPr>
      </w:pPr>
      <w:r>
        <w:rPr>
          <w:rFonts w:ascii="Times New Roman" w:hAnsi="Times New Roman"/>
          <w:color w:val="000000"/>
          <w:sz w:val="22"/>
        </w:rPr>
        <w:t>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for the year ended December 31, 2024, filed with the SEC on March 11, 2025, the Company’s quarterly report on Form 10-Q for the quarter ended June 30, 2025, filed with the SEC on August 15, 2025, and in the Company’s other filings with the SEC. These forward-looking statements speak only as of the date hereof. The Company disclaims any obligation to update these forward-looking statements except as may be required by law.</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About Standard BioTools Inc.</w:t>
      </w:r>
    </w:p>
    <w:p>
      <w:pPr>
        <w:pStyle w:val="TextBody"/>
        <w:bidi w:val="0"/>
        <w:jc w:val="both"/>
        <w:rPr>
          <w:rFonts w:ascii="Times New Roman" w:hAnsi="Times New Roman"/>
          <w:color w:val="000000"/>
          <w:sz w:val="22"/>
        </w:rPr>
      </w:pPr>
      <w:r>
        <w:rPr>
          <w:rFonts w:ascii="Times New Roman" w:hAnsi="Times New Roman"/>
          <w:color w:val="000000"/>
          <w:sz w:val="22"/>
        </w:rPr>
        <w:t>Standard BioTools Inc. (Nasdaq: LAB), has an established portfolio of essential, standardized next-generation technologies that help biomedical researchers develop better medicines faster. As a leading solutions provider, the company provides reliable and repeatable insights in health and disease using its proprietary SomaScan,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standardbio.com or connect with us on X, Facebook®, LinkedIn, and YouTube.</w:t>
      </w:r>
    </w:p>
    <w:p>
      <w:pPr>
        <w:pStyle w:val="TextBody"/>
        <w:bidi w:val="0"/>
        <w:jc w:val="both"/>
        <w:rPr>
          <w:rFonts w:ascii="Times New Roman" w:hAnsi="Times New Roman"/>
          <w:b/>
          <w:color w:val="000000"/>
          <w:sz w:val="22"/>
        </w:rPr>
      </w:pPr>
      <w:r>
        <w:rPr>
          <w:rFonts w:ascii="Times New Roman" w:hAnsi="Times New Roman"/>
          <w:b/>
          <w:color w:val="000000"/>
          <w:sz w:val="22"/>
        </w:rPr>
        <w:t>For Research Use Only. Not for use in diagnostic procedures.</w:t>
      </w:r>
    </w:p>
    <w:p>
      <w:pPr>
        <w:pStyle w:val="TextBody"/>
        <w:bidi w:val="0"/>
        <w:jc w:val="left"/>
        <w:rPr>
          <w:rFonts w:ascii="Times New Roman" w:hAnsi="Times New Roman"/>
          <w:color w:val="000000"/>
          <w:sz w:val="22"/>
        </w:rPr>
      </w:pPr>
      <w:r>
        <w:rPr>
          <w:rFonts w:ascii="Times New Roman" w:hAnsi="Times New Roman"/>
          <w:color w:val="000000"/>
          <w:sz w:val="22"/>
        </w:rPr>
        <w:t>Limited Use Label License and other terms may apply: standardbio.com/legal/salesterms.</w:t>
      </w:r>
    </w:p>
    <w:p>
      <w:pPr>
        <w:pStyle w:val="TextBody"/>
        <w:bidi w:val="0"/>
        <w:jc w:val="left"/>
        <w:rPr>
          <w:rFonts w:ascii="Times New Roman" w:hAnsi="Times New Roman"/>
          <w:color w:val="000000"/>
          <w:sz w:val="22"/>
        </w:rPr>
      </w:pPr>
      <w:r>
        <w:rPr>
          <w:rFonts w:ascii="Times New Roman" w:hAnsi="Times New Roman"/>
          <w:color w:val="000000"/>
          <w:sz w:val="22"/>
        </w:rPr>
        <w:t xml:space="preserve">Patent and License Information: standardbio.com/legal/notices. </w:t>
        <w:br/>
        <w:t>Trademarks: standardbio.com/legal/trademarks. Any other trademarks are the sole property of their respective owners. ©2025 Standard BioTools Inc. (f.k.a. Fluidigm Corporation). All rights reserved.</w:t>
      </w:r>
    </w:p>
    <w:p>
      <w:pPr>
        <w:pStyle w:val="TextBody"/>
        <w:bidi w:val="0"/>
        <w:jc w:val="left"/>
        <w:rPr>
          <w:rFonts w:ascii="Times New Roman" w:hAnsi="Times New Roman"/>
          <w:b/>
          <w:color w:val="000000"/>
          <w:sz w:val="22"/>
        </w:rPr>
      </w:pPr>
      <w:r>
        <w:rPr>
          <w:rFonts w:ascii="Times New Roman" w:hAnsi="Times New Roman"/>
          <w:b/>
          <w:color w:val="000000"/>
          <w:sz w:val="22"/>
        </w:rPr>
        <w:t>Investor Contact:</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ir@standardbio.com</w:t>
      </w:r>
    </w:p>
    <w:p>
      <w:pPr>
        <w:pStyle w:val="TextBody"/>
        <w:bidi w:val="0"/>
        <w:jc w:val="left"/>
        <w:rPr>
          <w:rFonts w:ascii="Times New Roman" w:hAnsi="Times New Roman"/>
          <w:b/>
          <w:color w:val="000000"/>
          <w:sz w:val="22"/>
        </w:rPr>
      </w:pPr>
      <w:r>
        <w:rPr>
          <w:rFonts w:ascii="Times New Roman" w:hAnsi="Times New Roman"/>
          <w:b/>
          <w:color w:val="000000"/>
          <w:sz w:val="22"/>
        </w:rPr>
      </w:r>
    </w:p>
    <w:p>
      <w:pPr>
        <w:pStyle w:val="TextBody"/>
        <w:bidi w:val="0"/>
        <w:jc w:val="left"/>
        <w:rPr>
          <w:rFonts w:ascii="Times New Roman" w:hAnsi="Times New Roman"/>
          <w:color w:val="0000FF"/>
          <w:sz w:val="22"/>
        </w:rPr>
      </w:pPr>
      <w:r>
        <w:rPr>
          <w:rFonts w:ascii="Times New Roman" w:hAnsi="Times New Roman"/>
          <w:color w:val="0000FF"/>
          <w:sz w:val="22"/>
        </w:rPr>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OPERATIONS</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25"/>
        <w:gridCol w:w="146"/>
        <w:gridCol w:w="240"/>
        <w:gridCol w:w="891"/>
        <w:gridCol w:w="189"/>
        <w:gridCol w:w="166"/>
        <w:gridCol w:w="240"/>
        <w:gridCol w:w="891"/>
        <w:gridCol w:w="166"/>
        <w:gridCol w:w="146"/>
        <w:gridCol w:w="233"/>
        <w:gridCol w:w="865"/>
        <w:gridCol w:w="183"/>
        <w:gridCol w:w="161"/>
        <w:gridCol w:w="233"/>
        <w:gridCol w:w="932"/>
        <w:gridCol w:w="398"/>
      </w:tblGrid>
      <w:tr>
        <w:trPr/>
        <w:tc>
          <w:tcPr>
            <w:tcW w:w="4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46,987</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66,231</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21,775</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33,526</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42,422</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134,929</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(101,403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(63,496</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(63,766</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(41,047</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(104,813</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Induced conversion of redeemable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(46,014</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(150,827</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continuing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discontinued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382,630</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380,468</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346,093</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tbl>
      <w:tblPr>
        <w:tblW w:w="7915" w:type="dxa"/>
        <w:jc w:val="left"/>
        <w:tblInd w:w="0" w:type="dxa"/>
        <w:tblLayout w:type="fixed"/>
        <w:tblCellMar>
          <w:top w:w="28" w:type="dxa"/>
          <w:left w:w="28" w:type="dxa"/>
          <w:bottom w:w="28" w:type="dxa"/>
          <w:right w:w="28" w:type="dxa"/>
        </w:tblCellMar>
      </w:tblPr>
      <w:tblGrid>
        <w:gridCol w:w="4321"/>
        <w:gridCol w:w="346"/>
        <w:gridCol w:w="276"/>
        <w:gridCol w:w="1029"/>
        <w:gridCol w:w="146"/>
        <w:gridCol w:w="146"/>
        <w:gridCol w:w="268"/>
        <w:gridCol w:w="992"/>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 held for sale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held for sale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grant income,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 held for sale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grant income,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held for sale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sz w:val="20"/>
        </w:rPr>
      </w:pPr>
      <w:r>
        <w:rPr>
          <w:rFonts w:ascii="Times New Roman" w:hAnsi="Times New Roman"/>
          <w:b/>
          <w:color w:val="000000"/>
          <w:sz w:val="22"/>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9640" w:type="dxa"/>
        <w:jc w:val="left"/>
        <w:tblInd w:w="0" w:type="dxa"/>
        <w:tblLayout w:type="fixed"/>
        <w:tblCellMar>
          <w:top w:w="28" w:type="dxa"/>
          <w:left w:w="28" w:type="dxa"/>
          <w:bottom w:w="28" w:type="dxa"/>
          <w:right w:w="28" w:type="dxa"/>
        </w:tblCellMar>
      </w:tblPr>
      <w:tblGrid>
        <w:gridCol w:w="6286"/>
        <w:gridCol w:w="146"/>
        <w:gridCol w:w="268"/>
        <w:gridCol w:w="994"/>
        <w:gridCol w:w="211"/>
        <w:gridCol w:w="185"/>
        <w:gridCol w:w="268"/>
        <w:gridCol w:w="1071"/>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short-term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acquired in merger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term loan and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term loan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ESPP stock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share settlement of equity awards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consists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REVENUE</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9241" w:type="dxa"/>
        <w:jc w:val="left"/>
        <w:tblInd w:w="0" w:type="dxa"/>
        <w:tblLayout w:type="fixed"/>
        <w:tblCellMar>
          <w:top w:w="28" w:type="dxa"/>
          <w:left w:w="28" w:type="dxa"/>
          <w:bottom w:w="28" w:type="dxa"/>
          <w:right w:w="28" w:type="dxa"/>
        </w:tblCellMar>
      </w:tblPr>
      <w:tblGrid>
        <w:gridCol w:w="2296"/>
        <w:gridCol w:w="146"/>
        <w:gridCol w:w="318"/>
        <w:gridCol w:w="1021"/>
        <w:gridCol w:w="220"/>
        <w:gridCol w:w="220"/>
        <w:gridCol w:w="318"/>
        <w:gridCol w:w="1021"/>
        <w:gridCol w:w="146"/>
        <w:gridCol w:w="146"/>
        <w:gridCol w:w="306"/>
        <w:gridCol w:w="981"/>
        <w:gridCol w:w="212"/>
        <w:gridCol w:w="212"/>
        <w:gridCol w:w="306"/>
        <w:gridCol w:w="981"/>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GROSS PROFIT TO NON-GAAP GROSS PROFIT AND MARGIN PERCENTAGE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88"/>
        <w:gridCol w:w="146"/>
        <w:gridCol w:w="285"/>
        <w:gridCol w:w="916"/>
        <w:gridCol w:w="367"/>
        <w:gridCol w:w="197"/>
        <w:gridCol w:w="285"/>
        <w:gridCol w:w="916"/>
        <w:gridCol w:w="271"/>
        <w:gridCol w:w="146"/>
        <w:gridCol w:w="276"/>
        <w:gridCol w:w="885"/>
        <w:gridCol w:w="354"/>
        <w:gridCol w:w="190"/>
        <w:gridCol w:w="276"/>
        <w:gridCol w:w="885"/>
        <w:gridCol w:w="422"/>
      </w:tblGrid>
      <w:tr>
        <w:trPr/>
        <w:tc>
          <w:tcPr>
            <w:tcW w:w="3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33,526</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33,785</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36,551</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TO NON-GAAP OPERATING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17"/>
        <w:gridCol w:w="146"/>
        <w:gridCol w:w="303"/>
        <w:gridCol w:w="973"/>
        <w:gridCol w:w="238"/>
        <w:gridCol w:w="209"/>
        <w:gridCol w:w="303"/>
        <w:gridCol w:w="973"/>
        <w:gridCol w:w="166"/>
        <w:gridCol w:w="146"/>
        <w:gridCol w:w="267"/>
        <w:gridCol w:w="993"/>
        <w:gridCol w:w="210"/>
        <w:gridCol w:w="185"/>
        <w:gridCol w:w="267"/>
        <w:gridCol w:w="993"/>
        <w:gridCol w:w="316"/>
      </w:tblGrid>
      <w:tr>
        <w:trPr/>
        <w:tc>
          <w:tcPr>
            <w:tcW w:w="3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42,422</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134,929</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27,004</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84,533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R&amp;D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15,732</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SG&amp;A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21,373</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64,809</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NET LOSS TO ADJUSTED EBITDA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08"/>
        <w:gridCol w:w="146"/>
        <w:gridCol w:w="288"/>
        <w:gridCol w:w="1007"/>
        <w:gridCol w:w="226"/>
        <w:gridCol w:w="199"/>
        <w:gridCol w:w="288"/>
        <w:gridCol w:w="1007"/>
        <w:gridCol w:w="166"/>
        <w:gridCol w:w="146"/>
        <w:gridCol w:w="278"/>
        <w:gridCol w:w="971"/>
        <w:gridCol w:w="218"/>
        <w:gridCol w:w="192"/>
        <w:gridCol w:w="278"/>
        <w:gridCol w:w="971"/>
        <w:gridCol w:w="316"/>
      </w:tblGrid>
      <w:tr>
        <w:trPr/>
        <w:tc>
          <w:tcPr>
            <w:tcW w:w="3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(63,766</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Results of Operations</w:t>
      </w:r>
    </w:p>
    <w:p>
      <w:pPr>
        <w:pStyle w:val="TextBody"/>
        <w:bidi w:val="0"/>
        <w:jc w:val="center"/>
        <w:rPr>
          <w:rFonts w:ascii="Times New Roman" w:hAnsi="Times New Roman"/>
          <w:b/>
          <w:color w:val="000000"/>
          <w:sz w:val="22"/>
        </w:rPr>
      </w:pPr>
      <w:r>
        <w:rPr>
          <w:rFonts w:ascii="Times New Roman" w:hAnsi="Times New Roman"/>
          <w:b/>
          <w:color w:val="000000"/>
          <w:sz w:val="22"/>
        </w:rPr>
        <w:t>Discontinued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tbl>
      <w:tblPr>
        <w:tblW w:w="8742" w:type="dxa"/>
        <w:jc w:val="left"/>
        <w:tblInd w:w="0" w:type="dxa"/>
        <w:tblLayout w:type="fixed"/>
        <w:tblCellMar>
          <w:top w:w="28" w:type="dxa"/>
          <w:left w:w="28" w:type="dxa"/>
          <w:bottom w:w="28" w:type="dxa"/>
          <w:right w:w="28" w:type="dxa"/>
        </w:tblCellMar>
      </w:tblPr>
      <w:tblGrid>
        <w:gridCol w:w="3736"/>
        <w:gridCol w:w="146"/>
        <w:gridCol w:w="211"/>
        <w:gridCol w:w="676"/>
        <w:gridCol w:w="166"/>
        <w:gridCol w:w="146"/>
        <w:gridCol w:w="211"/>
        <w:gridCol w:w="676"/>
        <w:gridCol w:w="166"/>
        <w:gridCol w:w="146"/>
        <w:gridCol w:w="211"/>
        <w:gridCol w:w="736"/>
        <w:gridCol w:w="166"/>
        <w:gridCol w:w="146"/>
        <w:gridCol w:w="211"/>
        <w:gridCol w:w="78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Discontinued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GROSS PROFIT TO NON-GAAP GROSS PROFIT AND MARGIN PERCENTAGE</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374"/>
        <w:gridCol w:w="146"/>
        <w:gridCol w:w="281"/>
        <w:gridCol w:w="904"/>
        <w:gridCol w:w="434"/>
        <w:gridCol w:w="195"/>
        <w:gridCol w:w="281"/>
        <w:gridCol w:w="904"/>
        <w:gridCol w:w="271"/>
        <w:gridCol w:w="146"/>
        <w:gridCol w:w="279"/>
        <w:gridCol w:w="893"/>
        <w:gridCol w:w="358"/>
        <w:gridCol w:w="192"/>
        <w:gridCol w:w="279"/>
        <w:gridCol w:w="893"/>
        <w:gridCol w:w="375"/>
      </w:tblGrid>
      <w:tr>
        <w:trPr/>
        <w:tc>
          <w:tcPr>
            <w:tcW w:w="3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12,340</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29,682</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28,831</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12,485</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33,021</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31,377</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Discontinued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TO NON-GAAP OPERATING EXPENSES</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515"/>
        <w:gridCol w:w="146"/>
        <w:gridCol w:w="303"/>
        <w:gridCol w:w="974"/>
        <w:gridCol w:w="239"/>
        <w:gridCol w:w="210"/>
        <w:gridCol w:w="303"/>
        <w:gridCol w:w="974"/>
        <w:gridCol w:w="166"/>
        <w:gridCol w:w="146"/>
        <w:gridCol w:w="278"/>
        <w:gridCol w:w="972"/>
        <w:gridCol w:w="218"/>
        <w:gridCol w:w="192"/>
        <w:gridCol w:w="278"/>
        <w:gridCol w:w="972"/>
        <w:gridCol w:w="319"/>
      </w:tblGrid>
      <w:tr>
        <w:trPr/>
        <w:tc>
          <w:tcPr>
            <w:tcW w:w="3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69,847</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(12,339</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12,590</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38,327</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52,643</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26,567</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R&amp;D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14,430</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43,280</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SG&amp;A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8,008</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23,897</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31,678</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Discontinued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NET LOSS TO ADJUSTED EBITDA</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522"/>
        <w:gridCol w:w="146"/>
        <w:gridCol w:w="316"/>
        <w:gridCol w:w="948"/>
        <w:gridCol w:w="249"/>
        <w:gridCol w:w="219"/>
        <w:gridCol w:w="316"/>
        <w:gridCol w:w="948"/>
        <w:gridCol w:w="166"/>
        <w:gridCol w:w="146"/>
        <w:gridCol w:w="278"/>
        <w:gridCol w:w="972"/>
        <w:gridCol w:w="218"/>
        <w:gridCol w:w="192"/>
        <w:gridCol w:w="278"/>
        <w:gridCol w:w="972"/>
        <w:gridCol w:w="319"/>
      </w:tblGrid>
      <w:tr>
        <w:trPr/>
        <w:tc>
          <w:tcPr>
            <w:tcW w:w="3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(41,047</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12,635</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(21,266</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Combined Results of Operations</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 and Discontinued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tbl>
      <w:tblPr>
        <w:tblW w:w="8967" w:type="dxa"/>
        <w:jc w:val="left"/>
        <w:tblInd w:w="0" w:type="dxa"/>
        <w:tblLayout w:type="fixed"/>
        <w:tblCellMar>
          <w:top w:w="28" w:type="dxa"/>
          <w:left w:w="28" w:type="dxa"/>
          <w:bottom w:w="28" w:type="dxa"/>
          <w:right w:w="28" w:type="dxa"/>
        </w:tblCellMar>
      </w:tblPr>
      <w:tblGrid>
        <w:gridCol w:w="3736"/>
        <w:gridCol w:w="146"/>
        <w:gridCol w:w="211"/>
        <w:gridCol w:w="736"/>
        <w:gridCol w:w="166"/>
        <w:gridCol w:w="146"/>
        <w:gridCol w:w="211"/>
        <w:gridCol w:w="736"/>
        <w:gridCol w:w="166"/>
        <w:gridCol w:w="146"/>
        <w:gridCol w:w="211"/>
        <w:gridCol w:w="781"/>
        <w:gridCol w:w="166"/>
        <w:gridCol w:w="146"/>
        <w:gridCol w:w="211"/>
        <w:gridCol w:w="84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 and Discontinued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GROSS PROFIT TO NON-GAAP GROSS PROFIT AND MARGIN PERCENTAGE</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388"/>
        <w:gridCol w:w="146"/>
        <w:gridCol w:w="285"/>
        <w:gridCol w:w="916"/>
        <w:gridCol w:w="367"/>
        <w:gridCol w:w="197"/>
        <w:gridCol w:w="285"/>
        <w:gridCol w:w="916"/>
        <w:gridCol w:w="271"/>
        <w:gridCol w:w="146"/>
        <w:gridCol w:w="276"/>
        <w:gridCol w:w="885"/>
        <w:gridCol w:w="354"/>
        <w:gridCol w:w="190"/>
        <w:gridCol w:w="276"/>
        <w:gridCol w:w="885"/>
        <w:gridCol w:w="422"/>
      </w:tblGrid>
      <w:tr>
        <w:trPr/>
        <w:tc>
          <w:tcPr>
            <w:tcW w:w="3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62,357</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22,945</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66,804</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67,928</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percentage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 and Discontinued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TO NON-GAAP OPERATING EXPENSES</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511"/>
        <w:gridCol w:w="146"/>
        <w:gridCol w:w="303"/>
        <w:gridCol w:w="974"/>
        <w:gridCol w:w="239"/>
        <w:gridCol w:w="210"/>
        <w:gridCol w:w="303"/>
        <w:gridCol w:w="974"/>
        <w:gridCol w:w="166"/>
        <w:gridCol w:w="146"/>
        <w:gridCol w:w="267"/>
        <w:gridCol w:w="993"/>
        <w:gridCol w:w="210"/>
        <w:gridCol w:w="185"/>
        <w:gridCol w:w="267"/>
        <w:gridCol w:w="993"/>
        <w:gridCol w:w="318"/>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57,948</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171,740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204,776</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(23,365</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39,594</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118,868</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137,176</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48,358</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R&amp;D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30,162</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41,272</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119,020</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(18,885</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SG&amp;A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29,381</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88,706</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95,904</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 and Discontinued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NET LOSS TO ADJUSTED EBITDA</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502"/>
        <w:gridCol w:w="146"/>
        <w:gridCol w:w="288"/>
        <w:gridCol w:w="1006"/>
        <w:gridCol w:w="226"/>
        <w:gridCol w:w="199"/>
        <w:gridCol w:w="288"/>
        <w:gridCol w:w="1006"/>
        <w:gridCol w:w="166"/>
        <w:gridCol w:w="146"/>
        <w:gridCol w:w="265"/>
        <w:gridCol w:w="930"/>
        <w:gridCol w:w="209"/>
        <w:gridCol w:w="184"/>
        <w:gridCol w:w="265"/>
        <w:gridCol w:w="1063"/>
        <w:gridCol w:w="316"/>
      </w:tblGrid>
      <w:tr>
        <w:trPr/>
        <w:tc>
          <w:tcPr>
            <w:tcW w:w="3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(16,649</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(52,064</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5418</Words>
  <Characters>30046</Characters>
  <CharactersWithSpaces>36363</CharactersWithSpaces>
  <Paragraphs>4836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