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32"/>
          <w:szCs w:val="32"/>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Fluidigm Corporation</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6" w:right="2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4020" w:space="720"/>
            <w:col w:w="2820" w:space="720"/>
            <w:col w:w="3140"/>
          </w:cols>
          <w:pgMar w:left="240" w:top="826"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7000 Shoreline Court, Suite 100, South San Francisco, California 94080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225" w:lineRule="exact"/>
        <w:rPr>
          <w:rFonts w:ascii="MS PGothic" w:cs="MS PGothic" w:eastAsia="MS PGothic" w:hAnsi="MS PGothic"/>
          <w:sz w:val="18"/>
          <w:szCs w:val="18"/>
          <w:color w:val="auto"/>
        </w:rPr>
      </w:pPr>
    </w:p>
    <w:p>
      <w:pPr>
        <w:ind w:right="2520" w:firstLine="467"/>
        <w:spacing w:after="0" w:line="511" w:lineRule="auto"/>
        <w:tabs>
          <w:tab w:leader="none" w:pos="9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4"/>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9"/>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FLDM</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98" w:lineRule="exact"/>
        <w:rPr>
          <w:sz w:val="24"/>
          <w:szCs w:val="24"/>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9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6"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w:t>
      </w:r>
    </w:p>
    <w:p>
      <w:pPr>
        <w:spacing w:after="0" w:line="225" w:lineRule="exact"/>
        <w:rPr>
          <w:sz w:val="20"/>
          <w:szCs w:val="20"/>
          <w:color w:val="auto"/>
        </w:rPr>
      </w:pPr>
    </w:p>
    <w:p>
      <w:pPr>
        <w:ind w:right="20" w:firstLine="389"/>
        <w:spacing w:after="0" w:line="254" w:lineRule="auto"/>
        <w:rPr>
          <w:sz w:val="20"/>
          <w:szCs w:val="20"/>
          <w:color w:val="auto"/>
        </w:rPr>
      </w:pPr>
      <w:r>
        <w:rPr>
          <w:rFonts w:ascii="Times New Roman" w:cs="Times New Roman" w:eastAsia="Times New Roman" w:hAnsi="Times New Roman"/>
          <w:sz w:val="18"/>
          <w:szCs w:val="18"/>
          <w:color w:val="auto"/>
        </w:rPr>
        <w:t>On November 20, 2019, Fluidigm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with Barclays Capital Inc., as representative of the several initial purchasers named in Schedule I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to issue and sell $50 million aggregate principal amount of 5.25% Convertible Senior Notes due 2024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 private placement to qualified institutional buyers pursuant to Rule 144A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Notes were sold to the Initial Purchasers pursuant to an exemption from the registration requirements of the Securities Act afforded by Section 4(a)(2) of the Securities Act. In addition, the Company granted the Initial Purchasers an option to purchase, during a 13-day period beginning on, and including, the date on which the Notes were first issued, up to an additional $5 million aggregate principal amount of Notes on the same terms and conditions. The Initial Purchasers exercised their option in full on November 20, 2019, resulting in a total aggregate principal amount of $55 million of Notes outstanding as of November 22, 2019. The Company received $52.6 million in net proceeds from the sale of the Notes issued on November 22, 2019 (after deducting the Initial Purchasers’ discounts and estimated offering expenses payable by the Company).</w:t>
      </w:r>
    </w:p>
    <w:p>
      <w:pPr>
        <w:spacing w:after="0" w:line="190" w:lineRule="exact"/>
        <w:rPr>
          <w:sz w:val="20"/>
          <w:szCs w:val="20"/>
          <w:color w:val="auto"/>
        </w:rPr>
      </w:pPr>
    </w:p>
    <w:p>
      <w:pPr>
        <w:ind w:right="60" w:firstLine="389"/>
        <w:spacing w:after="0" w:line="261" w:lineRule="auto"/>
        <w:rPr>
          <w:sz w:val="20"/>
          <w:szCs w:val="20"/>
          <w:color w:val="auto"/>
        </w:rPr>
      </w:pPr>
      <w:r>
        <w:rPr>
          <w:rFonts w:ascii="Times New Roman" w:cs="Times New Roman" w:eastAsia="Times New Roman" w:hAnsi="Times New Roman"/>
          <w:sz w:val="18"/>
          <w:szCs w:val="18"/>
          <w:color w:val="auto"/>
        </w:rPr>
        <w:t>The Company used a portion of the net proceeds to repurchase $50.2 million aggregate principal amount of its 2.75% Senior Convertible Notes due 2034 (the “</w:t>
      </w:r>
      <w:r>
        <w:rPr>
          <w:rFonts w:ascii="Times New Roman" w:cs="Times New Roman" w:eastAsia="Times New Roman" w:hAnsi="Times New Roman"/>
          <w:sz w:val="18"/>
          <w:szCs w:val="18"/>
          <w:b w:val="1"/>
          <w:bCs w:val="1"/>
          <w:color w:val="auto"/>
        </w:rPr>
        <w:t>2014 Notes</w:t>
      </w:r>
      <w:r>
        <w:rPr>
          <w:rFonts w:ascii="Times New Roman" w:cs="Times New Roman" w:eastAsia="Times New Roman" w:hAnsi="Times New Roman"/>
          <w:sz w:val="18"/>
          <w:szCs w:val="18"/>
          <w:color w:val="auto"/>
        </w:rPr>
        <w:t xml:space="preserve">”) in negotiated transactions with institutional investors concurrently with the offering. The Company </w:t>
      </w:r>
      <w:r>
        <w:rPr>
          <w:rFonts w:ascii="Times New Roman" w:cs="Times New Roman" w:eastAsia="Times New Roman" w:hAnsi="Times New Roman"/>
          <w:sz w:val="18"/>
          <w:szCs w:val="18"/>
          <w:color w:val="0A0A0A"/>
        </w:rPr>
        <w:t>intends to use the remainder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the net proceeds after the repurchase of the 2014 Notes for working capital and other general corporate purposes, which may include capital expenditures, the repurchase or other retirement of any remaining 2014 Notes, potential acquisitions, and strategic transactions</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ind w:right="220" w:firstLine="389"/>
        <w:spacing w:after="0" w:line="282" w:lineRule="auto"/>
        <w:rPr>
          <w:sz w:val="20"/>
          <w:szCs w:val="20"/>
          <w:color w:val="auto"/>
        </w:rPr>
      </w:pPr>
      <w:r>
        <w:rPr>
          <w:rFonts w:ascii="Times New Roman" w:cs="Times New Roman" w:eastAsia="Times New Roman" w:hAnsi="Times New Roman"/>
          <w:sz w:val="18"/>
          <w:szCs w:val="18"/>
          <w:color w:val="auto"/>
        </w:rPr>
        <w:t>The Purchase Agreement includes customary representations, warranties and covenants by the Company and customary closing conditions. Under the terms of the Purchase Agreement, the Company has agreed to indemnify the Initial Purchasers against certain liabilities.</w:t>
      </w:r>
    </w:p>
    <w:p>
      <w:pPr>
        <w:spacing w:after="0" w:line="162" w:lineRule="exact"/>
        <w:rPr>
          <w:sz w:val="20"/>
          <w:szCs w:val="20"/>
          <w:color w:val="auto"/>
        </w:rPr>
      </w:pPr>
    </w:p>
    <w:p>
      <w:pPr>
        <w:ind w:right="120" w:firstLine="38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is qualified in its entirety by reference to the Purchase Agreement attached as Exhibit 10.1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Indenture</w:t>
      </w:r>
    </w:p>
    <w:p>
      <w:pPr>
        <w:spacing w:after="0" w:line="225" w:lineRule="exact"/>
        <w:rPr>
          <w:sz w:val="20"/>
          <w:szCs w:val="20"/>
          <w:color w:val="auto"/>
        </w:rPr>
      </w:pPr>
    </w:p>
    <w:p>
      <w:pPr>
        <w:ind w:right="80" w:firstLine="389"/>
        <w:spacing w:after="0" w:line="259" w:lineRule="auto"/>
        <w:rPr>
          <w:sz w:val="20"/>
          <w:szCs w:val="20"/>
          <w:color w:val="auto"/>
        </w:rPr>
      </w:pPr>
      <w:r>
        <w:rPr>
          <w:rFonts w:ascii="Times New Roman" w:cs="Times New Roman" w:eastAsia="Times New Roman" w:hAnsi="Times New Roman"/>
          <w:sz w:val="18"/>
          <w:szCs w:val="18"/>
          <w:color w:val="auto"/>
        </w:rPr>
        <w:t>On November 22, 2019, the Company entered into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the Company and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pursuant to which the Company issued $55 million aggregate principal amount of Notes. The Notes will bear interest at 5.25% per annum, payable semiannually on June 1 and December 1 of each year, beginning on June 1, 2020. The Notes may bear additional interest under specified circumstances relating to the Company’s failure to comply with its reporting obligations under the Indenture or if the Notes are not freely tradeable as required by the Indenture. The Notes will mature on December 1, 2024, unless earlier repurchased or converted pursuant to their terms.</w:t>
      </w:r>
    </w:p>
    <w:p>
      <w:pPr>
        <w:spacing w:after="0" w:line="180" w:lineRule="exact"/>
        <w:rPr>
          <w:sz w:val="20"/>
          <w:szCs w:val="20"/>
          <w:color w:val="auto"/>
        </w:rPr>
      </w:pPr>
    </w:p>
    <w:p>
      <w:pPr>
        <w:ind w:firstLine="389"/>
        <w:spacing w:after="0" w:line="256" w:lineRule="auto"/>
        <w:rPr>
          <w:sz w:val="20"/>
          <w:szCs w:val="20"/>
          <w:color w:val="auto"/>
        </w:rPr>
      </w:pPr>
      <w:r>
        <w:rPr>
          <w:rFonts w:ascii="Times New Roman" w:cs="Times New Roman" w:eastAsia="Times New Roman" w:hAnsi="Times New Roman"/>
          <w:sz w:val="18"/>
          <w:szCs w:val="18"/>
          <w:color w:val="auto"/>
        </w:rPr>
        <w:t>The initial conversion rate of the Notes is 344.8276 shares of the Company’s common stock, par value $0.001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per $1,000 principal amount of Notes (which is equivalent to an initial conversion price of approximately $2.90 per share). The conversion rate will be subject to adjustment upon the occurrence of certain specified events but will not be adjusted for any accrued and unpaid interest. In addition, upon the occurrence of a make-whole fundamental change (as defined in the Indenture) or notice of early company conversion (as defined in the Indenture), the Company will, in certain circumstances, increase the conversion rate by a number of additional shares for a holder that elects to convert its Notes in connection with such make-whole fundamental change or for a notice of early company conversion that is received by the conversion agent (as defined in the Indenture) prior to December 1, 2022.</w:t>
      </w:r>
    </w:p>
    <w:p>
      <w:pPr>
        <w:spacing w:after="0" w:line="187" w:lineRule="exact"/>
        <w:rPr>
          <w:sz w:val="20"/>
          <w:szCs w:val="20"/>
          <w:color w:val="auto"/>
        </w:rPr>
      </w:pPr>
    </w:p>
    <w:p>
      <w:pPr>
        <w:ind w:right="40" w:firstLine="389"/>
        <w:spacing w:after="0" w:line="255" w:lineRule="auto"/>
        <w:rPr>
          <w:sz w:val="20"/>
          <w:szCs w:val="20"/>
          <w:color w:val="auto"/>
        </w:rPr>
      </w:pPr>
      <w:r>
        <w:rPr>
          <w:rFonts w:ascii="Times New Roman" w:cs="Times New Roman" w:eastAsia="Times New Roman" w:hAnsi="Times New Roman"/>
          <w:sz w:val="18"/>
          <w:szCs w:val="18"/>
          <w:color w:val="auto"/>
        </w:rPr>
        <w:t>The Notes will be convertible at the option of the holder at any point prior to close of business on the second scheduled trading day preceding the maturity date. Between December 1, 2021 and December 1, 2022, the Company may convert all but not less than all of the Notes, at its option, if the volume-weighted average price of the Common Stock has been at least 150% of the conversion price of the Notes then in effect for at least 20 trading days during any 30-consecutive-trading-day period ending on and including the trading day immediately preceding the date on which the Company provides a notice of conversion. Further, on or after December 1, 2022 until the Notes mature on December 1, 2024, the Company may convert all but not less than all of the Notes, at its option, if the volume-weighted average price of the Common Stock has been at least 130% of the conversion price of the Notes then in effect for at least 20 trading days during any 30-consecutive-trading-day period ending on and including the trading day immediately preceding the date on which the Company provides a notice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color w:val="auto"/>
        </w:rPr>
        <w:t>Upon conversion, the Notes will be settled in shares of Common Stock, together with cash in lieu of any fractional shares.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may not redeem the Notes prior to maturity.</w:t>
      </w:r>
    </w:p>
    <w:p>
      <w:pPr>
        <w:spacing w:after="0" w:line="225" w:lineRule="exact"/>
        <w:rPr>
          <w:sz w:val="20"/>
          <w:szCs w:val="20"/>
          <w:color w:val="auto"/>
        </w:rPr>
      </w:pPr>
    </w:p>
    <w:p>
      <w:pPr>
        <w:ind w:firstLine="389"/>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(as defined in the Indenture) prior to the maturity date, holders may require the Company to repurchase all or a portion of the Notes for cash at a price equal to 100% of the principal amount of the Notes to be repurchased, plus accrued and unpaid interest as described in the Indenture.</w:t>
      </w:r>
    </w:p>
    <w:p>
      <w:pPr>
        <w:spacing w:after="0" w:line="176" w:lineRule="exact"/>
        <w:rPr>
          <w:sz w:val="20"/>
          <w:szCs w:val="20"/>
          <w:color w:val="auto"/>
        </w:rPr>
      </w:pPr>
    </w:p>
    <w:p>
      <w:pPr>
        <w:ind w:right="360" w:firstLine="389"/>
        <w:spacing w:after="0" w:line="281" w:lineRule="auto"/>
        <w:rPr>
          <w:sz w:val="20"/>
          <w:szCs w:val="20"/>
          <w:color w:val="auto"/>
        </w:rPr>
      </w:pPr>
      <w:r>
        <w:rPr>
          <w:rFonts w:ascii="Times New Roman" w:cs="Times New Roman" w:eastAsia="Times New Roman" w:hAnsi="Times New Roman"/>
          <w:sz w:val="17"/>
          <w:szCs w:val="17"/>
          <w:color w:val="auto"/>
        </w:rPr>
        <w:t>The Notes are the Company’s senior unsecured obligations and will rank senior in right of payment to any of the Company’s indebtedness that is expressly subordinated in right of payment to the Notes; equal in right of payment to any of the Company’s existing and future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events are considered “events of default” with respect to the Notes, which may result in the acceleration of the maturity of the Notes:</w:t>
      </w:r>
    </w:p>
    <w:p>
      <w:pPr>
        <w:spacing w:after="0" w:line="225" w:lineRule="exact"/>
        <w:rPr>
          <w:sz w:val="20"/>
          <w:szCs w:val="20"/>
          <w:color w:val="auto"/>
        </w:rPr>
      </w:pPr>
    </w:p>
    <w:p>
      <w:pPr>
        <w:ind w:left="760" w:hanging="37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interest on any Note when due and payable, which failure continues for a period of 30 days;</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the principal of any Note when due;</w:t>
      </w:r>
    </w:p>
    <w:p>
      <w:pPr>
        <w:spacing w:after="0" w:line="225" w:lineRule="exact"/>
        <w:rPr>
          <w:rFonts w:ascii="Times New Roman" w:cs="Times New Roman" w:eastAsia="Times New Roman" w:hAnsi="Times New Roman"/>
          <w:sz w:val="18"/>
          <w:szCs w:val="18"/>
          <w:color w:val="auto"/>
        </w:rPr>
      </w:pPr>
    </w:p>
    <w:p>
      <w:pPr>
        <w:ind w:left="760" w:right="580" w:hanging="374"/>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its obligation to convert the Notes in accordance with the Indenture, which failure continues for three business days;</w:t>
      </w:r>
    </w:p>
    <w:p>
      <w:pPr>
        <w:spacing w:after="0" w:line="161" w:lineRule="exact"/>
        <w:rPr>
          <w:rFonts w:ascii="Times New Roman" w:cs="Times New Roman" w:eastAsia="Times New Roman" w:hAnsi="Times New Roman"/>
          <w:sz w:val="18"/>
          <w:szCs w:val="18"/>
          <w:color w:val="auto"/>
        </w:rPr>
      </w:pPr>
    </w:p>
    <w:p>
      <w:pPr>
        <w:ind w:left="760" w:right="320" w:hanging="374"/>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provide timely notice of a fundamental change or a specified corporate transaction in accordance with the terms of the Indenture;</w:t>
      </w:r>
    </w:p>
    <w:p>
      <w:pPr>
        <w:spacing w:after="0" w:line="161"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any of its obligations under the Indenture with respect to consolidation, merger, sale, conveyance, transfer, or lease of its assets;</w:t>
      </w:r>
    </w:p>
    <w:p>
      <w:pPr>
        <w:spacing w:after="0" w:line="161" w:lineRule="exact"/>
        <w:rPr>
          <w:rFonts w:ascii="Times New Roman" w:cs="Times New Roman" w:eastAsia="Times New Roman" w:hAnsi="Times New Roman"/>
          <w:sz w:val="18"/>
          <w:szCs w:val="18"/>
          <w:color w:val="auto"/>
        </w:rPr>
      </w:pPr>
    </w:p>
    <w:p>
      <w:pPr>
        <w:ind w:left="760" w:right="60" w:hanging="374"/>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any of its other agreements contained in the Notes or the Indenture, which failure continues for 60 days after notice is given in accordance with the Indenture;</w:t>
      </w:r>
    </w:p>
    <w:p>
      <w:pPr>
        <w:spacing w:after="0" w:line="161" w:lineRule="exact"/>
        <w:rPr>
          <w:rFonts w:ascii="Times New Roman" w:cs="Times New Roman" w:eastAsia="Times New Roman" w:hAnsi="Times New Roman"/>
          <w:sz w:val="18"/>
          <w:szCs w:val="18"/>
          <w:color w:val="auto"/>
        </w:rPr>
      </w:pPr>
    </w:p>
    <w:p>
      <w:pPr>
        <w:ind w:left="760" w:right="100" w:hanging="374"/>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by the Company or any significant subsidiary (as defined in the Indenture) with respect to any indebtedness as specified in the Indenture in an amount in excess of $7.5 million, unless such default is cured or waived, or such indebtedness is paid or discharged within 30 days after notice is given in accordance with the Indenture; and</w:t>
      </w:r>
    </w:p>
    <w:p>
      <w:pPr>
        <w:spacing w:after="0" w:line="176"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the Company or any significant subsidiary.</w:t>
      </w:r>
    </w:p>
    <w:p>
      <w:pPr>
        <w:spacing w:after="0" w:line="225" w:lineRule="exact"/>
        <w:rPr>
          <w:sz w:val="20"/>
          <w:szCs w:val="20"/>
          <w:color w:val="auto"/>
        </w:rPr>
      </w:pPr>
    </w:p>
    <w:p>
      <w:pPr>
        <w:ind w:right="80" w:firstLine="389"/>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text of the Indenture and the Form of 5.25% Convertible Senior Notes due 2024, which are attached as Exhibits 4.1 and 4.2, respectively, to this Current Report on Form 8-K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Amendment to Loan and Security Agreement</w:t>
      </w:r>
    </w:p>
    <w:p>
      <w:pPr>
        <w:spacing w:after="0" w:line="225" w:lineRule="exact"/>
        <w:rPr>
          <w:sz w:val="20"/>
          <w:szCs w:val="20"/>
          <w:color w:val="auto"/>
        </w:rPr>
      </w:pPr>
    </w:p>
    <w:p>
      <w:pPr>
        <w:ind w:right="240" w:firstLine="389"/>
        <w:spacing w:after="0" w:line="268" w:lineRule="auto"/>
        <w:rPr>
          <w:sz w:val="20"/>
          <w:szCs w:val="20"/>
          <w:color w:val="auto"/>
        </w:rPr>
      </w:pPr>
      <w:r>
        <w:rPr>
          <w:rFonts w:ascii="Times New Roman" w:cs="Times New Roman" w:eastAsia="Times New Roman" w:hAnsi="Times New Roman"/>
          <w:sz w:val="18"/>
          <w:szCs w:val="18"/>
          <w:color w:val="auto"/>
        </w:rPr>
        <w:t>On November 20, 2019, the Company and Silicon Valley Bank (“</w:t>
      </w:r>
      <w:r>
        <w:rPr>
          <w:rFonts w:ascii="Times New Roman" w:cs="Times New Roman" w:eastAsia="Times New Roman" w:hAnsi="Times New Roman"/>
          <w:sz w:val="18"/>
          <w:szCs w:val="18"/>
          <w:b w:val="1"/>
          <w:bCs w:val="1"/>
          <w:color w:val="auto"/>
        </w:rPr>
        <w:t>SVB</w:t>
      </w:r>
      <w:r>
        <w:rPr>
          <w:rFonts w:ascii="Times New Roman" w:cs="Times New Roman" w:eastAsia="Times New Roman" w:hAnsi="Times New Roman"/>
          <w:sz w:val="18"/>
          <w:szCs w:val="18"/>
          <w:color w:val="auto"/>
        </w:rPr>
        <w:t>”) entered into the Second Amendment to Loan and Security Agreement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which amends the Loan and Security Agreement dated as of August 2, 2018, between the Company and SVB (as amended by that certain Default Waiver and First Amendment to Loan and Security Agreement dated as of September 7, 2018, the “</w:t>
      </w:r>
      <w:r>
        <w:rPr>
          <w:rFonts w:ascii="Times New Roman" w:cs="Times New Roman" w:eastAsia="Times New Roman" w:hAnsi="Times New Roman"/>
          <w:sz w:val="18"/>
          <w:szCs w:val="18"/>
          <w:b w:val="1"/>
          <w:bCs w:val="1"/>
          <w:color w:val="auto"/>
        </w:rPr>
        <w:t>Loan and Security Agreement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firstLine="389"/>
        <w:spacing w:after="0" w:line="261" w:lineRule="auto"/>
        <w:rPr>
          <w:sz w:val="20"/>
          <w:szCs w:val="20"/>
          <w:color w:val="auto"/>
        </w:rPr>
      </w:pPr>
      <w:r>
        <w:rPr>
          <w:rFonts w:ascii="Times New Roman" w:cs="Times New Roman" w:eastAsia="Times New Roman" w:hAnsi="Times New Roman"/>
          <w:sz w:val="18"/>
          <w:szCs w:val="18"/>
          <w:color w:val="auto"/>
        </w:rPr>
        <w:t>The Amendment amended the Loan and Security Agreement to, among other things, (i) permit the Company to issue the Notes; (ii) modify certain of the covenants, including the indebtedness covenant, and distribution and investment covenant, in connection with permitting the Notes and the repurchase of the 2014 Notes; and (iii) revise and add certain definitions including “Change in Control,” “Permitted Indebtedness,” “Permitted Liens,” “Existing Convertible Notes,” and “Permitted Convertible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right="40" w:firstLine="38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is qualified in its entirety by reference to the Amendment attached as Exhibit 10.2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set forth under Item 1.01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set forth under Item 1.01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Launch Press Release</w:t>
      </w:r>
    </w:p>
    <w:p>
      <w:pPr>
        <w:spacing w:after="0" w:line="229" w:lineRule="exact"/>
        <w:rPr>
          <w:sz w:val="20"/>
          <w:szCs w:val="20"/>
          <w:color w:val="auto"/>
        </w:rPr>
      </w:pPr>
    </w:p>
    <w:p>
      <w:pPr>
        <w:ind w:right="40" w:firstLine="389"/>
        <w:spacing w:after="0" w:line="266" w:lineRule="auto"/>
        <w:rPr>
          <w:sz w:val="20"/>
          <w:szCs w:val="20"/>
          <w:color w:val="auto"/>
        </w:rPr>
      </w:pPr>
      <w:r>
        <w:rPr>
          <w:rFonts w:ascii="Times New Roman" w:cs="Times New Roman" w:eastAsia="Times New Roman" w:hAnsi="Times New Roman"/>
          <w:sz w:val="18"/>
          <w:szCs w:val="18"/>
          <w:color w:val="auto"/>
        </w:rPr>
        <w:t>On November 20, 2019, the Company issued a press release announcing its intention to offer $45 million aggregate principal amount of Notes in a private placement to qualified institutional buyers pursuant to Rule 144A under the Securities Act. A copy of the press release is attached as Exhibit 99.1 to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Press Release</w:t>
      </w:r>
    </w:p>
    <w:p>
      <w:pPr>
        <w:spacing w:after="0" w:line="229" w:lineRule="exact"/>
        <w:rPr>
          <w:sz w:val="20"/>
          <w:szCs w:val="20"/>
          <w:color w:val="auto"/>
        </w:rPr>
      </w:pPr>
    </w:p>
    <w:p>
      <w:pPr>
        <w:ind w:right="240" w:firstLine="389"/>
        <w:spacing w:after="0" w:line="266" w:lineRule="auto"/>
        <w:rPr>
          <w:sz w:val="20"/>
          <w:szCs w:val="20"/>
          <w:color w:val="auto"/>
        </w:rPr>
      </w:pPr>
      <w:r>
        <w:rPr>
          <w:rFonts w:ascii="Times New Roman" w:cs="Times New Roman" w:eastAsia="Times New Roman" w:hAnsi="Times New Roman"/>
          <w:sz w:val="18"/>
          <w:szCs w:val="18"/>
          <w:color w:val="auto"/>
        </w:rPr>
        <w:t>On November 20, 2019, the Company issued a press release announcing the pricing of its offering of $50 million aggregate principal amount of the Notes in a private placement to qualified institutional buyers pursuant to Rule 144A under the Securities Act. A copy of the press release is attached as Exhibit 99.2 to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Repurchases</w:t>
      </w:r>
    </w:p>
    <w:p>
      <w:pPr>
        <w:spacing w:after="0" w:line="229" w:lineRule="exact"/>
        <w:rPr>
          <w:sz w:val="20"/>
          <w:szCs w:val="20"/>
          <w:color w:val="auto"/>
        </w:rPr>
      </w:pPr>
    </w:p>
    <w:p>
      <w:pPr>
        <w:ind w:firstLine="389"/>
        <w:spacing w:after="0" w:line="266" w:lineRule="auto"/>
        <w:rPr>
          <w:sz w:val="20"/>
          <w:szCs w:val="20"/>
          <w:color w:val="auto"/>
        </w:rPr>
      </w:pPr>
      <w:r>
        <w:rPr>
          <w:rFonts w:ascii="Times New Roman" w:cs="Times New Roman" w:eastAsia="Times New Roman" w:hAnsi="Times New Roman"/>
          <w:sz w:val="18"/>
          <w:szCs w:val="18"/>
          <w:color w:val="auto"/>
        </w:rPr>
        <w:t>On November 20, 2019, the Company entered into separate privately negotiated agreements with certain holders of the its outstanding 2014 Notes to repurchase approximately $50.2 million aggregate principal amount of 2014 Notes for approximately $51.8 million in cash. Following the consummation of these repurchases, the Company estimates that approximately $1.1 million in aggregate principal amount of the 2014 Notes will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200"/>
        <w:spacing w:after="0"/>
        <w:tabs>
          <w:tab w:leader="none" w:pos="570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80"/>
        <w:spacing w:after="0"/>
        <w:tabs>
          <w:tab w:leader="none" w:pos="820" w:val="left"/>
        </w:tabs>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w:anchor="page7">
        <w:r>
          <w:rPr>
            <w:rFonts w:ascii="Times New Roman" w:cs="Times New Roman" w:eastAsia="Times New Roman" w:hAnsi="Times New Roman"/>
            <w:sz w:val="18"/>
            <w:szCs w:val="18"/>
            <w:u w:val="single" w:color="auto"/>
            <w:color w:val="0000EE"/>
          </w:rPr>
          <w:t>Indenture, dated November 22, 2019, between Fluidigm Corporation and U.S. Bank National Association.</w:t>
        </w:r>
      </w:hyperlink>
    </w:p>
    <w:p>
      <w:pPr>
        <w:spacing w:after="0" w:line="225" w:lineRule="exact"/>
        <w:rPr>
          <w:sz w:val="20"/>
          <w:szCs w:val="20"/>
          <w:color w:val="auto"/>
        </w:rPr>
      </w:pPr>
    </w:p>
    <w:p>
      <w:pPr>
        <w:ind w:left="80"/>
        <w:spacing w:after="0"/>
        <w:tabs>
          <w:tab w:leader="none" w:pos="820" w:val="left"/>
        </w:tabs>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w:anchor="page7">
        <w:r>
          <w:rPr>
            <w:rFonts w:ascii="Times New Roman" w:cs="Times New Roman" w:eastAsia="Times New Roman" w:hAnsi="Times New Roman"/>
            <w:sz w:val="18"/>
            <w:szCs w:val="18"/>
            <w:u w:val="single" w:color="auto"/>
            <w:color w:val="0000EE"/>
          </w:rPr>
          <w:t>Form of 5.25% Convertible Senior Note due 2024 (included in Exhibit 4.1).</w:t>
        </w:r>
      </w:hyperlink>
    </w:p>
    <w:p>
      <w:pPr>
        <w:spacing w:after="0" w:line="225" w:lineRule="exact"/>
        <w:rPr>
          <w:sz w:val="20"/>
          <w:szCs w:val="20"/>
          <w:color w:val="auto"/>
        </w:rPr>
      </w:pPr>
    </w:p>
    <w:p>
      <w:pPr>
        <w:ind w:left="840" w:hanging="836"/>
        <w:spacing w:after="0" w:line="282" w:lineRule="auto"/>
        <w:tabs>
          <w:tab w:leader="none" w:pos="820" w:val="left"/>
        </w:tabs>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w:anchor="page112">
        <w:r>
          <w:rPr>
            <w:rFonts w:ascii="Times New Roman" w:cs="Times New Roman" w:eastAsia="Times New Roman" w:hAnsi="Times New Roman"/>
            <w:sz w:val="18"/>
            <w:szCs w:val="18"/>
            <w:u w:val="single" w:color="auto"/>
            <w:color w:val="0000EE"/>
          </w:rPr>
          <w:t>Purchase Agreement, dated November 20, 2019, between Fluidigm Corporation and Barclays Capital Inc., as representative of the several initial</w:t>
        </w:r>
      </w:hyperlink>
      <w:r>
        <w:rPr>
          <w:rFonts w:ascii="Times New Roman" w:cs="Times New Roman" w:eastAsia="Times New Roman" w:hAnsi="Times New Roman"/>
          <w:sz w:val="18"/>
          <w:szCs w:val="18"/>
          <w:u w:val="single" w:color="auto"/>
          <w:color w:val="0000EE"/>
        </w:rPr>
        <w:t xml:space="preserve"> </w:t>
      </w:r>
      <w:hyperlink w:anchor="page112">
        <w:r>
          <w:rPr>
            <w:rFonts w:ascii="Times New Roman" w:cs="Times New Roman" w:eastAsia="Times New Roman" w:hAnsi="Times New Roman"/>
            <w:sz w:val="18"/>
            <w:szCs w:val="18"/>
            <w:u w:val="single" w:color="auto"/>
            <w:color w:val="0000EE"/>
          </w:rPr>
          <w:t>purchasers named in Schedule I thereto.</w:t>
        </w:r>
      </w:hyperlink>
    </w:p>
    <w:p>
      <w:pPr>
        <w:spacing w:after="0" w:line="162" w:lineRule="exact"/>
        <w:rPr>
          <w:rFonts w:ascii="Times New Roman" w:cs="Times New Roman" w:eastAsia="Times New Roman" w:hAnsi="Times New Roman"/>
          <w:sz w:val="18"/>
          <w:szCs w:val="18"/>
          <w:u w:val="single" w:color="auto"/>
          <w:color w:val="0000EE"/>
        </w:rPr>
      </w:pPr>
    </w:p>
    <w:p>
      <w:pPr>
        <w:spacing w:after="0"/>
        <w:tabs>
          <w:tab w:leader="none" w:pos="820" w:val="left"/>
        </w:tabs>
        <w:rPr>
          <w:rFonts w:ascii="Times New Roman" w:cs="Times New Roman" w:eastAsia="Times New Roman" w:hAnsi="Times New Roman"/>
          <w:sz w:val="17"/>
          <w:szCs w:val="17"/>
          <w:u w:val="single" w:color="auto"/>
          <w:color w:val="0000EE"/>
        </w:rPr>
      </w:pPr>
      <w:hyperlink w:anchor="page159">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u w:val="single" w:color="auto"/>
          <w:color w:val="0000EE"/>
        </w:rPr>
        <w:tab/>
      </w:r>
      <w:hyperlink w:anchor="page159">
        <w:r>
          <w:rPr>
            <w:rFonts w:ascii="Times New Roman" w:cs="Times New Roman" w:eastAsia="Times New Roman" w:hAnsi="Times New Roman"/>
            <w:sz w:val="17"/>
            <w:szCs w:val="17"/>
            <w:u w:val="single" w:color="auto"/>
            <w:color w:val="0000EE"/>
          </w:rPr>
          <w:t>Second Amendment to Loan and Security Agreement, dated November 20, 2019, between the Company and Silicon Valley Bank.</w:t>
        </w:r>
      </w:hyperlink>
    </w:p>
    <w:p>
      <w:pPr>
        <w:spacing w:after="0" w:line="225" w:lineRule="exact"/>
        <w:rPr>
          <w:sz w:val="20"/>
          <w:szCs w:val="20"/>
          <w:color w:val="auto"/>
        </w:rPr>
      </w:pPr>
    </w:p>
    <w:p>
      <w:pPr>
        <w:spacing w:after="0"/>
        <w:tabs>
          <w:tab w:leader="none" w:pos="820" w:val="left"/>
        </w:tabs>
        <w:rPr>
          <w:rFonts w:ascii="Times New Roman" w:cs="Times New Roman" w:eastAsia="Times New Roman" w:hAnsi="Times New Roman"/>
          <w:sz w:val="18"/>
          <w:szCs w:val="18"/>
          <w:u w:val="single" w:color="auto"/>
          <w:color w:val="0000EE"/>
        </w:rPr>
      </w:pPr>
      <w:hyperlink w:anchor="page166">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166">
        <w:r>
          <w:rPr>
            <w:rFonts w:ascii="Times New Roman" w:cs="Times New Roman" w:eastAsia="Times New Roman" w:hAnsi="Times New Roman"/>
            <w:sz w:val="18"/>
            <w:szCs w:val="18"/>
            <w:u w:val="single" w:color="auto"/>
            <w:color w:val="0000EE"/>
          </w:rPr>
          <w:t>Launch Press Release dated November 20, 2019.</w:t>
        </w:r>
      </w:hyperlink>
    </w:p>
    <w:p>
      <w:pPr>
        <w:spacing w:after="0" w:line="225" w:lineRule="exact"/>
        <w:rPr>
          <w:sz w:val="20"/>
          <w:szCs w:val="20"/>
          <w:color w:val="auto"/>
        </w:rPr>
      </w:pPr>
    </w:p>
    <w:p>
      <w:pPr>
        <w:spacing w:after="0"/>
        <w:tabs>
          <w:tab w:leader="none" w:pos="820" w:val="left"/>
        </w:tabs>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99.2</w:t>
        </w:r>
      </w:hyperlink>
      <w:r>
        <w:rPr>
          <w:rFonts w:ascii="Times New Roman" w:cs="Times New Roman" w:eastAsia="Times New Roman" w:hAnsi="Times New Roman"/>
          <w:sz w:val="18"/>
          <w:szCs w:val="18"/>
          <w:u w:val="single" w:color="auto"/>
          <w:color w:val="0000EE"/>
        </w:rPr>
        <w:tab/>
      </w:r>
      <w:hyperlink w:anchor="page168">
        <w:r>
          <w:rPr>
            <w:rFonts w:ascii="Times New Roman" w:cs="Times New Roman" w:eastAsia="Times New Roman" w:hAnsi="Times New Roman"/>
            <w:sz w:val="18"/>
            <w:szCs w:val="18"/>
            <w:u w:val="single" w:color="auto"/>
            <w:color w:val="0000EE"/>
          </w:rPr>
          <w:t>Pricing Press Release dated November 20,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0" w:right="4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8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33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November 22, 2019</w:t>
      </w:r>
      <w:r>
        <w:rPr>
          <w:sz w:val="20"/>
          <w:szCs w:val="20"/>
          <w:color w:val="auto"/>
        </w:rPr>
        <w:tab/>
      </w:r>
      <w:r>
        <w:rPr>
          <w:rFonts w:ascii="Times New Roman" w:cs="Times New Roman" w:eastAsia="Times New Roman" w:hAnsi="Times New Roman"/>
          <w:sz w:val="18"/>
          <w:szCs w:val="18"/>
          <w:color w:val="auto"/>
        </w:rPr>
        <w:t>By: /s/ Nicholas Khadder</w:t>
      </w:r>
    </w:p>
    <w:p>
      <w:pPr>
        <w:spacing w:after="0" w:line="7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-127635</wp:posOffset>
            </wp:positionV>
            <wp:extent cx="3404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1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U.S. BANK NATIONAL ASSOCIATION,</w:t>
      </w:r>
    </w:p>
    <w:p>
      <w:pPr>
        <w:spacing w:after="0" w:line="23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Dated as of November 22, 2019</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5.25% Convertible Senior Notes due 2024</w:t>
      </w: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790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60" w:type="dxa"/>
            <w:vAlign w:val="bottom"/>
          </w:tcPr>
          <w:p>
            <w:pPr>
              <w:spacing w:after="0"/>
              <w:rPr>
                <w:sz w:val="20"/>
                <w:szCs w:val="20"/>
                <w:color w:val="auto"/>
              </w:rPr>
            </w:pP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79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1.01.</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1.02.  References to Interest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Issue, Description, Execution, Registration and Exchange of Notes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2.01.  Designation and Amount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2.02.</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Notes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2.03.  Date and Denomination of Notes; Payments of Interest and Defaulted Amounts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2.04.  Execution, Authentication and Delivery of Notes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2.05.  Exchange and Registration of Transfer of Notes; Restrictions on Transfer; Depositary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2.06.  Mutilated, Destroyed, Lost or Stolen Notes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2.07.</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Temporary Notes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2.08.  Cancellation of Notes Paid, Converted, Etc.</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2.09.</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CUSIP Numbers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2.10.  Additional Notes; Repurchases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Satisfaction and Discharge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3.01.  Satisfaction and Discharge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Particular Covenants of the Company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4.01.  Payment of Principal and Interest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4.03.  Appointments to Fill Vacancies in Trustee’s Office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4.04.  Provisions as to Paying Agent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4.05.</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Existence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4.06.  Rule 144A Information Requirement and Annual Reports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4.07.  Stay, Extension and Usury Laws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4.08.  Compliance Certificate; Statements as to Defaults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4.09.  Further Instruments and Acts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Lists of Holders and Reports by the Company and the Trustee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4"/>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5.01.  Lists of 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5.02.</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Preservation and Disclosure of Lists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Defaults and Remedies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6.02.  Acceleration; Rescission and Annulment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6.03.</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Interest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6.04.  Payments of Notes on Default; Suit Therefor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6.05.  Application of Monies Collected by Trustee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6.06.  Proceedings by Holders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6.07.  Proceedings by Trustee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6.08.  Remedies Cumulative and Continuing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6.09.  Direction of Proceedings and Waiver of Defaults by Majority of Holders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6.10.  Notice of Defaults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6.11.  Undertaking to Pay Costs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7.01.  Duties and Responsibilities of Trustee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7.02.  Reliance on Documents, Opinions, Etc.</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7.03.  No Responsibility for Recitals, Etc.</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7.04.  Trustee, Paying Agents, Conversion Agents or Note Registrar May Own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7.05.  Monies and Shares of Common Stock to Be Held in Trust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7.06.  Compensation and Expenses of Trustee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7.07.  Officers’ Certificate as Evidence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7.08.  Eligibility of Trustee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7.09.  Resignation or Removal of Trustee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7.10.  Acceptance by Successor Trustee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7.11.  Succession by Merger, Etc.</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7.12.  Trustee’s Application for Instructions from the Company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Concerning the Holders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8.01.  Action by Holders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8.02.  Proof of Execution by Holders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8.03.  Who Are Deemed Absolute Owners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8.04.  Company-Owned Notes Disregarded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8.05.  Revocation of Consents; Future Holders Bound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32"/>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Holders’ Meetings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4"/>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9.01.  Purpose of Meetings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9.02.  Call of Meetings by Trustee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9.03.  Call of Meetings by Company or Holders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9.04.  Qualifications for Voting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9.05.</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9.06.</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9.07.</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Delay of Rights by Meeting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Supplemental Indentures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4"/>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10.01.  Supplemental Indentures Without Consent of Holders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10.02.  Supplemental Indentures with Consent of Holders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10.03.  Effect of Supplemental Indentures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10.04.  Notation on Notes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Section 10.05.  Evidence of Compliance of Supplemental Indenture and Enforceability of the Supplemental Indenture to Be Furnished</w:t>
            </w:r>
          </w:p>
        </w:tc>
        <w:tc>
          <w:tcPr>
            <w:tcW w:w="380" w:type="dxa"/>
            <w:vAlign w:val="bottom"/>
          </w:tcPr>
          <w:p>
            <w:pPr>
              <w:spacing w:after="0"/>
              <w:rPr>
                <w:sz w:val="18"/>
                <w:szCs w:val="18"/>
                <w:color w:val="auto"/>
              </w:rPr>
            </w:pPr>
          </w:p>
        </w:tc>
      </w:tr>
      <w:tr>
        <w:trPr>
          <w:trHeight w:val="234"/>
        </w:trPr>
        <w:tc>
          <w:tcPr>
            <w:tcW w:w="1740" w:type="dxa"/>
            <w:vAlign w:val="bottom"/>
          </w:tcPr>
          <w:p>
            <w:pPr>
              <w:spacing w:after="0"/>
              <w:rPr>
                <w:sz w:val="20"/>
                <w:szCs w:val="20"/>
                <w:color w:val="auto"/>
              </w:rPr>
            </w:pPr>
          </w:p>
        </w:tc>
        <w:tc>
          <w:tcPr>
            <w:tcW w:w="9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32"/>
        </w:trPr>
        <w:tc>
          <w:tcPr>
            <w:tcW w:w="1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Consolidation, Merger, Sale, Conveyance and Lease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14"/>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11.01.  Company May Consolidate, Etc. on Certain Terms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11.02.  Successor Corporation to Be Substituted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11.03.  Opinion of Counsel to Be Given to Trustee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32"/>
        </w:trPr>
        <w:tc>
          <w:tcPr>
            <w:tcW w:w="1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32"/>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12.01.  Indenture and Notes Solely Corporate Obligations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32"/>
        </w:trPr>
        <w:tc>
          <w:tcPr>
            <w:tcW w:w="1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Delayed Delivery Provision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32"/>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13.01.  Delayed Delivery Provision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32"/>
        </w:trPr>
        <w:tc>
          <w:tcPr>
            <w:tcW w:w="1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14. Conversion of Notes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4"/>
        </w:trPr>
        <w:tc>
          <w:tcPr>
            <w:tcW w:w="1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14.01.</w:t>
            </w:r>
          </w:p>
        </w:tc>
        <w:tc>
          <w:tcPr>
            <w:tcW w:w="9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Privilege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14.02.  Conversion Procedure; Settlement Upon Conversion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Section 14.03.  Increased Conversion Rate Applicable to Certain Notes Surrendered in Connection with a Make-Whole Fundamental Change</w:t>
            </w:r>
          </w:p>
        </w:tc>
        <w:tc>
          <w:tcPr>
            <w:tcW w:w="38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9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 Notice of Early Company Conversion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14.04.  Adjustment of Conversion Rate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14.05.  Adjustments of Prices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14.06.  Shares to Be Fully Paid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14.07.  Effect of Recapitalizations, Reclassifications and Changes of the Common Stock</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14.08.</w:t>
            </w:r>
          </w:p>
        </w:tc>
        <w:tc>
          <w:tcPr>
            <w:tcW w:w="9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Covenants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14.09.  Responsibility of Trustee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14.10.  Notice to Holders Prior to Certain Actions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14.11.  Stockholder Rights Plans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14.12.  Exchange in Lieu of Conversion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14.13.  Company Conversion Option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32"/>
        </w:trPr>
        <w:tc>
          <w:tcPr>
            <w:tcW w:w="1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15. Repurchase of Notes at Option of Holders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14"/>
        </w:trPr>
        <w:tc>
          <w:tcPr>
            <w:tcW w:w="1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15.01.</w:t>
            </w:r>
          </w:p>
        </w:tc>
        <w:tc>
          <w:tcPr>
            <w:tcW w:w="9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15.02.  Repurchase at Option of Holders Upon a Fundamental Change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15.03.  Withdrawal of Fundamental Change Repurchase Notice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15.04.  Deposit of Fundamental Change Repurchase Price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1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15.05.</w:t>
            </w:r>
          </w:p>
        </w:tc>
        <w:tc>
          <w:tcPr>
            <w:tcW w:w="9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Covenant to Comply with Applicable Laws Upon Repurchase of Notes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16. No Optional Redemption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432"/>
        </w:trPr>
        <w:tc>
          <w:tcPr>
            <w:tcW w:w="10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16.01.  No Optional Redemption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432"/>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17. Miscellaneous Provisions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414"/>
        </w:trPr>
        <w:tc>
          <w:tcPr>
            <w:tcW w:w="10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17.01.  Provisions Binding on Company’s Successors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17.02.  Official Acts by Successor Corporation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17.03.  Addresses for Notices, Etc.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17.04.  Governing Law; Jurisdiction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17.05.  Evidence of Compliance with Conditions Precedent; Certificates and Opinions of Counsel to Trustee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17.06.</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 Holidays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17.07.  No Security Interest Created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17.08.  Benefits of Indenture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17.09.  Table of Contents, Headings, Etc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17.10.</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Authenticating Agent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17.11.  Execution in Counterparts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17.12.</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Section 17.13.  Waiver of Jury Trial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17.14.</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Force Majeure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17.15.</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Calculations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1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17.16.</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PATRIOT Act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jc w:val="both"/>
        <w:spacing w:after="0" w:line="268" w:lineRule="auto"/>
        <w:rPr>
          <w:sz w:val="20"/>
          <w:szCs w:val="20"/>
          <w:color w:val="auto"/>
        </w:rPr>
      </w:pPr>
      <w:r>
        <w:rPr>
          <w:rFonts w:ascii="Times New Roman" w:cs="Times New Roman" w:eastAsia="Times New Roman" w:hAnsi="Times New Roman"/>
          <w:sz w:val="18"/>
          <w:szCs w:val="18"/>
          <w:color w:val="auto"/>
        </w:rPr>
        <w:t>INDENTURE dated as of November 22, 2019 between FLUIDIGM CORPORATION, a Delaware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 fully set forth in Section 1.01) and U.S. BANK NATIONAL ASSOCIATION, a national banking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more fully set forth in Section 1.01).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issuance of its 5.25% Convertible Senior Notes due 2024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in an aggregate principal amount not to exceed $55,000,000, and in order to provide the terms and conditions upon which the Notes are to be authenticated, issued and delivered, the Company has duly authorized the execution and delivery of this Indenture; and</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98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 Exception</w:t>
      </w:r>
      <w:r>
        <w:rPr>
          <w:rFonts w:ascii="Times New Roman" w:cs="Times New Roman" w:eastAsia="Times New Roman" w:hAnsi="Times New Roman"/>
          <w:sz w:val="18"/>
          <w:szCs w:val="18"/>
          <w:color w:val="auto"/>
        </w:rPr>
        <w:t>” shall have the meaning specified in Section 14.04(j).</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means all amounts, if any, payable pursuant to Section 4.06(d), Section 4.06(e) and Section 6.03, as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another Person for purposes of this Indenture shall be made based on the facts at the time such determination is made or required to be made, as the case may be, hereunder.</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Procedures</w:t>
      </w:r>
      <w:r>
        <w:rPr>
          <w:rFonts w:ascii="Times New Roman" w:cs="Times New Roman" w:eastAsia="Times New Roman" w:hAnsi="Times New Roman"/>
          <w:sz w:val="18"/>
          <w:szCs w:val="18"/>
          <w:color w:val="auto"/>
        </w:rPr>
        <w:t>” means, with respect to a Depositary, as to any matter at any time, the policies and procedures of such Depositary, if any, that are applicable to such matter at such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for it hereunder.</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Note, any day other than a Saturday, a Sunday or a day on which the Federal Reserve Bank of New York is authorized or required by law or executive order to close or be closed.</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 interests in (however designated) stock issued by that entity.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$0.001 per share, at the date of this Indenture, subject to Section 14.07.</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specified in the first paragraph of this Indenture, and subject to the provisions of Article 11, shall include its successors and assigns.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 the Company’s Chief Executive Officer, Chief Financial Officer, President, Executive or Senior Vice President or any Vice President (whether or not designated by a number or numbers or word or words added before or after the title “Vice President”) and (b) any such other Officer designated in clause (a) of this definition or the Company’s Treasurer or Assistant Treasurer or Secretary or any Assistant Secretary, and delivered to the Trustee.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shall have the meaning specified in Section 14.12.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specified in Section 14.02(c).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Conversion Rate as of such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designated office of the Trustee at which at any time this Indenture shall be administered, which office at the date hereof is located at 633 West Fifth Street, 24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 Los Angeles, CA 90071, Attention: P. Oswald (Fluidigm Corporation Administrator),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for The Depository Trust Company, with respect to the Global Notes, or any successor entity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without limitation, the Fundamental Change Repurchase Price, principal and interest) that are payable but are not punctually paid or duly provided for.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 w:name="page15"/>
    <w:bookmarkEnd w:id="14"/>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delivered</w:t>
      </w:r>
      <w:r>
        <w:rPr>
          <w:rFonts w:ascii="Times New Roman" w:cs="Times New Roman" w:eastAsia="Times New Roman" w:hAnsi="Times New Roman"/>
          <w:sz w:val="18"/>
          <w:szCs w:val="18"/>
          <w:color w:val="auto"/>
        </w:rPr>
        <w:t>” with respect to any notice to be delivered, given or mailed to a 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each case in accordance with Section 17.03. Notice so “delivered” shall be deemed to include any notice to be “mailed” or “given,” as applicable, under this Indenture.</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each Global Note, the Person specified in Section 2.05(b)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or include such successor.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specified in Section 14.03(c), except that, as used in Section 14.04 and Section 14.05,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reflecting the relevant share split or share combination,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specified in Section 6.01.</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the Common Stock under a separate ticker symbol or CUSIP number will not be considered “regular way” for the purposes of this definition and the “Effective Date” definition.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shall have the meaning specified in Section 14.12.</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means the “Form of Assignment and Transfer” attached as Attachment 3 to the Form of Note attached hereto as Exhibit A.</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Fundamental Change Repurchase Notice</w:t>
      </w:r>
      <w:r>
        <w:rPr>
          <w:rFonts w:ascii="Times New Roman" w:cs="Times New Roman" w:eastAsia="Times New Roman" w:hAnsi="Times New Roman"/>
          <w:sz w:val="18"/>
          <w:szCs w:val="18"/>
          <w:color w:val="auto"/>
        </w:rPr>
        <w:t>” means the “Form of Fundamental Change Repurchase Notice” attached as Attachment 2 to the Form of Note attached hereto as Exhibit 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means the “Form of Note” attached hereto as 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Notice of Conversion</w:t>
      </w:r>
      <w:r>
        <w:rPr>
          <w:rFonts w:ascii="Times New Roman" w:cs="Times New Roman" w:eastAsia="Times New Roman" w:hAnsi="Times New Roman"/>
          <w:sz w:val="18"/>
          <w:szCs w:val="18"/>
          <w:color w:val="auto"/>
        </w:rPr>
        <w:t>” means the “Form of Notice of Conversion” attached as Attachment 1 to the Form of Note attached hereto as Exhibit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if any of the following occurs: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“person” or “group” within the meaning of Section 13(d) of the Exchange Act, other than the Company, its direct or indirect Wholly Owned Subsidiaries and the employee benefit plans of the Company and its Wholly Owned Subsidiaries, files a Schedule TO (or any successor schedule) or any schedule, form or report under the Exchange Act disclosing that such person or group has become the direct or indirect “beneficial owner,” as defined in Rule 13d-3 under the Exchange Act, of the Common Equity of the Company representing more than 50% of the voting power of the Common Equity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spacing w:after="0" w:line="18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 any recapitalization, reclassification or change of the Common Stock (other than changes resulting from a subdivision, a combination or solely a change in par value thereof)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related transactions of all or substantially all of the consolidated assets of the Company and its Subsidiaries, taken as a whole, to any Person other than one or more of the Company’s direct or indirect Wholly Owned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transaction described in clause (A) or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spacing w:after="0" w:line="18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any plan or proposal for the liquidation or dissolution of the Company; or</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(or other common stock underlying the Notes) ceases to be listed or quoted on any of The New York Stock Exchange, The Nasdaq Global Select Market or The Nasdaq Global Market (or any of their respective successors);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transactions described in clause (a) and clause (b) above shall not constitute a Fundamental Change, if at least 90%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consideration received or to be received by the common stockholders of the Company, excluding cash payments for fractional shares or pursuant to statutory appraisal rights, in connection with such transaction or transactions consists of shares of common stock or other Common Equity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or pursuant to statutory appraisal rights (subject to the provisions of Section 14.02(a)). If any transaction in which the Common Stock is replaced by the common stock or common equity securities of another entity occurs, following completion of any related Make-Whole Fundamental Change Period (or, in the case of a transaction that would have been a Fundamental Change or a Make-Whole Fundamental Change but for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immediately following clause (d) of this definition, following the effective date of such transaction) references to the Company in this definition shall instead be references to such other entity. For purpose of this definition of “</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xml:space="preserve">,” any transaction that constitutes a Fundamental Change pursuant to both clause (a) and clause (b) of this definition (without giving effect to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to clause (b)) shall be deemed a Fundamental Change solely under clause (b) of this definition (subject to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to clause (b)).</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shall have the meaning specified in Section 15.02(c).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shall have the meaning specified in Section 15.02(b)(i).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specified in Section 2.05(b).</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means any Person in whose name at the time a particular Note is registered on the Note Register.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if amended or supplemented as herein provided, as so amended or supplemented.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each June 1 and December 1 of each year, beginning on June 1, 2020 (or such other date as may be set forth in the certificate representing the applicable Note).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means Indaba Capital Fund, L.P.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Common Stock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last quoted bid price for the Common Stock (or such other security) in the over-the-counter market on the relevant date as reported by OTC Markets Group Inc. or a similar organization. If the Common Stock (or such other security) is not so quoted,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average of the mid-point of the last bid and ask prices per share of the Common Stock (or such other security) on the relevant date from each of at least three nationally recognized independent investment banking firms selected by the Company for this purpose.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determined without regard to after-hours trading or any other trading outside of the regular trading session hours.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xml:space="preserve">” means any transaction or event that constitutes a Fundamental Change (as defined herein and determined after giving effect to any exceptions to or exclusions from such definition, but without regard to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clause (b) of the definition thereof).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on any U.S. exchange relating to the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December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specified in the first paragraph of the recitals of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specified in Section 14.02(b).</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preliminary offering memorandum dated November 20, 2019, as supplemented by the related pricing term sheet dated November 20, 2019, relating to the offering and sale of the Notes.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President, the Chief Executive Officer, the Chief Financial Officer, the Treasurer, the Secretary, any Executive or Senior Vice President or any Vice President (whether or not designated by a number or numbers or word or words added before or after the title “Vice President”).</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when used with respect to the Company, means a certificate that is delivered to the Trustee and that is signed by (a) two Officers of the Company or (b) one Officer of the Company and one of the Treasurer, any Assistant Treasurer, the Secretary, any Assistant Secretary or the Controller of the Company. Each such certificate shall include the statements provided for in Section 17.05 if and to the extent required by the provisions of such Section. One of the Officers giving an Officers’ Certificate pursuant to Section 4.08 shall be the principal executive, financial or accounting officer of the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or other counsel acceptable to the Trustee, that is delivered to the Trustee. Each such opinion shall include the statements provided for in Section 17.05 if and to the extent required by the provisions of such Section 17.05.</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15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cancelled by the Trustee or accepted by the Trustee for cancellation;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converted pursuant to Article 14 and required to be cancelled pursuant to Section 2.08;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repurchased pursuant to Article 15 and cancelled pursuant to Section 2.08.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Notes</w:t>
      </w:r>
      <w:r>
        <w:rPr>
          <w:rFonts w:ascii="Times New Roman" w:cs="Times New Roman" w:eastAsia="Times New Roman" w:hAnsi="Times New Roman"/>
          <w:sz w:val="18"/>
          <w:szCs w:val="18"/>
          <w:color w:val="auto"/>
        </w:rPr>
        <w:t>” means permanent certificated Notes in registered form issued in denominations of $1,000 principal amount and integral multiples thereof.</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Note</w:t>
      </w:r>
      <w:r>
        <w:rPr>
          <w:rFonts w:ascii="Times New Roman" w:cs="Times New Roman" w:eastAsia="Times New Roman" w:hAnsi="Times New Roman"/>
          <w:sz w:val="18"/>
          <w:szCs w:val="18"/>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9" w:name="page20"/>
    <w:bookmarkEnd w:id="19"/>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by contract or otherwise).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with respect to any Interest Payment Date, means the May 15 or November 15 (whether or not such day is a Business Day) immediately preceding the applicable June 1 or December 1 Interest Payment Date,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Restrictive Legend</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Business Day.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Side Letter</w:t>
      </w:r>
      <w:r>
        <w:rPr>
          <w:rFonts w:ascii="Times New Roman" w:cs="Times New Roman" w:eastAsia="Times New Roman" w:hAnsi="Times New Roman"/>
          <w:sz w:val="18"/>
          <w:szCs w:val="18"/>
          <w:color w:val="auto"/>
        </w:rPr>
        <w:t>” means that certain letter agreement, dated as of November 20, 2019, between the Company and the Investor.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xml:space="preserve">” means a Subsidiary of the Company that meets the definition of “significant subsidiary” as defined in Article 1, Rule 1-02 of Regulation S-X promulgated by the Commission;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Subsidiary that meets the criteria of clause (3) thereof but not clause (1) or (2) thereof, such Subsidiary shall not be a “</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unless such Subsidiary’s income (loss) from continuing operations before income taxes, extra items and cumulative effect of changes in accounting principles exclusive of amounts attributable to any non-controlling interests for the last completed fiscal year prior to the date of such determination exceeds $10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shall have the meaning specified in Section 11.01(a).</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day on which (i) there is no Market Disruption Event and (ii) trading in the Common Stock generally occurs on the Nasdaq Global Select Market or, if the Common Stock is not then listed on the Nasdaq Global Select Market, on the principal other U.S. national or regional securities exchange on which the Common Stock or, if the Common Stock is not then listed on a U.S. national or regional securities exchange, on the principal other market on which the Common Stock is then listed or admitted for traded;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Common Stock (or such other security) is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amended, as it was in force at the date of execution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Trust Indenture Act of 1939 is amended after the date hereof, the term “Trust Indenture Act” shall mean, to the extent required by such amendment, the Trust Indenture Act of 1939, as so amended.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shall mean or include each Person who is then a Trustee hereunder.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have the meaning specified in Section 14.04(c).</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1" w:name="page22"/>
    <w:bookmarkEnd w:id="21"/>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Trading Days, the per share volume-weighted average price as displayed under the heading “Bloomberg VWAP” on Bloomberg page “FLDM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55"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7"/>
          <w:szCs w:val="17"/>
          <w:b w:val="1"/>
          <w:bCs w:val="1"/>
          <w:color w:val="auto"/>
        </w:rPr>
        <w:t>References to Interest.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 DESCRIPTION, EXECUTION, REGISTRATION AND EXCHANGE OF NOTES</w:t>
      </w:r>
    </w:p>
    <w:p>
      <w:pPr>
        <w:spacing w:after="0" w:line="203"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b w:val="1"/>
          <w:bCs w:val="1"/>
          <w:color w:val="auto"/>
        </w:rPr>
        <w:t>Designation and Amount.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Notes shall be designated as the “5.25% Convertible Senior Notes due 2024.” The aggregate principal amount of Notes that may be authenticated and delivered under this Indenture is initially limited to $55,000,000, subject to Section 2.10 and except for Notes authenticated and delivered upon registration or transfer of, or in exchange for, or in lieu of other Notes to the extent expressly permitted hereunder.</w:t>
      </w:r>
    </w:p>
    <w:p>
      <w:pPr>
        <w:spacing w:after="0" w:line="172"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b w:val="1"/>
          <w:bCs w:val="1"/>
          <w:color w:val="auto"/>
        </w:rPr>
        <w:t>Form of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case of any conflict between this Indenture and a Note, the provisions of this Indenture shall control to the extent of such conflict.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81"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b w:val="1"/>
          <w:bCs w:val="1"/>
          <w:color w:val="auto"/>
        </w:rPr>
        <w:t>Date and Denomination of Notes; Payments of Interest and Defaulted Amounts.</w:t>
      </w:r>
    </w:p>
    <w:p>
      <w:pPr>
        <w:spacing w:after="0" w:line="229" w:lineRule="exact"/>
        <w:rPr>
          <w:sz w:val="20"/>
          <w:szCs w:val="20"/>
          <w:color w:val="auto"/>
        </w:rPr>
      </w:pPr>
    </w:p>
    <w:p>
      <w:pPr>
        <w:jc w:val="both"/>
        <w:ind w:firstLine="656"/>
        <w:spacing w:after="0" w:line="261" w:lineRule="auto"/>
        <w:tabs>
          <w:tab w:leader="none" w:pos="14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issuable in registered form without coupons in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80" w:lineRule="exact"/>
        <w:rPr>
          <w:rFonts w:ascii="Times New Roman" w:cs="Times New Roman" w:eastAsia="Times New Roman" w:hAnsi="Times New Roman"/>
          <w:sz w:val="18"/>
          <w:szCs w:val="18"/>
          <w:color w:val="auto"/>
        </w:rPr>
      </w:pPr>
    </w:p>
    <w:p>
      <w:pPr>
        <w:jc w:val="both"/>
        <w:ind w:firstLine="656"/>
        <w:spacing w:after="0" w:line="253" w:lineRule="auto"/>
        <w:tabs>
          <w:tab w:leader="none" w:pos="14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continental United States,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Holder or, upon application by such a Holder to the Note Registrar (containing the requisite information for the Trustee or Paying Agent to make such wire transfer)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ind w:firstLine="656"/>
        <w:spacing w:after="0" w:line="266" w:lineRule="auto"/>
        <w:tabs>
          <w:tab w:leader="none" w:pos="13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52" w:lineRule="auto"/>
        <w:tabs>
          <w:tab w:leader="none" w:pos="19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at its address as it appears in the Note Register, or by electronic means to the Depositary in the case of Global Notes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 The Trustee shall have no responsibility whatsoever for the calculation of the Defaulted Amounts.</w:t>
      </w:r>
    </w:p>
    <w:p>
      <w:pPr>
        <w:spacing w:after="0" w:line="19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94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b w:val="1"/>
          <w:bCs w:val="1"/>
          <w:color w:val="auto"/>
        </w:rPr>
        <w:t>Execution, Authentication and Delivery of Notes.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Notes shall be signed in the name and on behalf of the Company by the manual or facsimile signature of its Chief Executive Officer, President, Chief Financial Officer, Treasurer, Secretary or any of its Executive or Senior Vice Presidents.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 provided that the Trustee shall be entitled to receive an Officers’ Certificate and an Opinion of Counsel of the Company with respect to the issuance, authentication and delivery of such Notes, subject to customary qualifications with respect to any such Opinion of Counsel.</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80"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b w:val="1"/>
          <w:bCs w:val="1"/>
          <w:color w:val="auto"/>
        </w:rPr>
        <w:t>Exchange and Registration of Transfer of Notes; Restrictions on Transfer; Depositary.</w:t>
      </w:r>
    </w:p>
    <w:p>
      <w:pPr>
        <w:spacing w:after="0" w:line="229" w:lineRule="exact"/>
        <w:rPr>
          <w:sz w:val="20"/>
          <w:szCs w:val="20"/>
          <w:color w:val="auto"/>
        </w:rPr>
      </w:pPr>
    </w:p>
    <w:p>
      <w:pPr>
        <w:jc w:val="both"/>
        <w:ind w:firstLine="719"/>
        <w:spacing w:after="0" w:line="258" w:lineRule="auto"/>
        <w:tabs>
          <w:tab w:leader="none" w:pos="9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for the purpose of registering Notes and transfers of Notes as herein provided. The Company may appoint one or more co-Note Registrars in accordance with Section 4.02.</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converted pursuant to a Company Conversion Option.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62" w:lineRule="exact"/>
        <w:rPr>
          <w:sz w:val="20"/>
          <w:szCs w:val="20"/>
          <w:color w:val="auto"/>
        </w:rPr>
      </w:pPr>
    </w:p>
    <w:p>
      <w:pPr>
        <w:jc w:val="both"/>
        <w:ind w:firstLine="656"/>
        <w:spacing w:after="0" w:line="258" w:lineRule="auto"/>
        <w:tabs>
          <w:tab w:leader="none" w:pos="161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registered in the name of the Depositary or the nominee of the Depositary.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Applicable Procedures.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firstLine="656"/>
        <w:spacing w:after="0" w:line="256" w:lineRule="auto"/>
        <w:tabs>
          <w:tab w:leader="none" w:pos="1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Note that bears or is required under this Section 2.05(c) to bear the legend set forth in this Section 2.05(c) (together with any Common Stock issued upon conversion of the Notes that is required to bear the legend set forth in Section 2.05(d),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be subject to the restrictions on transfer set forth in this Section 2.05(c)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encompasses any sale, pledge, transfer or other disposition whatsoever of any Restricted Security.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the date (the “</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(the “</w:t>
      </w:r>
      <w:r>
        <w:rPr>
          <w:rFonts w:ascii="Times New Roman" w:cs="Times New Roman" w:eastAsia="Times New Roman" w:hAnsi="Times New Roman"/>
          <w:sz w:val="18"/>
          <w:szCs w:val="18"/>
          <w:b w:val="1"/>
          <w:bCs w:val="1"/>
          <w:color w:val="auto"/>
        </w:rPr>
        <w:t>Restrictive Legend</w:t>
      </w:r>
      <w:r>
        <w:rPr>
          <w:rFonts w:ascii="Times New Roman" w:cs="Times New Roman" w:eastAsia="Times New Roman" w:hAnsi="Times New Roman"/>
          <w:sz w:val="18"/>
          <w:szCs w:val="18"/>
          <w:color w:val="auto"/>
        </w:rPr>
        <w:t>”)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w:t>
      </w:r>
    </w:p>
    <w:p>
      <w:pPr>
        <w:spacing w:after="0" w:line="180" w:lineRule="exact"/>
        <w:rPr>
          <w:sz w:val="20"/>
          <w:szCs w:val="20"/>
          <w:color w:val="auto"/>
        </w:rPr>
      </w:pPr>
    </w:p>
    <w:p>
      <w:pPr>
        <w:jc w:val="both"/>
        <w:ind w:firstLine="656"/>
        <w:spacing w:after="0" w:line="266" w:lineRule="auto"/>
        <w:tabs>
          <w:tab w:leader="none" w:pos="17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2" w:lineRule="exact"/>
        <w:rPr>
          <w:rFonts w:ascii="Times New Roman" w:cs="Times New Roman" w:eastAsia="Times New Roman" w:hAnsi="Times New Roman"/>
          <w:sz w:val="18"/>
          <w:szCs w:val="18"/>
          <w:color w:val="auto"/>
        </w:rPr>
      </w:pPr>
    </w:p>
    <w:p>
      <w:pPr>
        <w:jc w:val="both"/>
        <w:ind w:firstLine="656"/>
        <w:spacing w:after="0" w:line="259" w:lineRule="auto"/>
        <w:tabs>
          <w:tab w:leader="none" w:pos="18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FLUIDIGM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ind w:left="2780" w:hanging="827"/>
        <w:spacing w:after="0"/>
        <w:tabs>
          <w:tab w:leader="none" w:pos="2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225" w:lineRule="exact"/>
        <w:rPr>
          <w:rFonts w:ascii="Times New Roman" w:cs="Times New Roman" w:eastAsia="Times New Roman" w:hAnsi="Times New Roman"/>
          <w:sz w:val="18"/>
          <w:szCs w:val="18"/>
          <w:color w:val="auto"/>
        </w:rPr>
      </w:pPr>
    </w:p>
    <w:p>
      <w:pPr>
        <w:ind w:left="1300" w:firstLine="653"/>
        <w:spacing w:after="0" w:line="282" w:lineRule="auto"/>
        <w:tabs>
          <w:tab w:leader="none" w:pos="33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 AND IS EFFECTIVE AT THE TIME OF SUCH TRANSFER, OR</w:t>
      </w:r>
    </w:p>
    <w:p>
      <w:pPr>
        <w:spacing w:after="0" w:line="161" w:lineRule="exact"/>
        <w:rPr>
          <w:rFonts w:ascii="Times New Roman" w:cs="Times New Roman" w:eastAsia="Times New Roman" w:hAnsi="Times New Roman"/>
          <w:sz w:val="18"/>
          <w:szCs w:val="18"/>
          <w:color w:val="auto"/>
        </w:rPr>
      </w:pPr>
    </w:p>
    <w:p>
      <w:pPr>
        <w:ind w:left="2840" w:hanging="887"/>
        <w:spacing w:after="0"/>
        <w:tabs>
          <w:tab w:leader="none" w:pos="2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QUALIFIED INSTITUTIONAL BUYER IN COMPLIANCE WITH RULE 144A UNDER THE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OR</w:t>
      </w:r>
    </w:p>
    <w:p>
      <w:pPr>
        <w:spacing w:after="0" w:line="206"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33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AFFILIATE (AS DEFINED IN RULE 144 UNDER THE SECURITIES ACT) OF THE COMPANY OR PERSON THAT HAS BEEN AN AFFILIATE (AS DEFINED IN RULE 144 UNDER THE SECURITIES ACT) OF THE COMPANY DURING THE IMMEDIATELY PRECEDING THREE MONTHS MAY PURCHASE, OTHERWISE ACQUIRE OR HOLD THIS SECURITY OR A BENEFICIAL INTEREST HEREIN.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transfer of any Note prior to the Resale Restriction Termination Date will be registered by the Note Registrar unless the applicable box on the Form of Assignment and Transfer has been checked.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Legend required by this Section 2.05(c) and shall not be assigned a restricted CUSIP number. The Restrictive Legend set forth above and affixed on any Note will be deemed, in accordance with the terms of the certificate representing such Note, to be removed therefrom upon the Company’s delivery to the Trustee of written notice to such effect, without further action by the Company, the Trustee, the Holder(s) thereof or any other Person; at such time, such Note will be deemed to be assigned an unrestricted CUSIP number as provided in the certificate representing such Note, it being understood that the Depositary of any Global Note may require a mandatory exchange or other process to cause such Global Note to be identified by an unrestricted CUSIP number in the facilities of such Depositary. Without limiting the generality of any other provision of this Indenture, the Trustee will be entitled to receive an instruction letter, Officers’ Certificate and Opinion from the Company before taking any action to effect any such mandatory exchange or other process.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shall be entitled to instruct the Custodian in writing to so surrender any Global Note as to which any of the conditions set forth in clause (i) through (iii) of the immediately preceding paragraph have been satisfied, and, upon such instruction, the Custodian shall so surrender such Global Note for exchange; and any new Global Note so exchanged therefor shall not bear the Restrictive Legend specified in this Section 2.05(b) and shall not be assigned a restricted CUSIP number. The Company shall promptly notify the Trustee in writing upon the occurrence of the Resale Restriction Termination Date and promptly after a registration statement, if any, with respect to the Notes or any Common Stock issued upon conversion of the Notes has been declared effective under the Securities Act.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provisions of this Indenture (other than the provisions set forth in this Section 2.05(b)),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cancelled.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Physical Notes issued in exchange for all or a part of the Global Note pursuant to this Section 2.05(b)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such time as all interests in a Global Note have been converted, cancelled, repurchased or transferred, such Global Note shall be, upon receipt thereof, cancelled by the Trustee in accordance with standing procedures and existing instructions between the Depositary and the Custodian. At any time prior to such cancellation, if any interest in a Global Note is exchanged for Physical Notes, converted, cancelled, repurchased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Company, the Trustee or any agent of the Company or the Trustee shall have any responsibility or liability for any aspect of the records relating to or payments made on account of beneficial ownership interests of a Global Note or maintaining, supervising or reviewing any records relating to such beneficial ownership interests. None of the Company, the Trustee or any agent of the Company or the Trustee shall have any responsibility or liability for any act or omission of the Depositary.</w:t>
      </w:r>
    </w:p>
    <w:p>
      <w:pPr>
        <w:spacing w:after="0" w:line="180" w:lineRule="exact"/>
        <w:rPr>
          <w:sz w:val="20"/>
          <w:szCs w:val="20"/>
          <w:color w:val="auto"/>
        </w:rPr>
      </w:pPr>
    </w:p>
    <w:p>
      <w:pPr>
        <w:jc w:val="both"/>
        <w:ind w:firstLine="656"/>
        <w:spacing w:after="0" w:line="255" w:lineRule="auto"/>
        <w:tabs>
          <w:tab w:leader="none" w:pos="15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Resale Restriction Termination Date, 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w:t>
      </w:r>
    </w:p>
    <w:p>
      <w:pPr>
        <w:spacing w:after="0" w:line="175" w:lineRule="exact"/>
        <w:rPr>
          <w:sz w:val="20"/>
          <w:szCs w:val="20"/>
          <w:color w:val="auto"/>
        </w:rPr>
      </w:pPr>
    </w:p>
    <w:p>
      <w:pPr>
        <w:jc w:val="both"/>
        <w:ind w:firstLine="656"/>
        <w:spacing w:after="0" w:line="266" w:lineRule="auto"/>
        <w:tabs>
          <w:tab w:leader="none" w:pos="17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both"/>
        <w:ind w:firstLine="656"/>
        <w:spacing w:after="0" w:line="259" w:lineRule="auto"/>
        <w:tabs>
          <w:tab w:leader="none" w:pos="13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FLUIDIGM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IT WILL NOT OFFER, SELL, PLEDGE OR OTHERWISE TRANSFER THIS SECURITY OR ANY BENEFICIAL INTEREST HEREIN PRIOR TO THE DATE THAT IS THE LATER OF (X)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183"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225" w:lineRule="exact"/>
        <w:rPr>
          <w:rFonts w:ascii="Times New Roman" w:cs="Times New Roman" w:eastAsia="Times New Roman" w:hAnsi="Times New Roman"/>
          <w:sz w:val="18"/>
          <w:szCs w:val="18"/>
          <w:color w:val="auto"/>
        </w:rPr>
      </w:pPr>
    </w:p>
    <w:p>
      <w:pPr>
        <w:ind w:left="1300" w:firstLine="653"/>
        <w:spacing w:after="0" w:line="282" w:lineRule="auto"/>
        <w:tabs>
          <w:tab w:leader="none" w:pos="26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 AND IS EFFECTIVE AT THE TIME OF SUCH TRANSFER, OR</w:t>
      </w:r>
    </w:p>
    <w:p>
      <w:pPr>
        <w:spacing w:after="0" w:line="161"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QUALIFIED INSTITUTIONAL BUYER IN COMPLIANCE WITH RULE 144A UNDER THE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OR</w:t>
      </w:r>
    </w:p>
    <w:p>
      <w:pPr>
        <w:spacing w:after="0" w:line="206" w:lineRule="exact"/>
        <w:rPr>
          <w:rFonts w:ascii="Times New Roman" w:cs="Times New Roman" w:eastAsia="Times New Roman" w:hAnsi="Times New Roman"/>
          <w:sz w:val="18"/>
          <w:szCs w:val="18"/>
          <w:color w:val="auto"/>
        </w:rPr>
      </w:pPr>
    </w:p>
    <w:p>
      <w:pPr>
        <w:ind w:left="1300" w:firstLine="653"/>
        <w:spacing w:after="0" w:line="282" w:lineRule="auto"/>
        <w:tabs>
          <w:tab w:leader="none" w:pos="266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TRANSFER AGENT FOR THE COMPANY’S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w:t>
      </w:r>
    </w:p>
    <w:p>
      <w:pPr>
        <w:jc w:val="both"/>
        <w:ind w:firstLine="8"/>
        <w:spacing w:after="0" w:line="254" w:lineRule="auto"/>
        <w:tabs>
          <w:tab w:leader="none" w:pos="3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1" w:name="page32"/>
    <w:bookmarkEnd w:id="31"/>
    <w:p>
      <w:pPr>
        <w:jc w:val="both"/>
        <w:ind w:firstLine="656"/>
        <w:spacing w:after="0" w:line="258" w:lineRule="auto"/>
        <w:tabs>
          <w:tab w:leader="none" w:pos="16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or Common Stock issued upon the conversion or exchange of a Note that is repurchased or owned by any Affiliate of the Company (or any Person who was an Affiliate of the Company at any time during the three months immediately preceding) may not be resold by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transferor shall provide or cause to be provided to the Trustee all information necessary to allow the Trustee to comply with any applicable tax reporting obligations, including without limitation any cost basis reporting obligations under Internal Revenue Code Section 6045. The Trustee may rely on the information provided to it and shall have no responsibility to verify or ensure the accuracy of such information.</w:t>
      </w:r>
    </w:p>
    <w:p>
      <w:pPr>
        <w:spacing w:after="0" w:line="176" w:lineRule="exact"/>
        <w:rPr>
          <w:sz w:val="20"/>
          <w:szCs w:val="20"/>
          <w:color w:val="auto"/>
        </w:rPr>
      </w:pPr>
    </w:p>
    <w:p>
      <w:pPr>
        <w:jc w:val="both"/>
        <w:ind w:firstLine="656"/>
        <w:spacing w:after="0" w:line="258" w:lineRule="auto"/>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0"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b w:val="1"/>
          <w:bCs w:val="1"/>
          <w:color w:val="auto"/>
        </w:rPr>
        <w:t>Mutilated, Destroyed, Lost or Stolen Notes.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conversion or repurchase of mutilated, destroyed, lost or stolen Notes and shall preclude any and all other rights or remedies notwithstanding any law or statute existing or hereafter enacted to the contrary with respect to the replacement, payment, conversion or repurchase of negotiable instruments or other securities without their surrender.</w:t>
      </w:r>
    </w:p>
    <w:p>
      <w:pPr>
        <w:spacing w:after="0" w:line="185"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b w:val="1"/>
          <w:bCs w:val="1"/>
          <w:color w:val="auto"/>
        </w:rPr>
        <w:t>Temporary Notes.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89"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b w:val="1"/>
          <w:bCs w:val="1"/>
          <w:color w:val="auto"/>
        </w:rPr>
        <w:t>Cancellation of Notes Paid, Converted, Etc.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shall cause the Note Registrar, Paying Agent, Conversion Agent (if other than the Trustee) or any other person to forward to the Trustee all Notes surrendered for the purpose of payment, repurchase, registration of transfer or exchange or conversion. All Notes delivered to the Trustee shall be cancelled promptly by it.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cancelled Notes in accordance with its customary procedures.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7"/>
          <w:szCs w:val="17"/>
          <w:b w:val="1"/>
          <w:bCs w:val="1"/>
          <w:color w:val="auto"/>
        </w:rPr>
        <w:t>CUSIP Numbers.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in issuing the Notes may use CUSIP numbers (if then generally in use), and, if so, the Trustee shall use CUSIP numbers in all notices issued to Holders as a convenience to such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76"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b w:val="1"/>
          <w:bCs w:val="1"/>
          <w:color w:val="auto"/>
        </w:rPr>
        <w:t>Additional Notes; Repurchases.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Company may, without the consent of, or notice to, the Holders and notwithstanding Section 2.01, reopen this Indenture and issue additional Notes hereunder with the same terms as the Notes initially issued hereunder (other than differences in the issue date, the issue price and interest accrued prior to the issue date of such additional Notes and, if applicable, restrictions on transfer in respect of such additional Notes) in an unlimited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additional Notes are not fungible with the Notes initially issued hereunder for U.S. federal income tax or securities law purposes, such additional Notes shall have one or more separate CUSIP numbers. The Notes initially issued hereunder and any additional Notes shall rank equally and ratably and shall be treated as a single series for all purposes under this Indenture (except to the extent set forth in the immediately preceding sentence).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without the consent of Holders, directly or indirectly (regardless of whether such Notes are surrendered to the Company), repurchase Notes in the open market or otherwise, whether by the Company or its Subsidiaries or through a private or public tender or exchange offer or through counterparties to private agreements, including by cash-settled swaps or other derivatives. The Company may, at its option and to the extent permitted by applicable law, reissue, resell or surrender to the Trustee for cancellation in accordance with Section 2.08 any Notes that the Company may repurchase, in the case of a reissuance or resale, so long as such Notes do not constitute “restricted securities” within the meaning of Rule 144(a)(3) under the Securities Act upon such reissuance or resale. Any Notes that the Company may repurchase shall be considered outstanding under this Indenture (except for voting purposes as set forth in Section 8.04) unless and until such time the Company surrenders such Notes to the Trustee for cancellation and, upon receipt of a Company Order, the Trustee shall cancel all Notes so surrendered in accordance with Section 2.08.</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03"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8"/>
          <w:szCs w:val="18"/>
          <w:b w:val="1"/>
          <w:bCs w:val="1"/>
          <w:color w:val="auto"/>
        </w:rPr>
        <w:t>Satisfaction and Discharge.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Indenture and the Notes shall upon request of the Company contained in an Officers’ Certificate cease to be of further effect, and the Trustee, at the expense of the Company, shall execute such instruments reasonably requested by the Company acknowledging satisfaction and discharge of this Indenture and the Notes, when (a) (i) all Notes theretofore authenticated and delivered (other than Notes which have been destroyed, lost or stolen and which have been replaced, paid or converted as provided in Section 2.06) have been delivered to the Trustee for cancellation; or (ii) the Company has irrevocably deposited with the Trustee or delivered to Holders, as applicable, after the Notes have become due and payable, whether on the Maturity Date, any Fundamental Change Repurchase Date, upon conversion or otherwise, cash or shares of Common Stock (as applicable, solely to satisfy the Company’s Conversion Obligation), sufficient (accompanied by an opinion of a nationally recognized firm of independent public accountants)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and the Notes, the obligations of the Company to the Trustee under Section 7.06 shall survive.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PARTICULAR COVENANTS OF THE COMPANY</w:t>
      </w:r>
    </w:p>
    <w:p>
      <w:pPr>
        <w:spacing w:after="0" w:line="203"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b w:val="1"/>
          <w:bCs w:val="1"/>
          <w:color w:val="auto"/>
        </w:rPr>
        <w:t>Payment of Principal and Interest.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covenants and agrees that it will cause to be paid the principal (including the Fundamental Change Repurchase Price, if applicable) of, and accrued and unpaid interest on, each of the Notes at the places, at the respective times and in the manner provided herein and in the Notes.</w:t>
      </w:r>
    </w:p>
    <w:p>
      <w:pPr>
        <w:spacing w:after="0" w:line="158"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b w:val="1"/>
          <w:bCs w:val="1"/>
          <w:color w:val="auto"/>
        </w:rPr>
        <w:t>Maintenance of Office or Agency.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maintain in the continental United States an office or agency where the Notes may be surrendered for registration of transfer or exchange or for presentation for payment or repurchase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or for conversion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at the Corporate Trust Office in the continental United States of America as a place where Notes may be presented for payment or for registration of transfer.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designation or rescission shall in any manner relieve the Company of its obligation to maintain an office or agency in the continental United States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include any such additional or other offices or agencies, as applicable.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hereby initially designates the Trustee as the Paying Agent, Note Registrar, Custodian and Conversion Agent and the Corporate Trust Office as the office or agency in the continental United States, where Notes may be surrendered for registration of transfer or exchange or for presentation for payment or repurchase or for conversion and where notices and demands to or upon the Company in respect of the Notes and this Indenture may be served; provided that the Corporate Trust Office shall not be a place for service of legal process on the Company.</w:t>
      </w:r>
    </w:p>
    <w:p>
      <w:pPr>
        <w:spacing w:after="0" w:line="176"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b w:val="1"/>
          <w:bCs w:val="1"/>
          <w:color w:val="auto"/>
        </w:rPr>
        <w:t>Appointments to Fill Vacancies in Trustee’s Office.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7.09, a Trustee, so that there shall at all times be a Trustee hereunder.</w:t>
      </w:r>
    </w:p>
    <w:p>
      <w:pPr>
        <w:spacing w:after="0" w:line="158"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b w:val="1"/>
          <w:bCs w:val="1"/>
          <w:color w:val="auto"/>
        </w:rPr>
        <w:t>Provisions as to Paying Agent.</w:t>
      </w:r>
    </w:p>
    <w:p>
      <w:pPr>
        <w:spacing w:after="0" w:line="229" w:lineRule="exact"/>
        <w:rPr>
          <w:sz w:val="20"/>
          <w:szCs w:val="20"/>
          <w:color w:val="auto"/>
        </w:rPr>
      </w:pPr>
    </w:p>
    <w:p>
      <w:pPr>
        <w:ind w:firstLine="656"/>
        <w:spacing w:after="0" w:line="282" w:lineRule="auto"/>
        <w:tabs>
          <w:tab w:leader="none" w:pos="14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4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(including the Fundamental Change Repurchase Price, if applicable) of, and accrued and unpaid interest on, the Notes in trust for the benefit of the Holders of the Notes;</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4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prompt written notice of any failure by the Company to make any payment of the principal (including the Fundamental Change Repurchase Price, if applicable) of, and accrued and unpaid interest on, the Notes when the same shall be due and payable; and</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22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any time during the continuance of an Event of Default, upon request of the Trustee, it will forthwith pay to the Trustee all sums so held in trust.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shall, on or before each due date of the principal (including the Fundamental Change Repurchase Price, if applicable) of, or accrued and unpaid interest on, the Notes, deposit with the Paying Agent a sum sufficient to pay such principal (including the Fundamental Change Repurchase Price, if applicable) or accrued and unpaid interest, and (unless such Paying Agent is the Trustee) the Company will promptly notify the Trustee in writing of any failure to take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deposit is made on the due date, such deposit must be received by the Paying Agent by 11:00 a.m., New York City time, on such date.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both"/>
        <w:ind w:firstLine="656"/>
        <w:spacing w:after="0" w:line="256" w:lineRule="auto"/>
        <w:tabs>
          <w:tab w:leader="none" w:pos="14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it will, on or before each due date of the principal (including the Fundamental Change Repurchase Price, if applicable) of, and accrued and unpaid interest on, the Notes, set aside, segregate and hold in trust for the benefit of the Holders of the Notes a sum sufficient to pay such principal (including the Fundamental Change Repurchase Price, if applicable) and accrued and unpaid interest so becoming due and will promptly notify the Trustee in writing of any failure to take such action and of any failure by the Company to make any payment of the principal (including the Fundamental Change Repurchase Price, if applicable) of, or accrued and unpaid interest on, the Notes when the same shall become due and payable.</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 Upon the occurrence of any event specified in Section 6.01(h) or Section 6.01(i), the Trustee shall automatically become the Paying Agent.</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4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escheatment laws and any money and shares of Common Stock deposited with the Trustee or any Paying Agent, or then held by the Company, in trust for the payment of the principal (including the Fundamental Change Repurchase Price, if applicable) of, accrued and unpaid interest on and the consideration due upon conversion of any Note and remaining unclaimed for two years after such principal (including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Trustee shall have no further liability with respect to such funds;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w:t>
      </w:r>
    </w:p>
    <w:p>
      <w:pPr>
        <w:spacing w:after="0" w:line="181"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b w:val="1"/>
          <w:bCs w:val="1"/>
          <w:color w:val="auto"/>
        </w:rPr>
        <w:t>Existence.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Article 11, the Company shall do or cause to be done all things necessary to preserve and keep in full force and effect its corporate existence.</w:t>
      </w:r>
    </w:p>
    <w:p>
      <w:pPr>
        <w:spacing w:after="0" w:line="158"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8"/>
          <w:szCs w:val="18"/>
          <w:b w:val="1"/>
          <w:bCs w:val="1"/>
          <w:color w:val="auto"/>
        </w:rPr>
        <w:t>Rule 144A Information Requirement and Annual Reports.</w:t>
      </w:r>
    </w:p>
    <w:p>
      <w:pPr>
        <w:spacing w:after="0" w:line="229" w:lineRule="exact"/>
        <w:rPr>
          <w:sz w:val="20"/>
          <w:szCs w:val="20"/>
          <w:color w:val="auto"/>
        </w:rPr>
      </w:pPr>
    </w:p>
    <w:p>
      <w:pPr>
        <w:jc w:val="both"/>
        <w:ind w:firstLine="656"/>
        <w:spacing w:after="0" w:line="258" w:lineRule="auto"/>
        <w:tabs>
          <w:tab w:leader="none" w:pos="15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both"/>
        <w:ind w:firstLine="656"/>
        <w:spacing w:after="0" w:line="255" w:lineRule="auto"/>
        <w:tabs>
          <w:tab w:leader="none" w:pos="17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with the Trustee, within 15 days after the same are required to be filed with the Commission, copies of any documents or reports (excluding any such information, documents or reports, or portions thereof, subject to confidential treatment and any correspondence with the Commission) that the Company is required to file with the Commission pursuant to Section 13 or 15(d) of the Exchange Act (giving effect to any grace period provided by Rule 12b-25 or any successor rule under the Exchange Act). Any such document or report that the Company files with the Commission via the Commission’s EDGAR system (or any successor thereto) shall be deemed to be filed with the Trustee for purposes of this Section 4.06(b) at the time such documents are filed via the EDGAR system (or any successor thereto), it being understood that the Trustee shall not be responsible for determining whether such filings have been made or for their timeliness or their content.</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15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reports, information and documents described in subsection (b) above to the Trustee is for informational purposes only, and the information and the Trustee’s receipt of the foregoing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 The Trustee shall have no obligation whatsoever to monitor or confirm, on a continuing basis or otherwise, the Company’s compliance with its covenants or with respect to any reports or other documents filed with the Commission via the EDGAR system (or any successor thereto) or any other website, or to participate in any conference calls.</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5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(after giving effect to all applicable grace periods thereunder and other than reports on Form 8-K), or the Notes are not otherwise freely tradable pursuant to Rule 144 by Holders other than the Company’s Affiliates or Holders that have been the Company’s Affiliates at any time during the three months immediately preceding (as a result of restrictions pursuant to U.S. securities laws or the terms of this Indenture or the Notes), the Company shall pay Additional Interest on the Notes. Such Additional Interest shall accrue on the Notes at the rate of 0.50% per annum of the principal amount of the Notes outstanding for each day during such period for which the Company’s failure to file has occurred and is continuing or the Notes are not otherwise freely tradable pursuant to Rule 144 by Holders other than the Company’s Affiliates (or Holders that have been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ind w:firstLine="656"/>
        <w:spacing w:after="0" w:line="254" w:lineRule="auto"/>
        <w:tabs>
          <w:tab w:leader="none" w:pos="16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for so long as, the Restrictive Legend on the Notes specified in Section 2.05(b) has not been removed (or deemed removed as provided in Section 2.05(b)), the Notes are assigned a restricted CUSIP number or the Notes are not otherwise freely tradable pursuant to Rule 144 by Holders other than the Company’s Affiliates or Holders that have been the Company’s Affiliates at any time during the three months immediately preceding (as a result of restrictions pursuant to U.S. securities laws or the terms of this Indenture or the Notes) as of the 380th day after the last date of original issuance of the Notes, the Company shall pay Additional Interest on the Notes at a rate equal to 0.50% per annum of the principal amount of Notes outstanding for</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each day from, and including, such 380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until the Restrictive Legend on the Notes has been removed in accordance with Section 2.05(c), the Notes are assigned an unrestricted CUSIP number and the Notes are freely tradable pursuant to Rule 144 by Holders other than the Company’s Affiliates (or Holders that have been the Company’s Affiliates at any time during the three months immediately preceding) without restrictions pursuant to U.S. securities laws or the terms of this Indenture or the Notes. The Restrictive Legend on the Notes shall be deemed removed pursuant to the terms of the Indenture as provided in Section 2.05(b), and, at such time, the Notes will, pursuant to, and subject to the provisions of, such Section, be deemed assigned an unrestricted CUSIP number. However, for the avoidance of doubt, Global Notes will continue to bear Additional Interest pursuant to this paragraph until such time as they are identified by an unrestricted CUSIP in the facilities of the Depositary or any successor depositary for the Notes, as a result of completion of the Depositary’s mandatory exchange process or otherwise.</w:t>
      </w:r>
    </w:p>
    <w:p>
      <w:pPr>
        <w:spacing w:after="0" w:line="203" w:lineRule="exact"/>
        <w:rPr>
          <w:sz w:val="20"/>
          <w:szCs w:val="20"/>
          <w:color w:val="auto"/>
        </w:rPr>
      </w:pPr>
    </w:p>
    <w:p>
      <w:pPr>
        <w:ind w:left="1580" w:hanging="924"/>
        <w:spacing w:after="0"/>
        <w:tabs>
          <w:tab w:leader="none" w:pos="1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Interest will be payable in arrears on each Interest Payment Date following accrual in the same manner as regular interest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w:t>
      </w:r>
    </w:p>
    <w:p>
      <w:pPr>
        <w:spacing w:after="0" w:line="206" w:lineRule="exact"/>
        <w:rPr>
          <w:rFonts w:ascii="Times New Roman" w:cs="Times New Roman" w:eastAsia="Times New Roman" w:hAnsi="Times New Roman"/>
          <w:sz w:val="18"/>
          <w:szCs w:val="18"/>
          <w:color w:val="auto"/>
        </w:rPr>
      </w:pPr>
    </w:p>
    <w:p>
      <w:pPr>
        <w:jc w:val="both"/>
        <w:ind w:firstLine="656"/>
        <w:spacing w:after="0" w:line="255" w:lineRule="auto"/>
        <w:tabs>
          <w:tab w:leader="none" w:pos="16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immediately succeeding sentence, the Additional Interest that is payable in accordance with Section 4.06(d) or Section 4.06(e) shall be in addition to, and not in lieu of, any Additional Interest that may be payable as a result of the Company’s election pursuant to Section 6.03. Notwithstanding the foregoing, in no event shall Additional Interest with respect to the Notes payable as a result of the Company’s failure to timely file any document or report that it is required to file with the Commission pursuant to Section 13 or 15(d) of the Exchange Act, as applicable (after giving effect to any grace period provided by Rule 12b-25 or any successor rule under the Exchange Act), as set forth in under Section 4.06(d), together with any Additional Interest that may accrue at the Company’s election pursuant to Section 6.03, accrue at a rate in excess of 0.50% per annum pursuant to this Indenture, regardless of the number of events or circumstances giving rise to the requirement to pay such Additional Interest.</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17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Additional Interest is payable by the Company pursuant to Section 4.06(d) or Section 4.06(e),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180"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4.07.</w:t>
      </w:r>
      <w:r>
        <w:rPr>
          <w:sz w:val="20"/>
          <w:szCs w:val="20"/>
          <w:color w:val="auto"/>
        </w:rPr>
        <w:tab/>
      </w:r>
      <w:r>
        <w:rPr>
          <w:rFonts w:ascii="Times New Roman" w:cs="Times New Roman" w:eastAsia="Times New Roman" w:hAnsi="Times New Roman"/>
          <w:sz w:val="17"/>
          <w:szCs w:val="17"/>
          <w:b w:val="1"/>
          <w:bCs w:val="1"/>
          <w:color w:val="auto"/>
        </w:rPr>
        <w:t>Stay, Extension and Usury 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4.08.</w:t>
      </w:r>
      <w:r>
        <w:rPr>
          <w:sz w:val="20"/>
          <w:szCs w:val="20"/>
          <w:color w:val="auto"/>
        </w:rPr>
        <w:tab/>
      </w:r>
      <w:r>
        <w:rPr>
          <w:rFonts w:ascii="Times New Roman" w:cs="Times New Roman" w:eastAsia="Times New Roman" w:hAnsi="Times New Roman"/>
          <w:sz w:val="17"/>
          <w:szCs w:val="17"/>
          <w:b w:val="1"/>
          <w:bCs w:val="1"/>
          <w:color w:val="auto"/>
        </w:rPr>
        <w:t>Compliance Certificate; Statements as to Defaults.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of the Company (beginning with the fiscal year ending on December 31, 2019) an Officers’ Certificate stating whether the signers thereof have knowledge of any failure by the Company to comply with all conditions and covenants then required to be performed under this Indenture and, if so, specifying each such failure and the nature thereof.</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Company shall deliver to the Trustee within 30 days after the occurrence of any Event of Default or Default, an Officers’ Certificate setting forth the details of such Event of Default or Default, its status and the action that the Company is taking or proposing to take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notice is required if the event that would constitute a Default has been cured or waived before the date on which the Company is required to deliver such notice.</w:t>
      </w:r>
    </w:p>
    <w:p>
      <w:pPr>
        <w:spacing w:after="0" w:line="176"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4.09.</w:t>
      </w:r>
      <w:r>
        <w:rPr>
          <w:sz w:val="20"/>
          <w:szCs w:val="20"/>
          <w:color w:val="auto"/>
        </w:rPr>
        <w:tab/>
      </w:r>
      <w:r>
        <w:rPr>
          <w:rFonts w:ascii="Times New Roman" w:cs="Times New Roman" w:eastAsia="Times New Roman" w:hAnsi="Times New Roman"/>
          <w:sz w:val="17"/>
          <w:szCs w:val="17"/>
          <w:b w:val="1"/>
          <w:bCs w:val="1"/>
          <w:color w:val="auto"/>
        </w:rPr>
        <w:t>Further Instruments and Acts.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request of the Trustee, the Company will execute and deliver such further instruments and do such further acts as may be reasonably necessary or proper to carry out more effectively the purposes of this Indenture.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LISTS OF HOLDERS AND REPORTS BY THE COMPANY AND THE TRUSTEE</w:t>
      </w:r>
    </w:p>
    <w:p>
      <w:pPr>
        <w:spacing w:after="0" w:line="203"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b w:val="1"/>
          <w:bCs w:val="1"/>
          <w:color w:val="auto"/>
        </w:rPr>
        <w:t>Lists of 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covenants and agrees that it will furnish or cause to be furnished to the Trustee, semi-annually, not more than 15 days after each January 15 and July 15 in each year beginning with January 15, 2020,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84"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b w:val="1"/>
          <w:bCs w:val="1"/>
          <w:color w:val="auto"/>
        </w:rPr>
        <w:t>Preservation and Disclosure of Lists.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3"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b w:val="1"/>
          <w:b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229" w:lineRule="exact"/>
        <w:rPr>
          <w:sz w:val="20"/>
          <w:szCs w:val="20"/>
          <w:color w:val="auto"/>
        </w:rPr>
      </w:pPr>
    </w:p>
    <w:p>
      <w:pPr>
        <w:ind w:left="1540" w:hanging="88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and payable, and the default continues for a period of 30 days;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7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on the Maturity Date, upon any required repurchase, upon declaration of acceleration or otherwise;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this Indenture upon exercise of a Holder’s conversion right or a Company Conversion Option and such failure continues for a period of three Business Days;</w:t>
      </w:r>
    </w:p>
    <w:p>
      <w:pPr>
        <w:spacing w:after="0" w:line="161"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issue a Fundamental Change Company Notice in accordance with Section 15.02(c);</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under Article 11;</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written notice from the Trustee or the Holders of at least 25% in aggregate principal amount of the Notes then outstanding has been received by the Company to comply with any of its other agreements contained in the Notes or this Indenture;</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$7.5 million (or its foreign currency equivalent) in the aggregate of the Company and/or any such Significant Subsidiary, whether such indebtedness now exists or shall hereafter be created (i) resulting in such indebtedness becoming or being declared due and payable prior to its stated maturity or (ii) constituting a failure to pay the principal of any such indebtedness when due and payable at its stated maturity, upon required repurchase, upon declaration of acceleration or otherwise and in the case of clauses (i) and (ii), such acceleration shall not, after the expiration of any applicable grace period, have been rescinded or annulled or such failure to pay or default shall not have been cured or waived, or such indebtedness shall not have been paid or discharged, as the case may be, within 30 days after written notice to the Company by the Trustee or to the Company and the Trustee by Holders of at least 25% in aggregate principal amount of Notes then outstanding in accordance with this Indenture;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1" w:name="page42"/>
    <w:bookmarkEnd w:id="41"/>
    <w:p>
      <w:pPr>
        <w:jc w:val="both"/>
        <w:ind w:firstLine="656"/>
        <w:spacing w:after="0" w:line="256" w:lineRule="auto"/>
        <w:tabs>
          <w:tab w:leader="none" w:pos="1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7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30 consecutive days.</w:t>
      </w:r>
    </w:p>
    <w:p>
      <w:pPr>
        <w:spacing w:after="0" w:line="180"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7"/>
          <w:szCs w:val="17"/>
          <w:b w:val="1"/>
          <w:bCs w:val="1"/>
          <w:color w:val="auto"/>
        </w:rPr>
        <w:t>Acceleration; Rescission and Annulment.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unless the principal of all of the Notes shall have already become due and payable, either the Trustee or the Holders of at least 25% in aggregate principal amount of the Notes then outstanding determined in accordance with Section 8.04, by written notice in writing to the Company (and to the Trustee if given by Holders), may declare 100% of the principal of, and accrued and unpaid interest, if any, on, the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6.01(h) or Section 6.01(i) with respect to the Company occurs and is continuing, 100% of the principal of, and accrued and unpaid interest on, the Notes shall automatically become due and payable.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interest upon all Notes and the principal of any and all Notes that shall have become due otherwise than by acceleration (with interest on overdue installments of accrued and unpaid interest to the extent that payment of such interest is enforceable under applicable law, and on such principal at the rate borne by the Notes at such time)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continuing Default or Event of Default resulting from (i) the nonpayment of the principal (including the Fundamental Change Repurchase Price, if applicable) of, or accrued and unpaid interest on, any Notes, (ii) a failure to repurchase any Notes when required or (iii) a failure to pay or deliver, as the case may be, the consideration due upon conversion of the Notes.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b w:val="1"/>
          <w:bCs w:val="1"/>
          <w:color w:val="auto"/>
        </w:rPr>
        <w:t>Additional Interest.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in this Indenture or in the Notes to the contrary, to the extent the Company elects, the sole remedy for an Event of Default relating to the Company’s failure to comply with its obligations as set forth in Section 4.06(b) shall, for the first 360 days after the occurrence of such an Event of Default, consist exclusively of the right to receive Additional Interest on the Notes at a rate equal to 0.25% per annum of the principal amount of the Notes outstanding for each day during the first 180 days after the occurrence of such Event of Default and 0.50% per annum of the principal amount of the Notes outstanding from the 181st day until the 360th day after the occurrence of such Event of Default during which such Event of Default is continuing. Additional Interest payable pursuant to this Section 6.03 shall be in addition to, not in lieu of, any Additional Interest payable pursuant to Section 4.06(d) or Section 4.06(e), subject to the second immediately succeeding paragraph. If the Company so elects, such Additional Interest shall be payable in the same manner and on the same dates as the stated interest payable on the Notes. On the 361st day after such Event of Default (if the Event of Default relating to the Company’s failure to comply with its obligations set forth in Section 4.06(b) is not cured or waived in accordance with this Indenture prior to such 361st day), the Notes shall be immediately subject to acceleration as provided in Section 6.02. The provisions of this paragraph will not affect the rights of Holders of Notes in the event of the occurrence of any Event of Default other than the Company’s failure to comply with its obligations set forth in Section 4.06(b). In the event the Company does not elect to pay Additional Interest following an Event of Default in accordance with this Section 6.03 or the Company elected to make such payment but does not pay the Additional Interest when due, the Notes shall be immediately subject to acceleration as provided in Section 6.02.</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elect to pay Additional Interest as the sole remedy during the first 360 days after the occurrence of any Event of Default described in the immediately preceding paragraph, the Company must notify all Holders of the Notes, the Trustee and the Paying Agent of such election in writing prior to the beginning of such 360-day period. Upon the Company’s failure to timely give such notice, the Notes shall be immediately subject to acceleration as provided in Section 6.02.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In no event shall Additional Interest payable at the Company’s election for failure to comply with its reporting obligations as set forth in Section 4.06(b), together with any Additional Interest that may accrue pursuant to Section 4.06(d) as a result of the Company’s failure to timely file any document or report that the Company is required to file with the Commission pursuant to Section 13 or 15(d) of the Exchange Act, as applicable (after giving effect to any grace period provided by Rule 12b-25 or any successor rule under the Exchange Act), accrue at a rate in excess of 0.50% per annum pursuant to this Indenture, regardless of the number of the events or circumstances giving rise to the requirement to pay such Additional Interest.</w:t>
      </w:r>
    </w:p>
    <w:p>
      <w:pPr>
        <w:spacing w:after="0" w:line="180"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7"/>
          <w:szCs w:val="17"/>
          <w:b w:val="1"/>
          <w:bCs w:val="1"/>
          <w:color w:val="auto"/>
        </w:rPr>
        <w:t>Payments of Notes on Default; Suit Therefor.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an Event of Default described in clause (a) or (b) of Section 6.01 shall have occurred,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compensation, expenses, disbursements and advances of the Trustee, its agents and counsel, be for the ratable benefit of the Holders of the Notes.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80"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b w:val="1"/>
          <w:bCs w:val="1"/>
          <w:color w:val="auto"/>
        </w:rPr>
        <w:t>Application of Monies Collected by Trustee.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monies or property collected by the Trustee pursuant to this Article 6 with 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under Section 7.06;</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in case the principal of the outstanding Notes shall not have become due and be unpaid, to the payment of interest on, and any cash due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of, the 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in case the principal of the outstanding Notes shall have become due, by declaration or otherwise, and be unpaid to the payment of the whole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if applicable, the payment of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Fundamental Change Repurchase Price and any cash due upon conversion) and accrued and unpaid interest; 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to the payment of the remainder, if any, to the Company.</w:t>
      </w:r>
    </w:p>
    <w:p>
      <w:pPr>
        <w:spacing w:after="0" w:line="225"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7"/>
          <w:szCs w:val="17"/>
          <w:b w:val="1"/>
          <w:bCs w:val="1"/>
          <w:color w:val="auto"/>
        </w:rPr>
        <w:t>Proceedings by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to enforce the right to receive payment of principal (including, if applicable, the Fundamental Change Repurchase Price) or interest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80" w:lineRule="exact"/>
        <w:rPr>
          <w:sz w:val="20"/>
          <w:szCs w:val="20"/>
          <w:color w:val="auto"/>
        </w:rPr>
      </w:pPr>
    </w:p>
    <w:p>
      <w:pPr>
        <w:ind w:left="1660" w:hanging="1004"/>
        <w:spacing w:after="0"/>
        <w:tabs>
          <w:tab w:leader="none" w:pos="1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previously shall have given to the Trustee written notice of an Event of Default and of the continuance thereof, as herein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7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shall have offered to the Trustee such security or indemnity reasonably satisfactory to it against any loss, liability or expense to be incurred therein or thereby;</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such security or indemnity, shall have neglected or refused to institute any such action, suit or proceeding;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6" w:name="page47"/>
    <w:bookmarkEnd w:id="46"/>
    <w:p>
      <w:pPr>
        <w:jc w:val="both"/>
        <w:ind w:firstLine="656"/>
        <w:spacing w:after="0" w:line="255" w:lineRule="auto"/>
        <w:tabs>
          <w:tab w:leader="none" w:pos="171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 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(it being understood that the Trustee shall not have an affirmative duty to ascertain whether or not any such direction is unduly prejudicial to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Indenture and any provision of any Note, each Holder shall have the right to receive payment or delivery, as the case may be, of (x) the principal (including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 and such right to receive such payment or delivery, as the case may be, on or after such respective dates shall not be impaired or affected without the consent of the Holder.</w:t>
      </w:r>
    </w:p>
    <w:p>
      <w:pPr>
        <w:spacing w:after="0" w:line="180"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b w:val="1"/>
          <w:bCs w:val="1"/>
          <w:color w:val="auto"/>
        </w:rPr>
        <w:t>Proceedings by Trustee.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case of an Event of Default, the Trustee may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6"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7"/>
          <w:szCs w:val="17"/>
          <w:b w:val="1"/>
          <w:bCs w:val="1"/>
          <w:color w:val="auto"/>
        </w:rPr>
        <w:t>Remedies Cumulative and Continuing.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6.09.</w:t>
      </w:r>
      <w:r>
        <w:rPr>
          <w:sz w:val="20"/>
          <w:szCs w:val="20"/>
          <w:color w:val="auto"/>
        </w:rPr>
        <w:tab/>
      </w:r>
      <w:r>
        <w:rPr>
          <w:rFonts w:ascii="Times New Roman" w:cs="Times New Roman" w:eastAsia="Times New Roman" w:hAnsi="Times New Roman"/>
          <w:sz w:val="17"/>
          <w:szCs w:val="17"/>
          <w:b w:val="1"/>
          <w:bCs w:val="1"/>
          <w:color w:val="auto"/>
        </w:rPr>
        <w:t>Direction of Proceedings and Waiver of Defaults by Majority of Holders.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such direction shall not be in conflict with any rule of law or with this Indenture, and (b) the Trustee may take any other action deemed proper by the Trustee that is not inconsistent with such direction. The Trustee may refuse to follow any direction that it determines is unduly prejudicial to the rights of any other Holder or that would involve the Trustee in personal liability (it being understood that the Trustee shall not have an affirmative duty to ascertain whether or not any such direction is unduly prejudicial to any other Holder). The Holders of a majority in aggregate principal amount of the Notes at the time outstanding determined in accordance with Section 8.04 may on behalf of the Holders of all of the Notes waive any past Default or Event of Default hereunder and its consequences except (i) a continuing default in the payment of accrued and unpaid interest, if any, on, or the principal (including any Fundamental Change Repurchase Price) of, the Notes when due that has not been cured pursuant to the provisions of Section 6.01, (ii) a continuing failure by the Company to pay or deliver, as the case may be, the consideration due upon conversion of the Notes or (iii) a continuing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92"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7"/>
          <w:szCs w:val="17"/>
          <w:b w:val="1"/>
          <w:bCs w:val="1"/>
          <w:color w:val="auto"/>
        </w:rPr>
        <w:t>Notice of Defaults.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Trustee shall, within 90 days after the occurrence and continuance of a Default of which a Responsible Officer has actual knowledge, deliver to all Holders notice of all Defaults known to a Responsible Officer, unless such Defaults shall have been cured or waived before the giving of such notice;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except in the case of a Default in the payment of principal of (including the Fundamental Change Repurchase Price, if applicable), or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any of the Notes or a Default in the payment or delivery of the consideration due upon conversion, the Trustee may withhold such notice if and so long as the Trustee in good faith determines that the withholding of such notice is in the interests of the Holders.</w:t>
      </w:r>
    </w:p>
    <w:p>
      <w:pPr>
        <w:spacing w:after="0" w:line="180" w:lineRule="exact"/>
        <w:rPr>
          <w:sz w:val="20"/>
          <w:szCs w:val="20"/>
          <w:color w:val="auto"/>
        </w:rPr>
      </w:pPr>
    </w:p>
    <w:p>
      <w:pPr>
        <w:ind w:left="980"/>
        <w:spacing w:after="0"/>
        <w:tabs>
          <w:tab w:leader="none" w:pos="270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7"/>
          <w:szCs w:val="17"/>
          <w:b w:val="1"/>
          <w:bCs w:val="1"/>
          <w:color w:val="auto"/>
        </w:rPr>
        <w:t>Undertaking to Pay Costs.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03"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b w:val="1"/>
          <w:bCs w:val="1"/>
          <w:color w:val="auto"/>
        </w:rPr>
        <w:t>Duties and Responsibilities of Trustee.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liability or expense that might be incurred by it in compliance with such request or direction.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162" w:lineRule="exact"/>
        <w:rPr>
          <w:sz w:val="20"/>
          <w:szCs w:val="20"/>
          <w:color w:val="auto"/>
        </w:rPr>
      </w:pPr>
    </w:p>
    <w:p>
      <w:pPr>
        <w:ind w:left="1480" w:hanging="824"/>
        <w:spacing w:after="0"/>
        <w:tabs>
          <w:tab w:leader="none" w:pos="1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Events of Default that may have occurred:</w:t>
      </w:r>
    </w:p>
    <w:p>
      <w:pPr>
        <w:spacing w:after="0" w:line="225" w:lineRule="exact"/>
        <w:rPr>
          <w:rFonts w:ascii="Times New Roman" w:cs="Times New Roman" w:eastAsia="Times New Roman" w:hAnsi="Times New Roman"/>
          <w:sz w:val="18"/>
          <w:szCs w:val="18"/>
          <w:color w:val="auto"/>
        </w:rPr>
      </w:pPr>
    </w:p>
    <w:p>
      <w:pPr>
        <w:jc w:val="both"/>
        <w:ind w:left="660" w:firstLine="774"/>
        <w:spacing w:after="0" w:line="266" w:lineRule="auto"/>
        <w:tabs>
          <w:tab w:leader="none" w:pos="2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76" w:lineRule="exact"/>
        <w:rPr>
          <w:rFonts w:ascii="Times New Roman" w:cs="Times New Roman" w:eastAsia="Times New Roman" w:hAnsi="Times New Roman"/>
          <w:sz w:val="18"/>
          <w:szCs w:val="18"/>
          <w:color w:val="auto"/>
        </w:rPr>
      </w:pPr>
    </w:p>
    <w:p>
      <w:pPr>
        <w:jc w:val="both"/>
        <w:ind w:left="660" w:firstLine="774"/>
        <w:spacing w:after="0" w:line="258" w:lineRule="auto"/>
        <w:tabs>
          <w:tab w:leader="none" w:pos="231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9" w:name="page50"/>
    <w:bookmarkEnd w:id="49"/>
    <w:p>
      <w:pPr>
        <w:ind w:firstLine="656"/>
        <w:spacing w:after="0" w:line="282" w:lineRule="auto"/>
        <w:tabs>
          <w:tab w:leader="none" w:pos="15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5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17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6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76" w:lineRule="exact"/>
        <w:rPr>
          <w:rFonts w:ascii="Times New Roman" w:cs="Times New Roman" w:eastAsia="Times New Roman" w:hAnsi="Times New Roman"/>
          <w:sz w:val="18"/>
          <w:szCs w:val="18"/>
          <w:color w:val="auto"/>
        </w:rPr>
      </w:pPr>
    </w:p>
    <w:p>
      <w:pPr>
        <w:jc w:val="both"/>
        <w:ind w:firstLine="656"/>
        <w:spacing w:after="0" w:line="258" w:lineRule="auto"/>
        <w:tabs>
          <w:tab w:leader="none" w:pos="17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Custodian, Note Registrar, Paying Agent, Conversion Agent or transfer agent hereunder, the rights and protections afforded to the Trustee pursuant to this Article 7 shall also be afforded to such Custodian, Note Registrar, Paying Agent, Conversion Agent or transfer agent.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b w:val="1"/>
          <w:bCs w:val="1"/>
          <w:color w:val="auto"/>
        </w:rPr>
        <w:t>Reliance on Documents, Opinions, Etc.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225" w:lineRule="exact"/>
        <w:rPr>
          <w:sz w:val="20"/>
          <w:szCs w:val="20"/>
          <w:color w:val="auto"/>
        </w:rPr>
      </w:pPr>
    </w:p>
    <w:p>
      <w:pPr>
        <w:jc w:val="both"/>
        <w:ind w:firstLine="656"/>
        <w:spacing w:after="0" w:line="266" w:lineRule="auto"/>
        <w:tabs>
          <w:tab w:leader="none" w:pos="15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upon any resolution, certificate, statement, instrument, opinion, report, notice, request, consent, order, bond, note, coupon or other paper or document (whether in its original or facsimile form) believed by it in good faith to be genuine and to have been signed or presented by the proper party or parties;</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6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5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require an Opinion of Counsel and any written or verbal advice of such counsel or Opinion of Counsel shall be full and complete authorization and protection in respect of any action taken or omitted by it hereunder in good faith and in accordance with such advice or Opinion of Counsel;</w:t>
      </w:r>
    </w:p>
    <w:p>
      <w:pPr>
        <w:spacing w:after="0" w:line="176" w:lineRule="exact"/>
        <w:rPr>
          <w:rFonts w:ascii="Times New Roman" w:cs="Times New Roman" w:eastAsia="Times New Roman" w:hAnsi="Times New Roman"/>
          <w:sz w:val="18"/>
          <w:szCs w:val="18"/>
          <w:color w:val="auto"/>
        </w:rPr>
      </w:pPr>
    </w:p>
    <w:p>
      <w:pPr>
        <w:jc w:val="both"/>
        <w:ind w:firstLine="656"/>
        <w:spacing w:after="0" w:line="258" w:lineRule="auto"/>
        <w:tabs>
          <w:tab w:leader="none" w:pos="17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5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176"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5"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to pursue any action that is not in accordance with applicable law;</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1" w:name="page52"/>
    <w:bookmarkEnd w:id="51"/>
    <w:p>
      <w:pPr>
        <w:ind w:left="1540" w:hanging="884"/>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Trustee be liable in its individual capacity for the obligations evidenced by the Notes.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a Responsible Officer of the Trustee by the Company or by any Holder of the Notes at the Corporate Trust Office and such notice references the Notes and/or this Indenture.</w:t>
      </w:r>
    </w:p>
    <w:p>
      <w:pPr>
        <w:spacing w:after="0" w:line="180"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7"/>
          <w:szCs w:val="17"/>
          <w:b w:val="1"/>
          <w:bCs w:val="1"/>
          <w:color w:val="auto"/>
        </w:rPr>
        <w:t>No Responsibility for Recitals, Etc.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 or any money paid to the Company or upon the Company’s direction under any provision of the Indenture.</w:t>
      </w:r>
    </w:p>
    <w:p>
      <w:pPr>
        <w:spacing w:after="0" w:line="180"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7.04.</w:t>
      </w:r>
      <w:r>
        <w:rPr>
          <w:sz w:val="20"/>
          <w:szCs w:val="20"/>
          <w:color w:val="auto"/>
        </w:rPr>
        <w:tab/>
      </w:r>
      <w:r>
        <w:rPr>
          <w:rFonts w:ascii="Times New Roman" w:cs="Times New Roman" w:eastAsia="Times New Roman" w:hAnsi="Times New Roman"/>
          <w:sz w:val="17"/>
          <w:szCs w:val="17"/>
          <w:b w:val="1"/>
          <w:bCs w:val="1"/>
          <w:color w:val="auto"/>
        </w:rPr>
        <w:t>Trustee, Paying Agents, Conversion Agents or Note Registrar May Own Notes.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any Paying Agent, any Conversion Agent or Note Registrar, in its individual or any other capacity, may become the owner or pledgee of Notes with the same rights it would have if it were not the Trustee, Paying Agent, Conversion Agent or Note Registrar.</w:t>
      </w:r>
    </w:p>
    <w:p>
      <w:pPr>
        <w:spacing w:after="0" w:line="158"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7"/>
          <w:szCs w:val="17"/>
          <w:b w:val="1"/>
          <w:bCs w:val="1"/>
          <w:color w:val="auto"/>
        </w:rPr>
        <w:t>Monies and Shares of Common Stock to Be Held in Trust.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or property except to the extent required by law. The Trustee shall be under no liability for interest on any money or shares of Common Stock received by it hereunder except as may be agreed from time to time by the Company and the Trustee.</w:t>
      </w:r>
    </w:p>
    <w:p>
      <w:pPr>
        <w:spacing w:after="0" w:line="176"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7.06.</w:t>
      </w:r>
      <w:r>
        <w:rPr>
          <w:sz w:val="20"/>
          <w:szCs w:val="20"/>
          <w:color w:val="auto"/>
        </w:rPr>
        <w:tab/>
      </w:r>
      <w:r>
        <w:rPr>
          <w:rFonts w:ascii="Times New Roman" w:cs="Times New Roman" w:eastAsia="Times New Roman" w:hAnsi="Times New Roman"/>
          <w:sz w:val="17"/>
          <w:szCs w:val="17"/>
          <w:b w:val="1"/>
          <w:bCs w:val="1"/>
          <w:color w:val="auto"/>
        </w:rPr>
        <w:t>Compensation and Expenses of Trustee.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covenants and agrees to pay to the Trustee, in any capacity under the Indenture, from time to time, and the Trustee shall be entitled to, reasonable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as adjudicated by a court of competent jurisdiction in a final non-appealable decision. The Company also covenants to indemnify the Trustee in any capacity under this Indenture and any other document or transaction entered into in connection herewith and its officers, directors, employees and agents and any authenticating agent for, and to hold them harmless against, any loss, claim, damage, liability or expense incurred without gross negligence or willful misconduct, as adjudicated by a court of competent jurisdiction in a final non-appealable decision, on the part of the Trustee, its officers, directors, agents or employees, or such agent or authenticating agent, as the case may be, and arising out of or in connection with the acceptance or administration of this Indenture or in any other capacity hereunder, including without limitation expenses and costs (including reasonable attorney’s fees and expenses and court costs) incurred in connection with any action , claim or suit brought to enforce the Trustee’s right to indemnification.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72"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7.07.</w:t>
      </w:r>
      <w:r>
        <w:rPr>
          <w:sz w:val="20"/>
          <w:szCs w:val="20"/>
          <w:color w:val="auto"/>
        </w:rPr>
        <w:tab/>
      </w:r>
      <w:r>
        <w:rPr>
          <w:rFonts w:ascii="Times New Roman" w:cs="Times New Roman" w:eastAsia="Times New Roman" w:hAnsi="Times New Roman"/>
          <w:sz w:val="18"/>
          <w:szCs w:val="18"/>
          <w:b w:val="1"/>
          <w:bCs w:val="1"/>
          <w:color w:val="auto"/>
        </w:rPr>
        <w:t>Officers’ Certificate as Evidence.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delivered to the Trustee, and such Officers’ Certificate, in the absence of gross negligence or willful misconduct on the part of the Trustee, shall be full warrant to the Trustee for any action taken or omitted by it under the provisions of this Indenture upon the faith thereof.</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7.08.</w:t>
      </w:r>
      <w:r>
        <w:rPr>
          <w:sz w:val="20"/>
          <w:szCs w:val="20"/>
          <w:color w:val="auto"/>
        </w:rPr>
        <w:tab/>
      </w:r>
      <w:r>
        <w:rPr>
          <w:rFonts w:ascii="Times New Roman" w:cs="Times New Roman" w:eastAsia="Times New Roman" w:hAnsi="Times New Roman"/>
          <w:sz w:val="17"/>
          <w:szCs w:val="17"/>
          <w:b w:val="1"/>
          <w:bCs w:val="1"/>
          <w:color w:val="auto"/>
        </w:rPr>
        <w:t>Eligibility of Trustee.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84"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7.09.</w:t>
      </w:r>
      <w:r>
        <w:rPr>
          <w:sz w:val="20"/>
          <w:szCs w:val="20"/>
          <w:color w:val="auto"/>
        </w:rPr>
        <w:tab/>
      </w:r>
      <w:r>
        <w:rPr>
          <w:rFonts w:ascii="Times New Roman" w:cs="Times New Roman" w:eastAsia="Times New Roman" w:hAnsi="Times New Roman"/>
          <w:sz w:val="17"/>
          <w:szCs w:val="17"/>
          <w:b w:val="1"/>
          <w:bCs w:val="1"/>
          <w:color w:val="auto"/>
        </w:rPr>
        <w:t>Resignation or Removal of Trustee.</w:t>
      </w:r>
    </w:p>
    <w:p>
      <w:pPr>
        <w:spacing w:after="0" w:line="229" w:lineRule="exact"/>
        <w:rPr>
          <w:sz w:val="20"/>
          <w:szCs w:val="20"/>
          <w:color w:val="auto"/>
        </w:rPr>
      </w:pPr>
    </w:p>
    <w:p>
      <w:pPr>
        <w:jc w:val="both"/>
        <w:ind w:firstLine="656"/>
        <w:spacing w:after="0" w:line="254" w:lineRule="auto"/>
        <w:tabs>
          <w:tab w:leader="none" w:pos="15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60 days after the giving of such notice of resignation to the Holders, the resigning Trustee may, upon ten Business Days’ notice to the Company and the Holders and at the expense of the Company, petition any court of competent jurisdiction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89"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of the following shall occur:</w:t>
      </w:r>
    </w:p>
    <w:p>
      <w:pPr>
        <w:spacing w:after="0" w:line="225" w:lineRule="exact"/>
        <w:rPr>
          <w:rFonts w:ascii="Times New Roman" w:cs="Times New Roman" w:eastAsia="Times New Roman" w:hAnsi="Times New Roman"/>
          <w:sz w:val="18"/>
          <w:szCs w:val="18"/>
          <w:color w:val="auto"/>
        </w:rPr>
      </w:pPr>
    </w:p>
    <w:p>
      <w:pPr>
        <w:ind w:left="660" w:firstLine="774"/>
        <w:spacing w:after="0" w:line="282" w:lineRule="auto"/>
        <w:tabs>
          <w:tab w:leader="none" w:pos="243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7.08 and shall fail to resign after written request therefor by the Company or by any such Holder, or</w:t>
      </w:r>
    </w:p>
    <w:p>
      <w:pPr>
        <w:spacing w:after="0" w:line="161" w:lineRule="exact"/>
        <w:rPr>
          <w:rFonts w:ascii="Times New Roman" w:cs="Times New Roman" w:eastAsia="Times New Roman" w:hAnsi="Times New Roman"/>
          <w:sz w:val="18"/>
          <w:szCs w:val="18"/>
          <w:color w:val="auto"/>
        </w:rPr>
      </w:pPr>
    </w:p>
    <w:p>
      <w:pPr>
        <w:jc w:val="both"/>
        <w:ind w:left="660" w:firstLine="774"/>
        <w:spacing w:after="0" w:line="266" w:lineRule="auto"/>
        <w:tabs>
          <w:tab w:leader="none" w:pos="230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4" w:name="page55"/>
    <w:bookmarkEnd w:id="54"/>
    <w:p>
      <w:pPr>
        <w:jc w:val="both"/>
        <w:ind w:firstLine="656"/>
        <w:spacing w:after="0" w:line="261" w:lineRule="auto"/>
        <w:tabs>
          <w:tab w:leader="none" w:pos="15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80" w:lineRule="exact"/>
        <w:rPr>
          <w:rFonts w:ascii="Times New Roman" w:cs="Times New Roman" w:eastAsia="Times New Roman" w:hAnsi="Times New Roman"/>
          <w:sz w:val="18"/>
          <w:szCs w:val="18"/>
          <w:color w:val="auto"/>
        </w:rPr>
      </w:pPr>
    </w:p>
    <w:p>
      <w:pPr>
        <w:ind w:right="20" w:firstLine="656"/>
        <w:spacing w:after="0" w:line="282" w:lineRule="auto"/>
        <w:tabs>
          <w:tab w:leader="none" w:pos="1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58"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7"/>
          <w:szCs w:val="17"/>
          <w:b w:val="1"/>
          <w:bCs w:val="1"/>
          <w:color w:val="auto"/>
        </w:rPr>
        <w:t>Acceptance by Successor Trustee.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200" w:lineRule="exact"/>
        <w:rPr>
          <w:sz w:val="20"/>
          <w:szCs w:val="20"/>
          <w:color w:val="auto"/>
        </w:rPr>
      </w:pP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76" w:lineRule="exact"/>
        <w:rPr>
          <w:sz w:val="20"/>
          <w:szCs w:val="20"/>
          <w:color w:val="auto"/>
        </w:rPr>
      </w:pPr>
    </w:p>
    <w:p>
      <w:pPr>
        <w:ind w:left="980"/>
        <w:spacing w:after="0"/>
        <w:tabs>
          <w:tab w:leader="none" w:pos="270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7"/>
          <w:szCs w:val="17"/>
          <w:b w:val="1"/>
          <w:bCs w:val="1"/>
          <w:color w:val="auto"/>
        </w:rPr>
        <w:t>Succession by Merger, Etc.</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85"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7.12.</w:t>
      </w:r>
      <w:r>
        <w:rPr>
          <w:sz w:val="20"/>
          <w:szCs w:val="20"/>
          <w:color w:val="auto"/>
        </w:rPr>
        <w:tab/>
      </w:r>
      <w:r>
        <w:rPr>
          <w:rFonts w:ascii="Times New Roman" w:cs="Times New Roman" w:eastAsia="Times New Roman" w:hAnsi="Times New Roman"/>
          <w:sz w:val="17"/>
          <w:szCs w:val="17"/>
          <w:b w:val="1"/>
          <w:bCs w:val="1"/>
          <w:color w:val="auto"/>
        </w:rPr>
        <w:t>Trustee’s Application for Instructions from the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notice to the Company is deemed to be received pursuant to Section 17.03, unless the Company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HOLDERS</w:t>
      </w:r>
    </w:p>
    <w:p>
      <w:pPr>
        <w:spacing w:after="0" w:line="203"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b w:val="1"/>
          <w:bCs w:val="1"/>
          <w:color w:val="auto"/>
        </w:rPr>
        <w:t>Action by 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7"/>
          <w:szCs w:val="17"/>
          <w:b w:val="1"/>
          <w:bCs w:val="1"/>
          <w:color w:val="auto"/>
        </w:rPr>
        <w:t>Proof of Execution by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76"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7"/>
          <w:szCs w:val="17"/>
          <w:b w:val="1"/>
          <w:bCs w:val="1"/>
          <w:color w:val="auto"/>
        </w:rPr>
        <w:t>Who Are Deemed Absolute Owners.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Fundamental Change Repurchase Price) of and (subject to Section 2.03) accrued and unpaid interest on such Note, for conversion of such Note and for all other purposes;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89"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7"/>
          <w:szCs w:val="17"/>
          <w:b w:val="1"/>
          <w:bCs w:val="1"/>
          <w:color w:val="auto"/>
        </w:rPr>
        <w:t>Company-Owned Notes Disregarded.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determining whether the Trustee shall be protected in relying on any such direction, consent, waiver or other action only Notes that a Responsible Officer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7" w:name="page58"/>
    <w:bookmarkEnd w:id="57"/>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8.05.</w:t>
      </w:r>
      <w:r>
        <w:rPr>
          <w:sz w:val="20"/>
          <w:szCs w:val="20"/>
          <w:color w:val="auto"/>
        </w:rPr>
        <w:tab/>
      </w:r>
      <w:r>
        <w:rPr>
          <w:rFonts w:ascii="Times New Roman" w:cs="Times New Roman" w:eastAsia="Times New Roman" w:hAnsi="Times New Roman"/>
          <w:sz w:val="17"/>
          <w:szCs w:val="17"/>
          <w:b w:val="1"/>
          <w:bCs w:val="1"/>
          <w:color w:val="auto"/>
        </w:rPr>
        <w:t>Revocation of Consents; Future Holders Bound.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HOLDERS’ MEETINGS</w:t>
      </w:r>
    </w:p>
    <w:p>
      <w:pPr>
        <w:spacing w:after="0" w:line="203"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b w:val="1"/>
          <w:bCs w:val="1"/>
          <w:color w:val="auto"/>
        </w:rPr>
        <w:t>Purpose of Meetings.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meeting of Holders may be called at any time and from time to time pursuant to the provisions of this Article 9 for any of the following purposes:</w:t>
      </w:r>
    </w:p>
    <w:p>
      <w:pPr>
        <w:spacing w:after="0" w:line="225" w:lineRule="exact"/>
        <w:rPr>
          <w:sz w:val="20"/>
          <w:szCs w:val="20"/>
          <w:color w:val="auto"/>
        </w:rPr>
      </w:pPr>
    </w:p>
    <w:p>
      <w:pPr>
        <w:jc w:val="both"/>
        <w:ind w:firstLine="656"/>
        <w:spacing w:after="0" w:line="266" w:lineRule="auto"/>
        <w:tabs>
          <w:tab w:leader="none" w:pos="153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76"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nominate a successor trustee pursuant to the provisions of Article 7;</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indentures supplemental hereto pursuant to the provisions of Section 10.02;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8" w:name="page59"/>
    <w:bookmarkEnd w:id="58"/>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b w:val="1"/>
          <w:bCs w:val="1"/>
          <w:color w:val="auto"/>
        </w:rPr>
        <w:t>Call of Meetings by Trustee.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72"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b w:val="1"/>
          <w:bCs w:val="1"/>
          <w:color w:val="auto"/>
        </w:rPr>
        <w:t>Call of Meetings by Company or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80"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7"/>
          <w:szCs w:val="17"/>
          <w:b w:val="1"/>
          <w:bCs w:val="1"/>
          <w:color w:val="auto"/>
        </w:rPr>
        <w:t>Qualifications for Voting.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be entitled to vote at any meeting of Holders a Person shall (a) be a Holder of one or more Notes on the record date pertaining to such meeting or</w:t>
      </w:r>
    </w:p>
    <w:p>
      <w:pPr>
        <w:spacing w:after="0" w:line="27" w:lineRule="exact"/>
        <w:rPr>
          <w:sz w:val="20"/>
          <w:szCs w:val="20"/>
          <w:color w:val="auto"/>
        </w:rPr>
      </w:pPr>
    </w:p>
    <w:p>
      <w:pPr>
        <w:jc w:val="both"/>
        <w:ind w:firstLine="8"/>
        <w:spacing w:after="0" w:line="255" w:lineRule="auto"/>
        <w:tabs>
          <w:tab w:leader="none" w:pos="2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82"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8"/>
          <w:szCs w:val="18"/>
          <w:b w:val="1"/>
          <w:bCs w:val="1"/>
          <w:color w:val="auto"/>
        </w:rPr>
        <w:t>Regulations.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Notes represented at the meeting and entitled to vote at the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9" w:name="page60"/>
    <w:bookmarkEnd w:id="59"/>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84"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9.06.</w:t>
      </w:r>
      <w:r>
        <w:rPr>
          <w:sz w:val="20"/>
          <w:szCs w:val="20"/>
          <w:color w:val="auto"/>
        </w:rPr>
        <w:tab/>
      </w:r>
      <w:r>
        <w:rPr>
          <w:rFonts w:ascii="Times New Roman" w:cs="Times New Roman" w:eastAsia="Times New Roman" w:hAnsi="Times New Roman"/>
          <w:sz w:val="17"/>
          <w:szCs w:val="17"/>
          <w:b w:val="1"/>
          <w:bCs w:val="1"/>
          <w:color w:val="auto"/>
        </w:rPr>
        <w:t>Voting.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21"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9.07.</w:t>
      </w:r>
      <w:r>
        <w:rPr>
          <w:sz w:val="20"/>
          <w:szCs w:val="20"/>
          <w:color w:val="auto"/>
        </w:rPr>
        <w:tab/>
      </w:r>
      <w:r>
        <w:rPr>
          <w:rFonts w:ascii="Times New Roman" w:cs="Times New Roman" w:eastAsia="Times New Roman" w:hAnsi="Times New Roman"/>
          <w:sz w:val="17"/>
          <w:szCs w:val="17"/>
          <w:b w:val="1"/>
          <w:bCs w:val="1"/>
          <w:color w:val="auto"/>
        </w:rPr>
        <w:t>No Delay of Rights by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03"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10.01.</w:t>
      </w:r>
      <w:r>
        <w:rPr>
          <w:sz w:val="20"/>
          <w:szCs w:val="20"/>
          <w:color w:val="auto"/>
        </w:rPr>
        <w:tab/>
      </w:r>
      <w:r>
        <w:rPr>
          <w:rFonts w:ascii="Times New Roman" w:cs="Times New Roman" w:eastAsia="Times New Roman" w:hAnsi="Times New Roman"/>
          <w:sz w:val="17"/>
          <w:szCs w:val="17"/>
          <w:b w:val="1"/>
          <w:bCs w:val="1"/>
          <w:color w:val="auto"/>
        </w:rPr>
        <w:t>Supplemental Indentures Without Consent of Holders.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Without the consent of any Holder, the Company, when authorized by the resolutions of the Board of Directors and the Trustee, at the Company’s expense, may from time to time and at any time enter into an indenture or indentures supplemental hereto for one or more of the following purposes:</w:t>
      </w:r>
    </w:p>
    <w:p>
      <w:pPr>
        <w:spacing w:after="0" w:line="162" w:lineRule="exact"/>
        <w:rPr>
          <w:sz w:val="20"/>
          <w:szCs w:val="20"/>
          <w:color w:val="auto"/>
        </w:rPr>
      </w:pPr>
    </w:p>
    <w:p>
      <w:pPr>
        <w:ind w:left="1540" w:hanging="884"/>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Company of the obligations of the Company under this Indenture pursuant to Article 11;</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Notes;</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or Events of Default of the Company for the benefit of the Holders or surrender any right or power conferred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w:t>
      </w:r>
    </w:p>
    <w:p>
      <w:pPr>
        <w:spacing w:after="0" w:line="206"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Conversion Rate as provided in this Indenture;</w:t>
      </w:r>
    </w:p>
    <w:p>
      <w:pPr>
        <w:spacing w:after="0" w:line="225" w:lineRule="exact"/>
        <w:rPr>
          <w:rFonts w:ascii="Times New Roman" w:cs="Times New Roman" w:eastAsia="Times New Roman" w:hAnsi="Times New Roman"/>
          <w:sz w:val="18"/>
          <w:szCs w:val="18"/>
          <w:color w:val="auto"/>
        </w:rPr>
      </w:pPr>
    </w:p>
    <w:p>
      <w:pPr>
        <w:ind w:left="1620" w:hanging="964"/>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or facilitate the administration of the trusts under this Indenture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one trustee;</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6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Share Exchange Event, to provide that the Notes are convertible into Reference Property and make such related changes to the terms of the Notes to the extent expressly required by Section 14.07;</w:t>
      </w:r>
    </w:p>
    <w:p>
      <w:pPr>
        <w:spacing w:after="0" w:line="161"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securities depositary in a manner that does not adversely affect the rights of any Holder;</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provisions with respect to conversion rights of the Holders of the Notes as required under this Indenture; or</w:t>
      </w:r>
    </w:p>
    <w:p>
      <w:pPr>
        <w:spacing w:after="0" w:line="225" w:lineRule="exact"/>
        <w:rPr>
          <w:rFonts w:ascii="Times New Roman" w:cs="Times New Roman" w:eastAsia="Times New Roman" w:hAnsi="Times New Roman"/>
          <w:sz w:val="18"/>
          <w:szCs w:val="18"/>
          <w:color w:val="auto"/>
        </w:rPr>
      </w:pPr>
    </w:p>
    <w:p>
      <w:pPr>
        <w:ind w:left="1860" w:hanging="1204"/>
        <w:spacing w:after="0"/>
        <w:tabs>
          <w:tab w:leader="none" w:pos="1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this Indenture or the Notes to any provision of the “Description of Notes” section of the Offering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Memorandum.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written request of the Company, the Trustee is hereby authorized to join with the Company in the execution of any such supplemental indenture, to make any further appropriate agreements and stipulations that may be therein contained, but the Trustee shall not be obligated to, but may in its discretion, enter into any supplemental indenture that affects the Trustee’s own rights, duties, liabilities or immunities under this Indenture or otherwise.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1" w:name="page62"/>
    <w:bookmarkEnd w:id="61"/>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10.02.</w:t>
      </w:r>
      <w:r>
        <w:rPr>
          <w:sz w:val="20"/>
          <w:szCs w:val="20"/>
          <w:color w:val="auto"/>
        </w:rPr>
        <w:tab/>
      </w:r>
      <w:r>
        <w:rPr>
          <w:rFonts w:ascii="Times New Roman" w:cs="Times New Roman" w:eastAsia="Times New Roman" w:hAnsi="Times New Roman"/>
          <w:sz w:val="17"/>
          <w:szCs w:val="17"/>
          <w:b w:val="1"/>
          <w:bCs w:val="1"/>
          <w:color w:val="auto"/>
        </w:rPr>
        <w:t>Supplemental Indentures with Consent of 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when authorized by the resolutions of the Board of Directors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without the consent of each Holder of an outstanding Note affected, no such supplemental indenture shall:</w:t>
      </w:r>
    </w:p>
    <w:p>
      <w:pPr>
        <w:spacing w:after="0" w:line="188" w:lineRule="exact"/>
        <w:rPr>
          <w:sz w:val="20"/>
          <w:szCs w:val="20"/>
          <w:color w:val="auto"/>
        </w:rPr>
      </w:pPr>
    </w:p>
    <w:p>
      <w:pPr>
        <w:ind w:left="1540" w:hanging="884"/>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stated time for payment of interest on any Note;</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Maturity Date of any Note;</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this Indenture, make any change that adversely affects the conversion rights of any Note;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2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61"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a currency other than that stated in such Note;</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 in any manner adverse to the Holders;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receive payment and interest on such Holder’s Notes on or after the due date thereof or to institute suit for the enforcement of any payment or delivery on or with respect to such Holder’s Notes; or</w:t>
      </w:r>
    </w:p>
    <w:p>
      <w:pPr>
        <w:spacing w:after="0" w:line="161"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this Article 10 that requires each Holder’s consent or in the waiver provisions in Section 6.02 or Section 6.09.</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and upon the filing with the Trustee of evidence of the consent of the requisite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do not need under this Section 10.02 to approve the particular form of any proposed supplemental indenture. It shall be sufficient if such Holders approve the substance thereof. After any such supplemental indenture becomes effective, the Company shall deliver to the Holders (with a copy to the Trustee) a notice briefly describing such supplemental indenture. However, the failure to give such notice to all the Holders (with a copy to the Trustee), or any defect in the notice, will not impair or affect the validity of the supplemental indenture.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2" w:name="page63"/>
    <w:bookmarkEnd w:id="62"/>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10.03.</w:t>
      </w:r>
      <w:r>
        <w:rPr>
          <w:sz w:val="20"/>
          <w:szCs w:val="20"/>
          <w:color w:val="auto"/>
        </w:rPr>
        <w:tab/>
      </w:r>
      <w:r>
        <w:rPr>
          <w:rFonts w:ascii="Times New Roman" w:cs="Times New Roman" w:eastAsia="Times New Roman" w:hAnsi="Times New Roman"/>
          <w:sz w:val="18"/>
          <w:szCs w:val="18"/>
          <w:b w:val="1"/>
          <w:bCs w:val="1"/>
          <w:color w:val="auto"/>
        </w:rPr>
        <w:t>Effect of Supplemental Indentures.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0"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10.04.</w:t>
      </w:r>
      <w:r>
        <w:rPr>
          <w:sz w:val="20"/>
          <w:szCs w:val="20"/>
          <w:color w:val="auto"/>
        </w:rPr>
        <w:tab/>
      </w:r>
      <w:r>
        <w:rPr>
          <w:rFonts w:ascii="Times New Roman" w:cs="Times New Roman" w:eastAsia="Times New Roman" w:hAnsi="Times New Roman"/>
          <w:sz w:val="18"/>
          <w:szCs w:val="18"/>
          <w:b w:val="1"/>
          <w:bCs w:val="1"/>
          <w:color w:val="auto"/>
        </w:rPr>
        <w:t>Notation on Notes.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Notes authenticated and delivered after the execution of any supplemental indenture pursuant to the provisions of this Article 10 may, at the Company’s request and expense,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spacing w:after="0" w:line="184" w:lineRule="exact"/>
        <w:rPr>
          <w:sz w:val="20"/>
          <w:szCs w:val="20"/>
          <w:color w:val="auto"/>
        </w:rPr>
      </w:pPr>
    </w:p>
    <w:p>
      <w:pPr>
        <w:ind w:left="980"/>
        <w:spacing w:after="0"/>
        <w:tabs>
          <w:tab w:leader="none" w:pos="2880" w:val="left"/>
        </w:tabs>
        <w:rPr>
          <w:sz w:val="20"/>
          <w:szCs w:val="20"/>
          <w:color w:val="auto"/>
        </w:rPr>
      </w:pPr>
      <w:r>
        <w:rPr>
          <w:rFonts w:ascii="Times New Roman" w:cs="Times New Roman" w:eastAsia="Times New Roman" w:hAnsi="Times New Roman"/>
          <w:sz w:val="18"/>
          <w:szCs w:val="18"/>
          <w:color w:val="auto"/>
        </w:rPr>
        <w:t>Section 10.05.</w:t>
      </w:r>
      <w:r>
        <w:rPr>
          <w:sz w:val="20"/>
          <w:szCs w:val="20"/>
          <w:color w:val="auto"/>
        </w:rPr>
        <w:tab/>
      </w:r>
      <w:r>
        <w:rPr>
          <w:rFonts w:ascii="Times New Roman" w:cs="Times New Roman" w:eastAsia="Times New Roman" w:hAnsi="Times New Roman"/>
          <w:sz w:val="18"/>
          <w:szCs w:val="18"/>
          <w:b w:val="1"/>
          <w:bCs w:val="1"/>
          <w:color w:val="auto"/>
        </w:rPr>
        <w:t>Evidence of Compliance of Supplemental Indenture and Enforceability of the Supplemental Indenture to Be</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Furnished Trustee.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and an Opinion of Counsel that such supplemental indenture constitutes the legal, valid and binding obligation of the Company enforceable against it in accordance with its terms, subject to customary exceptions as to enforceability by such counsel.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CONSOLIDATION, MERGER, SALE, CONVEYANCE AND LEASE</w:t>
      </w:r>
    </w:p>
    <w:p>
      <w:pPr>
        <w:spacing w:after="0" w:line="203"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11.01.</w:t>
      </w:r>
      <w:r>
        <w:rPr>
          <w:sz w:val="20"/>
          <w:szCs w:val="20"/>
          <w:color w:val="auto"/>
        </w:rPr>
        <w:tab/>
      </w:r>
      <w:r>
        <w:rPr>
          <w:rFonts w:ascii="Times New Roman" w:cs="Times New Roman" w:eastAsia="Times New Roman" w:hAnsi="Times New Roman"/>
          <w:sz w:val="17"/>
          <w:szCs w:val="17"/>
          <w:b w:val="1"/>
          <w:bCs w:val="1"/>
          <w:color w:val="auto"/>
        </w:rPr>
        <w:t>Company May Consolidate, Etc. on Certain Terms.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11.02, the Company shall not consolidate with, merge with or into, or sell, convey, transfer or lease all or substantially all of the consolidated properties and assets of the Company and its Subsidiaries, taken as a whole, to another Person (other than to one or more of its direct or indirect Wholly Owned Subsidiaries), if the Company is not the resulting, surviving or transferee Person, unless: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3" w:name="page64"/>
    <w:bookmarkEnd w:id="63"/>
    <w:p>
      <w:pPr>
        <w:jc w:val="both"/>
        <w:ind w:firstLine="656"/>
        <w:spacing w:after="0" w:line="268" w:lineRule="auto"/>
        <w:tabs>
          <w:tab w:leader="none" w:pos="161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(the “</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is a corporation organized and existing under the laws of the United States of America, any State thereof or the District of Columbia, and the Successor Company (if not the Company) expressly assumes, by supplemental indenture all of the obligations of the Company under the Notes and this Indenture; and</w:t>
      </w:r>
    </w:p>
    <w:p>
      <w:pPr>
        <w:spacing w:after="0" w:line="174" w:lineRule="exact"/>
        <w:rPr>
          <w:rFonts w:ascii="Times New Roman" w:cs="Times New Roman" w:eastAsia="Times New Roman" w:hAnsi="Times New Roman"/>
          <w:sz w:val="18"/>
          <w:szCs w:val="18"/>
          <w:color w:val="auto"/>
        </w:rPr>
      </w:pPr>
    </w:p>
    <w:p>
      <w:pPr>
        <w:ind w:left="1720" w:hanging="1064"/>
        <w:spacing w:after="0"/>
        <w:tabs>
          <w:tab w:leader="none" w:pos="1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under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3"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11.02.</w:t>
      </w:r>
      <w:r>
        <w:rPr>
          <w:sz w:val="20"/>
          <w:szCs w:val="20"/>
          <w:color w:val="auto"/>
        </w:rPr>
        <w:tab/>
      </w:r>
      <w:r>
        <w:rPr>
          <w:rFonts w:ascii="Times New Roman" w:cs="Times New Roman" w:eastAsia="Times New Roman" w:hAnsi="Times New Roman"/>
          <w:sz w:val="17"/>
          <w:szCs w:val="17"/>
          <w:b w:val="1"/>
          <w:bCs w:val="1"/>
          <w:color w:val="auto"/>
        </w:rPr>
        <w:t>Successor Corporation to Be Substituted.</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case of any such consolidation, merger, sale, conveyance, transfer or lease, such changes in phraseology and form (but not in substance) may be made in the Notes thereafter to be issued as may be appropriate.</w:t>
      </w:r>
    </w:p>
    <w:p>
      <w:pPr>
        <w:spacing w:after="0" w:line="158"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11.03.</w:t>
      </w:r>
      <w:r>
        <w:rPr>
          <w:sz w:val="20"/>
          <w:szCs w:val="20"/>
          <w:color w:val="auto"/>
        </w:rPr>
        <w:tab/>
      </w:r>
      <w:r>
        <w:rPr>
          <w:rFonts w:ascii="Times New Roman" w:cs="Times New Roman" w:eastAsia="Times New Roman" w:hAnsi="Times New Roman"/>
          <w:sz w:val="17"/>
          <w:szCs w:val="17"/>
          <w:b w:val="1"/>
          <w:bCs w:val="1"/>
          <w:color w:val="auto"/>
        </w:rPr>
        <w:t>Opinion of Counsel to Be Given to Trustee.</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No such consolidation, merger, sale, conveyance, transfer or lease (other than any consolidation or merger where the Company is the surviving entity) shall be effective unless the Trustee shall receive an Officers’ Certificate and an Opinion of Counsel as conclusive evidence that any such consolidation, merger, sale, conveyance, transfer or lease and any such assumption and, if a supplemental indenture is required in connection with such transaction, such supplemental indenture, complies with the provisions of this Article 11.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203"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12.01.</w:t>
      </w:r>
      <w:r>
        <w:rPr>
          <w:sz w:val="20"/>
          <w:szCs w:val="20"/>
          <w:color w:val="auto"/>
        </w:rPr>
        <w:tab/>
      </w:r>
      <w:r>
        <w:rPr>
          <w:rFonts w:ascii="Times New Roman" w:cs="Times New Roman" w:eastAsia="Times New Roman" w:hAnsi="Times New Roman"/>
          <w:sz w:val="18"/>
          <w:szCs w:val="18"/>
          <w:b w:val="1"/>
          <w:bCs w:val="1"/>
          <w:color w:val="auto"/>
        </w:rPr>
        <w:t>Indenture and Notes Solely Corporate Obligations.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DELAYED DELIVERY PROVISION</w:t>
      </w:r>
    </w:p>
    <w:p>
      <w:pPr>
        <w:spacing w:after="0" w:line="203"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13.01.</w:t>
      </w:r>
      <w:r>
        <w:rPr>
          <w:sz w:val="20"/>
          <w:szCs w:val="20"/>
          <w:color w:val="auto"/>
        </w:rPr>
        <w:tab/>
      </w:r>
      <w:r>
        <w:rPr>
          <w:rFonts w:ascii="Times New Roman" w:cs="Times New Roman" w:eastAsia="Times New Roman" w:hAnsi="Times New Roman"/>
          <w:sz w:val="18"/>
          <w:szCs w:val="18"/>
          <w:b w:val="1"/>
          <w:bCs w:val="1"/>
          <w:color w:val="auto"/>
        </w:rPr>
        <w:t>Delayed Delivery Provision.</w:t>
      </w:r>
    </w:p>
    <w:p>
      <w:pPr>
        <w:spacing w:after="0" w:line="229" w:lineRule="exact"/>
        <w:rPr>
          <w:sz w:val="20"/>
          <w:szCs w:val="20"/>
          <w:color w:val="auto"/>
        </w:rPr>
      </w:pPr>
    </w:p>
    <w:p>
      <w:pPr>
        <w:jc w:val="both"/>
        <w:ind w:firstLine="656"/>
        <w:spacing w:after="0" w:line="253" w:lineRule="auto"/>
        <w:tabs>
          <w:tab w:leader="none" w:pos="18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to the contrary in this Indenture, the delivery of any shares of Common Stock issuable upon the conversion of any Notes held by the Investor, that, if delivered to the Investor, would result in the Investor having a Beneficial Ownership of Common Stock (as defined in the Side Letter) or any other class of any equity security of the Company, in excess of the Beneficial Ownership Limitation (as defined in the Side Letter) (such shares in excess of the Beneficial Ownership Limitation,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delayed in accordance with paragraph A(ii) of the Side Letter (the “</w:t>
      </w:r>
      <w:r>
        <w:rPr>
          <w:rFonts w:ascii="Times New Roman" w:cs="Times New Roman" w:eastAsia="Times New Roman" w:hAnsi="Times New Roman"/>
          <w:sz w:val="18"/>
          <w:szCs w:val="18"/>
          <w:b w:val="1"/>
          <w:bCs w:val="1"/>
          <w:color w:val="auto"/>
        </w:rPr>
        <w:t>Beneficial Ownership Limitation Provision</w:t>
      </w:r>
      <w:r>
        <w:rPr>
          <w:rFonts w:ascii="Times New Roman" w:cs="Times New Roman" w:eastAsia="Times New Roman" w:hAnsi="Times New Roman"/>
          <w:sz w:val="18"/>
          <w:szCs w:val="18"/>
          <w:color w:val="auto"/>
        </w:rPr>
        <w:t>”). Upon the occurrence of a Company Conversion Notice Stay (as defined in the Side Letter), the Company shall deliver to the Trustee, the Conversion Agent and the Investor an Officers’ Certificate notifying the Trustee, the Conversion Agent and the Investor of the occurrence of a Company Conversion Notice Stay, and, upon receipt of such Officers’ Certificate specifying both the number of shares of Common Stock to be delivered to the Investor upon conversion and the number of Excess Shares, the Company shall delay the delivery to the Conversion Agent of any Excess Shares of Common Stock issuable upon the conversion of such Notes held by the Investor until the Company has delivered to the Trustee, the Conversion Agent and the Investor one or more additional Officers’ Certificates setting forth the number of such previously deemed Excess Shares authorized to be delivered to the Investor upon conversion.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5" w:name="page66"/>
    <w:bookmarkEnd w:id="65"/>
    <w:p>
      <w:pPr>
        <w:jc w:val="both"/>
        <w:ind w:firstLine="656"/>
        <w:spacing w:after="0" w:line="255" w:lineRule="auto"/>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any Excess Shares remain undelivered to the Investor, the Notes which would otherwise convert into such Excess Shares shall be deemed to remain outstanding debt obligations of the Company with terms identical to the Notes (but shall not be outstanding Notes for all other purposes under the Indenture) until such Excess Shares may be delivered without causing the Investor to exceed the Beneficial Ownership Limitation Provision. During the 60 calendar day period following the commencement of the Company Conversion Notice Stay (such 60 calendar day period, the “</w:t>
      </w:r>
      <w:r>
        <w:rPr>
          <w:rFonts w:ascii="Times New Roman" w:cs="Times New Roman" w:eastAsia="Times New Roman" w:hAnsi="Times New Roman"/>
          <w:sz w:val="18"/>
          <w:szCs w:val="18"/>
          <w:b w:val="1"/>
          <w:bCs w:val="1"/>
          <w:color w:val="auto"/>
        </w:rPr>
        <w:t>Stay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such deemed outstanding debt obligations shall accrue interest at the rate otherwise applicable to the Notes, and the Company shall pay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thereon directly to the Investor (and not through the Trustee or the Paying Agent). Following the Stay Period, the only obligation of the Company shall be to deliver any Excess Shares (subject to compliance with the Beneficial Ownership Limitation Provision).</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16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Beneficial Ownership Limitation Provisions and the restrictions set forth in this Section 13.01, shares of Common Stock issuable upon conversion of any Notes held by the Investor shall be delivered in accordance with the provisions otherwise set forth in this Indenture.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8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Conversion Agent shall have any obligations under this Section 13.01 other than to receive Officers’ Certificates delivered hereunder and to deliver Excess Shares upon receipt from the Company in accordance with the provisions otherwise set forth in this Indenture.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NOTES</w:t>
      </w:r>
    </w:p>
    <w:p>
      <w:pPr>
        <w:spacing w:after="0" w:line="203"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14.01.</w:t>
      </w:r>
      <w:r>
        <w:rPr>
          <w:sz w:val="20"/>
          <w:szCs w:val="20"/>
          <w:color w:val="auto"/>
        </w:rPr>
        <w:tab/>
      </w:r>
      <w:r>
        <w:rPr>
          <w:rFonts w:ascii="Times New Roman" w:cs="Times New Roman" w:eastAsia="Times New Roman" w:hAnsi="Times New Roman"/>
          <w:sz w:val="18"/>
          <w:szCs w:val="18"/>
          <w:b w:val="1"/>
          <w:bCs w:val="1"/>
          <w:color w:val="auto"/>
        </w:rPr>
        <w:t>Conversion Privilege.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Holder of a Note shall have the right, at such Holder’s option, to convert all or any portion (if the portion to be converted is $1,000 principal amount or an integral multiple thereof) of such Note at any time prior to the close of business on the second Scheduled Trading Day immediately preceding the Maturity Date at an initial conversion rate of 344.8276 shares of Common Stock (subject to adjustment as provided in this Article 14,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 per $1,000 principal amount of Notes (subject to, and in accordance with, the settlement provisions of Section 14.02, the “</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14.02.</w:t>
      </w:r>
      <w:r>
        <w:rPr>
          <w:sz w:val="20"/>
          <w:szCs w:val="20"/>
          <w:color w:val="auto"/>
        </w:rPr>
        <w:tab/>
      </w:r>
      <w:r>
        <w:rPr>
          <w:rFonts w:ascii="Times New Roman" w:cs="Times New Roman" w:eastAsia="Times New Roman" w:hAnsi="Times New Roman"/>
          <w:sz w:val="17"/>
          <w:szCs w:val="17"/>
          <w:b w:val="1"/>
          <w:bCs w:val="1"/>
          <w:color w:val="auto"/>
        </w:rPr>
        <w:t>Conversion Procedure; Settlement Upon Conversion.</w:t>
      </w:r>
    </w:p>
    <w:p>
      <w:pPr>
        <w:spacing w:after="0" w:line="229" w:lineRule="exact"/>
        <w:rPr>
          <w:sz w:val="20"/>
          <w:szCs w:val="20"/>
          <w:color w:val="auto"/>
        </w:rPr>
      </w:pPr>
    </w:p>
    <w:p>
      <w:pPr>
        <w:jc w:val="both"/>
        <w:ind w:firstLine="656"/>
        <w:spacing w:after="0" w:line="258" w:lineRule="auto"/>
        <w:tabs>
          <w:tab w:leader="none" w:pos="161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of any Note, the Company shall deliver, on the second Scheduled Trading Day following the Conversion Date to the converting Holder a number of shares of Common Stock equal to (i)(A) the aggregate principal amount of Notes to be converted, divided by (B) $1,000, multiplied by (ii) the applicable Conversion Rate in effect on the Conversion Date; provided, however, that for any conversion that occurs on or after the Record Date for the payment of interest on the Notes at the Maturity Date and until the close of business on the second Scheduled Trading Day immediately preceding the Maturity Date, the Company will deliver such shares on the Maturity Date.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both"/>
        <w:ind w:firstLine="656"/>
        <w:spacing w:after="0" w:line="252" w:lineRule="auto"/>
        <w:tabs>
          <w:tab w:leader="none" w:pos="153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14.02(e), before any Holder of a Note shall be entitled to convert a Note as set forth above, such Holder shall (i) in the case of a Global Note, comply with the Applicable Procedures in effect at that time and, if required, pay funds equal to interest payable on the next Interest Payment Date to which such Holder is not entitled as set forth in Section 14.02(h) and/or all transfer or similar taxes described herein, and (ii) in the case of a Physical Note (1) complete, manually sign and deliver an irrevocable notice to the Conversion Agent as set forth in the Form of Notice of Conversion (or a facsimile, PDF or other electronic transmission thereof)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to which such Holder is not entitled as set forth in Section 14.02(h); and (5) if required, pay any transfer or similar taxes as described herein. The Trustee (and if different, the Conversion Agent) shall notify the Company of any conversion pursuant to this Article 14 as soon as practical, but in any event, not later than the Trading Day immediately following the Conversion Date. No Notice of Conversion with respect to any Notes may be surrendered by a Holder thereof if such Holder has also delivered a Fundamental Change Repurchase Notice to the Company in respect of such Notes and has not validly withdrawn such Fundamental Change Repurchase Notice in accordance with Section 15.03.</w:t>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58" w:lineRule="exact"/>
        <w:rPr>
          <w:sz w:val="20"/>
          <w:szCs w:val="20"/>
          <w:color w:val="auto"/>
        </w:rPr>
      </w:pPr>
    </w:p>
    <w:p>
      <w:pPr>
        <w:jc w:val="both"/>
        <w:ind w:firstLine="656"/>
        <w:spacing w:after="0" w:line="257" w:lineRule="auto"/>
        <w:tabs>
          <w:tab w:leader="none" w:pos="15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shall be deemed to have been converted immediately prior to the close of business on the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that the 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 relevant Conversion Date. If any shares of Common Stock are due to a converting Holder, the Company shall issue or cause to be issued, and deliver (if applicable) to the Conversion Agent or to such Holder, or such Holder’s nominee or nominees, the full number of shares of Common Stock to which such Holder shall be entitled, in book-entry format through the Depositary, in satisfaction of the Company’s Conversion Obligation.</w:t>
      </w:r>
    </w:p>
    <w:p>
      <w:pPr>
        <w:spacing w:after="0" w:line="186" w:lineRule="exact"/>
        <w:rPr>
          <w:rFonts w:ascii="Times New Roman" w:cs="Times New Roman" w:eastAsia="Times New Roman" w:hAnsi="Times New Roman"/>
          <w:sz w:val="18"/>
          <w:szCs w:val="18"/>
          <w:color w:val="auto"/>
        </w:rPr>
      </w:pPr>
    </w:p>
    <w:p>
      <w:pPr>
        <w:jc w:val="both"/>
        <w:ind w:firstLine="656"/>
        <w:spacing w:after="0" w:line="256" w:lineRule="auto"/>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both"/>
        <w:ind w:firstLine="656"/>
        <w:spacing w:after="0" w:line="266" w:lineRule="auto"/>
        <w:tabs>
          <w:tab w:leader="none" w:pos="15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79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14.04, no adjustment shall be made for dividends on any shares of Common Stock issued upon the conversion of any Note as provided in this Article 14.</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6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76" w:lineRule="exact"/>
        <w:rPr>
          <w:rFonts w:ascii="Times New Roman" w:cs="Times New Roman" w:eastAsia="Times New Roman" w:hAnsi="Times New Roman"/>
          <w:sz w:val="18"/>
          <w:szCs w:val="18"/>
          <w:color w:val="auto"/>
        </w:rPr>
      </w:pPr>
    </w:p>
    <w:p>
      <w:pPr>
        <w:jc w:val="both"/>
        <w:ind w:firstLine="656"/>
        <w:spacing w:after="0" w:line="252" w:lineRule="auto"/>
        <w:tabs>
          <w:tab w:leader="none" w:pos="15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a Holder shall not receive any separate cash payment for accrued and unpaid interest, if any, except as set forth below, and the Company shall not adjust the Conversion Rate for any accrued and unpaid interest on the Notes.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(1) for conversions of the Notes following the close of business on the Regular Record Date immediately preceding the Maturity Date; (2) for conversions of Notes for which the Company has given a Company Conversion Notice with a Company Conversion Date that is after a Regular Record Date and on or prior to the second Scheduled Trading Day immediately following the corresponding Interest Payment Date; (3) if the Company has specified a Fundamental Change Repurchase Date that is after a Regular Record Date and on or prior to the second Business Day immediately following the corresponding Interest Payment Date; or (4) to the extent of any Defaulted Amounts, if any Defaulted Amounts exists at the time of conversion with respect to such Notes. Therefore, for the avoidance of doubt, all Holders of record on the Regular Record Date immediately preceding the Maturity Date, Company Repurchase Notice Date or any Fundamental Change Repurchase Date, in each case described above, shall receive the full interest payment due on the Maturity Date or other applicable Interest Payment Date in cash regardless of whether their Notes have been converted following such Regular Record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both"/>
        <w:ind w:right="20" w:firstLine="656"/>
        <w:spacing w:after="0" w:line="266" w:lineRule="auto"/>
        <w:tabs>
          <w:tab w:leader="none" w:pos="16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the shares of Common Stock shall be issuable upon conversion shall be treated as a stockholder of record as of the close of business on the relevant Conversion Date. Upon a conversion of Notes, such Person shall no longer be a Holder of such Notes surrendered for conversion.</w:t>
      </w:r>
    </w:p>
    <w:p>
      <w:pPr>
        <w:spacing w:after="0" w:line="176"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5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shall not deliver any fractional share of Common Stock upon conversion of the Notes; the Company shall instead pay cash in lieu of delivering any fractional share of Common Stock issuable upon conversion based on the VWAP for the relevant Conversion Date (or, if such Conversion Date is not a Trading Day, the next following Trading Day).</w:t>
      </w:r>
    </w:p>
    <w:p>
      <w:pPr>
        <w:spacing w:after="0" w:line="172" w:lineRule="exact"/>
        <w:rPr>
          <w:sz w:val="20"/>
          <w:szCs w:val="20"/>
          <w:color w:val="auto"/>
        </w:rPr>
      </w:pPr>
    </w:p>
    <w:p>
      <w:pPr>
        <w:ind w:left="980"/>
        <w:spacing w:after="0"/>
        <w:tabs>
          <w:tab w:leader="none" w:pos="3080" w:val="left"/>
        </w:tabs>
        <w:rPr>
          <w:sz w:val="20"/>
          <w:szCs w:val="20"/>
          <w:color w:val="auto"/>
        </w:rPr>
      </w:pPr>
      <w:r>
        <w:rPr>
          <w:rFonts w:ascii="Times New Roman" w:cs="Times New Roman" w:eastAsia="Times New Roman" w:hAnsi="Times New Roman"/>
          <w:sz w:val="18"/>
          <w:szCs w:val="18"/>
          <w:color w:val="auto"/>
        </w:rPr>
        <w:t>Section 14.03.</w:t>
      </w:r>
      <w:r>
        <w:rPr>
          <w:sz w:val="20"/>
          <w:szCs w:val="20"/>
          <w:color w:val="auto"/>
        </w:rPr>
        <w:tab/>
      </w:r>
      <w:r>
        <w:rPr>
          <w:rFonts w:ascii="Times New Roman" w:cs="Times New Roman" w:eastAsia="Times New Roman" w:hAnsi="Times New Roman"/>
          <w:sz w:val="18"/>
          <w:szCs w:val="18"/>
          <w:b w:val="1"/>
          <w:bCs w:val="1"/>
          <w:color w:val="auto"/>
        </w:rPr>
        <w:t>Increased Conversion Rate Applicable to Certain Notes Surrendered in Connection with a Make-Whole</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Fundamental Change or Notice of Early Company Conversion.</w:t>
      </w:r>
    </w:p>
    <w:p>
      <w:pPr>
        <w:spacing w:after="0" w:line="207" w:lineRule="exact"/>
        <w:rPr>
          <w:sz w:val="20"/>
          <w:szCs w:val="20"/>
          <w:color w:val="auto"/>
        </w:rPr>
      </w:pPr>
    </w:p>
    <w:p>
      <w:pPr>
        <w:jc w:val="both"/>
        <w:ind w:firstLine="656"/>
        <w:spacing w:after="0" w:line="253" w:lineRule="auto"/>
        <w:tabs>
          <w:tab w:leader="none" w:pos="15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Effective Date of a Make-Whole Fundamental Change occurs prior to the Maturity Date or (ii) the Company gives a Notice of Early Company Conversion (prior to December 1, 2022) with respect to the Notes pursuant to Section 16.02 and, in each case, a Holder elects or is required to convert its Notes in connection with such Make-Whole Fundamental Change or Notice of Early Company Conversion, as applicable, the Company shall, under the circumstances described below, increase the Conversion Rate for the Notes so surrendered for conversion by a number of additional shares of Common Stock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as described below. The Conversion Rate will not be increased in connection with a Notice of Company Conversion on or after December 1, 2022. A conversion of Notes shall be deemed for these purposes to be “in connection with” such Make-Whole Fundamental Change if the relevant Notice of Conversion is received by the Conversion Agent from, and including, the Effective Date of the Make-Whole Fundamental Change up to, and including, the Business Day immediately prior to the related Fundamental Change Repurchase Date (or, in the case of a Make-Whole Fundamental Change that would have been a Fundamental Change but for subclause (a) of the proviso in clause (b) of the definition thereof, the 35th Trading Day immediately following the Effective Date of such Make-Whole Fundamental Change) (such period, the “</w:t>
      </w:r>
      <w:r>
        <w:rPr>
          <w:rFonts w:ascii="Times New Roman" w:cs="Times New Roman" w:eastAsia="Times New Roman" w:hAnsi="Times New Roman"/>
          <w:sz w:val="18"/>
          <w:szCs w:val="18"/>
          <w:b w:val="1"/>
          <w:bCs w:val="1"/>
          <w:color w:val="auto"/>
        </w:rPr>
        <w:t>Make-Whole 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 Period</w:t>
      </w:r>
      <w:r>
        <w:rPr>
          <w:rFonts w:ascii="Times New Roman" w:cs="Times New Roman" w:eastAsia="Times New Roman" w:hAnsi="Times New Roman"/>
          <w:sz w:val="18"/>
          <w:szCs w:val="18"/>
          <w:color w:val="auto"/>
        </w:rPr>
        <w:t>”). A conversion of Notes shall be deemed for these purposes to be “in connection with” a Notice of Early Company Conversion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Notice of Conversion of the Notes is received by the Conversion Agent prior to December 1, 2022.</w:t>
      </w:r>
    </w:p>
    <w:p>
      <w:pPr>
        <w:spacing w:after="0" w:line="190" w:lineRule="exact"/>
        <w:rPr>
          <w:rFonts w:ascii="Times New Roman" w:cs="Times New Roman" w:eastAsia="Times New Roman" w:hAnsi="Times New Roman"/>
          <w:sz w:val="18"/>
          <w:szCs w:val="18"/>
          <w:color w:val="auto"/>
        </w:rPr>
      </w:pPr>
    </w:p>
    <w:p>
      <w:pPr>
        <w:jc w:val="both"/>
        <w:ind w:firstLine="656"/>
        <w:spacing w:after="0" w:line="254" w:lineRule="auto"/>
        <w:tabs>
          <w:tab w:leader="none" w:pos="19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of Notes for conversion in connection with a Make-Whole Fundamental Change or Notice of Early Company Conversion, the Company shall satisfy the related Conversion Obligation in accordance with Section 14.02;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adjustment for Additional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such Stock Price. In such event, the Conversion Obligation shall be paid to Holders in cash on the second Business Day following the Conversion Date. The Company shall notify the Holders of Notes, the Trustee and the Conversion Agent (if other than the Trustee) in writing of the Effective Date of any Make-Whole Fundamental Change no later than five Business Days after such Effective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both"/>
        <w:ind w:firstLine="656"/>
        <w:spacing w:after="0" w:line="253" w:lineRule="auto"/>
        <w:tabs>
          <w:tab w:leader="none" w:pos="15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Additional Shares, if any, by which the Conversion Rate shall be increased shall be determined by reference to the table below, based on the date on which the Make-Whole Fundamental Change occurs or becomes effective or the date of the Company Notice of Early Company Conversion, as the case may be (in each case,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the price paid (or deemed to be paid) per share of the Common Stock in the Make-Whole Fundamental Change or with respect to the Notice of Early Company Conversion, as the case may be (the “</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five Trading Day period ending on, and including, the Trading Day immediately preceding the Effective Date of the Make-Whole Fundamental Change or the date of the Notice of Early Company Conversion, as the case may be. The Company shall make appropriate adjustments to the Stock Price, in good faith and in a commercially reasonable manner, to account for any adjustment to the Conversion Rate that becomes effective, or any event requiring an adjustment to the Conversion Rate where the Ex-Dividend Date, Effective Date (as such term is used in Section 14.04) or expiration date of the event occurs during such five consecutive Trading Day period.</w:t>
      </w:r>
    </w:p>
    <w:p>
      <w:pPr>
        <w:spacing w:after="0" w:line="192" w:lineRule="exact"/>
        <w:rPr>
          <w:rFonts w:ascii="Times New Roman" w:cs="Times New Roman" w:eastAsia="Times New Roman" w:hAnsi="Times New Roman"/>
          <w:sz w:val="18"/>
          <w:szCs w:val="18"/>
          <w:color w:val="auto"/>
        </w:rPr>
      </w:pPr>
    </w:p>
    <w:p>
      <w:pPr>
        <w:jc w:val="both"/>
        <w:ind w:firstLine="656"/>
        <w:spacing w:after="0" w:line="258" w:lineRule="auto"/>
        <w:tabs>
          <w:tab w:leader="none" w:pos="162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5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number of Additional Shares of Common Stock by which the Conversion Rate shall be increased per $1,000 principal amount of Notes pursuant to this Section 14.03 for each Stock Price and Effective Date set forth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Stock Price</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2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22, 2019</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86.2068</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86.2068</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79.9253</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64.7524</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49.1535</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44.0383</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37.7087</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21.0180</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12.6349</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8.4890</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 2020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86.2068</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86.2068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70.7638</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55.3632</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40.0858</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35.2498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29.4229</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15.2146</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8.9333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6.0307</w:t>
            </w: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2021</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86.2068</w:t>
            </w:r>
          </w:p>
        </w:tc>
        <w:tc>
          <w:tcPr>
            <w:tcW w:w="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85.8330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57.9014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41.9691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27.1517</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22.7920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17.8439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7.8069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3.1507</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 2022</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86.2068</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76.9837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42.6056</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21.3888</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2023</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86.2068</w:t>
            </w:r>
          </w:p>
        </w:tc>
        <w:tc>
          <w:tcPr>
            <w:tcW w:w="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73.1674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39.0515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19.2050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w:t>
            </w:r>
          </w:p>
        </w:tc>
      </w:tr>
      <w:tr>
        <w:trPr>
          <w:trHeight w:val="23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 2024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86.2068</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55.1724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w:t>
            </w:r>
          </w:p>
        </w:tc>
      </w:tr>
      <w:tr>
        <w:trPr>
          <w:trHeight w:val="630"/>
        </w:trPr>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The exact Stock Price and Effective Date may not be set forth in the table above, in which case:</w:t>
      </w:r>
    </w:p>
    <w:p>
      <w:pPr>
        <w:spacing w:after="0" w:line="225" w:lineRule="exact"/>
        <w:rPr>
          <w:sz w:val="20"/>
          <w:szCs w:val="20"/>
          <w:color w:val="auto"/>
        </w:rPr>
      </w:pPr>
    </w:p>
    <w:p>
      <w:pPr>
        <w:jc w:val="both"/>
        <w:ind w:left="660" w:firstLine="645"/>
        <w:spacing w:after="0" w:line="266" w:lineRule="auto"/>
        <w:tabs>
          <w:tab w:leader="none" w:pos="23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between two Stock Prices in the table above or the Effective Date is between two Effective Dates in the table, the number of Additional Shares shall be determined by a straight-line interpolation between the number of Additional Shares set forth for the higher and lower Stock Prices and the earlier and later Effective Dates, as applicable, based on a 365-day year;</w:t>
      </w:r>
    </w:p>
    <w:p>
      <w:pPr>
        <w:spacing w:after="0" w:line="176"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2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greater than $10.00 per share (subject to adjustment in the same manner as the Stock Prices set forth in the column headings of the table above pursuant to subsection (d) above), no Additional Shares shall be added to the Conversion Rate; and</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3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less than $2.32 per share (subject to adjustment in the same manner as the Stock Prices set forth in the column headings of the table above pursuant to subsection (d) above), no Additional Shares shall be added to the Conversion Rate.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Conversion Rate per $1,000 principal amount of Notes exceed 431.0344 shares of Common Stock, subject to adjustment in the same manner as the Conversion Rate pursuant to Section 14.04.</w:t>
      </w:r>
    </w:p>
    <w:p>
      <w:pPr>
        <w:spacing w:after="0" w:line="162" w:lineRule="exact"/>
        <w:rPr>
          <w:sz w:val="20"/>
          <w:szCs w:val="20"/>
          <w:color w:val="auto"/>
        </w:rPr>
      </w:pPr>
    </w:p>
    <w:p>
      <w:pPr>
        <w:ind w:firstLine="656"/>
        <w:spacing w:after="0" w:line="282" w:lineRule="auto"/>
        <w:tabs>
          <w:tab w:leader="none" w:pos="15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14.03 shall prevent an adjustment to the Conversion Rate pursuant to Section 14.04 in respect of a Make-Whole Fundamental Change.</w:t>
      </w:r>
    </w:p>
    <w:p>
      <w:pPr>
        <w:spacing w:after="0" w:line="158"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14.04.</w:t>
      </w:r>
      <w:r>
        <w:rPr>
          <w:sz w:val="20"/>
          <w:szCs w:val="20"/>
          <w:color w:val="auto"/>
        </w:rPr>
        <w:tab/>
      </w:r>
      <w:r>
        <w:rPr>
          <w:rFonts w:ascii="Times New Roman" w:cs="Times New Roman" w:eastAsia="Times New Roman" w:hAnsi="Times New Roman"/>
          <w:sz w:val="17"/>
          <w:szCs w:val="17"/>
          <w:b w:val="1"/>
          <w:bCs w:val="1"/>
          <w:color w:val="auto"/>
        </w:rPr>
        <w:t>Adjustment of Conversion Rate.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Conversion Rate shall be adjusted from time to time by the Company if any of the following events occurs, except that the Company shall not make any adjustments to the Conversion Rate if Holders of the Notes participate (other than in the case of a share split or share combination or 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184" w:lineRule="exact"/>
        <w:rPr>
          <w:sz w:val="20"/>
          <w:szCs w:val="20"/>
          <w:color w:val="auto"/>
        </w:rPr>
      </w:pPr>
    </w:p>
    <w:p>
      <w:pPr>
        <w:ind w:right="20" w:firstLine="656"/>
        <w:spacing w:after="0" w:line="282" w:lineRule="auto"/>
        <w:tabs>
          <w:tab w:leader="none" w:pos="17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exclusively issues shares of Common Stock as a dividend or distribution on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114300</wp:posOffset>
            </wp:positionV>
            <wp:extent cx="1029335" cy="3689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93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CR0 = the Conversion Rate in effect immediately prior to the close of business on the Record Date of such dividend or distribution, or immediately prior to the open of business on the Effective Date of such share split or share combination, as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CR1 = the Conversion Rate in effect immediately after the close of business on such Record Date or Effective Date;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OS0 = the number of shares of Common Stock outstanding immediately prior to the close of business on such Record Date or Effective Date (before giving effect to any such dividend, distribution, split or combination);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OS1 = the number of shares of Common Stock outstanding immediately after giving effect to such dividend, distribution, share split or share combination.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adjustment made under this Section 14.04(a) shall become effective immediately after the open of business on the Record Date for such dividend or distribution, or immediately after the close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84" w:lineRule="exact"/>
        <w:rPr>
          <w:sz w:val="20"/>
          <w:szCs w:val="20"/>
          <w:color w:val="auto"/>
        </w:rPr>
      </w:pPr>
    </w:p>
    <w:p>
      <w:pPr>
        <w:jc w:val="both"/>
        <w:ind w:firstLine="656"/>
        <w:spacing w:after="0" w:line="258" w:lineRule="auto"/>
        <w:tabs>
          <w:tab w:leader="none" w:pos="1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to all or substantially all holders of the Common Stock any rights, options or warrants (other than in connection with a stockholder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128270</wp:posOffset>
            </wp:positionV>
            <wp:extent cx="1414780" cy="377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147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CR0=the Conversion Rate in effect immediately prior to the close of business on the Record Date for such issuance;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CR1= the Conversion Rate in effect immediately after the close of business on such Record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OS0 = the number of shares of Common Stock outstanding immediately prior to the close of business on such Record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 the total number of shares of Common Stock issuable pursuant to such rights, options or warrants; and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Y = the number of shares of Common Stock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jc w:val="both"/>
        <w:spacing w:after="0" w:line="256" w:lineRule="auto"/>
        <w:rPr>
          <w:sz w:val="20"/>
          <w:szCs w:val="20"/>
          <w:color w:val="auto"/>
        </w:rPr>
      </w:pPr>
      <w:r>
        <w:rPr>
          <w:rFonts w:ascii="Times New Roman" w:cs="Times New Roman" w:eastAsia="Times New Roman" w:hAnsi="Times New Roman"/>
          <w:sz w:val="18"/>
          <w:szCs w:val="18"/>
          <w:color w:val="auto"/>
        </w:rPr>
        <w:t>Any increase made under this Section 14.04(b) shall be made successively whenever any such rights, options or warrants are issued and shall become effective immediately after the close of business on the Record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Record Date for such issuance had not occurred.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this Section 14.04(b), in determining whether any rights, options or warrants entitle the holders to subscribe for or purchase shares of the Common Stock at less than such average of the Last Reported Sale Prices of the Common Stock for the 10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 and in a commercially reasonable manner.</w:t>
      </w:r>
    </w:p>
    <w:p>
      <w:pPr>
        <w:spacing w:after="0" w:line="188" w:lineRule="exact"/>
        <w:rPr>
          <w:sz w:val="20"/>
          <w:szCs w:val="20"/>
          <w:color w:val="auto"/>
        </w:rPr>
      </w:pPr>
    </w:p>
    <w:p>
      <w:pPr>
        <w:jc w:val="both"/>
        <w:ind w:firstLine="656"/>
        <w:spacing w:after="0" w:line="255" w:lineRule="auto"/>
        <w:tabs>
          <w:tab w:leader="none" w:pos="15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(or would be required to be effected, notwithstanding the 1% Exception in Section 14.04(j)) pursuant to Section 14.04(a) or Section 14.04(b), (ii) dividends or distributions paid exclusively in cash as to which the provisions set forth in Section 14.04(d) shall apply, (iii) except as otherwise described below, rights issued pursuant to a stockholder rights plan of the Company, (iv) distributions of Reference Property in a Share Exchange Event, and (v) Spin-Offs as to which the provisions set forth below in this Section 14.04(c)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129540</wp:posOffset>
            </wp:positionV>
            <wp:extent cx="1672590"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725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CR0 = the Conversion Rate in effect immediately prior to the close of business on the Record Date for such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CR1= the Conversion Rate in effect immediately after the close of business on such Record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both"/>
        <w:spacing w:after="0" w:line="282" w:lineRule="auto"/>
        <w:rPr>
          <w:sz w:val="20"/>
          <w:szCs w:val="20"/>
          <w:color w:val="auto"/>
        </w:rPr>
      </w:pPr>
      <w:r>
        <w:rPr>
          <w:rFonts w:ascii="Times New Roman" w:cs="Times New Roman" w:eastAsia="Times New Roman" w:hAnsi="Times New Roman"/>
          <w:sz w:val="18"/>
          <w:szCs w:val="18"/>
          <w:color w:val="auto"/>
        </w:rPr>
        <w:t>SP0 = the average of the Last Reported Sale Prices of the Common Stock over the 10 consecutive Trading Day period ending on, and including, the Trading Day immediately preceding the Ex-Dividend Date for such distribution; and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FMV = the fair market value (as determined by the Company in good faith and in a commercially reasonable manner) of the Distributed Property with respect to each outstanding share of the Common Stock on the Record Date for such distribution.</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increase made under the portion of this Section 14.04(c) above shall become effective immediately after the close of business on the Record Date for such distribution. If such distribution is not so paid or made, the Conversion Rate shall be decreased to the Conversion Rate that would then be in effect if such distribution had not been declared. If the Company issues rights, options or warrants that are only exercisable upon the occurrence of certain triggering events, then the Company shall not adjust the Conversion Rate pursuant to the clauses above until the earliest of these triggering events occurs, and the Company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the Common Stock actually delivered upon exercise of such rights, options or warrants. Notwithstanding the foregoing, if “FMV” (as defined above) is equal to or greater than “SP0” (as defined above), in lieu of the foregoing increase, each Holder of a Note shall receive, in respect of each $1,000 principal amount thereof, at the same time and upon the same terms as holders of the Common Stock, the amount and kind of Distributed Property such Holder would have received if such Holder owned a number of shares of Common Stock equal to the Conversion Rate in effect on the Record Date for the distribution. If the Company determines the “FMV” (as defined above) of any distribution for purposes of this Section 14.04(c) by reference to the actual or when-issued trading market for any securities, it shall in doing so consider the prices in such market over the same period used in computing the Last Reported Sale Prices of the Common Stock over the 10 consecutive Trading Day period ending on, and including, the Trading Day immediately preceding the Ex-Dividend Date for such distribution.</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an adjustment pursuant to this Section 14.04(c)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125730</wp:posOffset>
            </wp:positionV>
            <wp:extent cx="1775460" cy="3860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754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CR0 = the Conversion Rate in effect immediately prior to the end of the Valuation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CR1= the Conversion Rate in effect immediately after the end of the Valuation Period;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FMV0 = the average of the Last Reported Sale Prices of the Capital Stock or similar equity interest distributed to holders of the Common Stock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Last Reported Sale Price of the Capital Stock or similar equity interest distributed to the holders of the Common Stock on such Ex-Dividend Date,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be the first 10 consecutive Trading Day period after, and including, the first date such Last Reported Sale Price is available; and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MP0 = the average of the Last Reported Sale Prices of the Common Stock over the Valuation Period.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adjustment to the Conversion Rate under the preceding paragraph shall occur at the close of business on the last Trading Day of the Valuation Period;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the relevant Conversion Date occurs during the Valuation Period, references to “10” in the preceding paragraph shall be deemed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purposes of this Section 14.04(c) (and subject in all respect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spacing w:after="0" w:line="282" w:lineRule="auto"/>
        <w:rPr>
          <w:sz w:val="20"/>
          <w:szCs w:val="20"/>
          <w:color w:val="auto"/>
        </w:rPr>
      </w:pPr>
      <w:r>
        <w:rPr>
          <w:rFonts w:ascii="Times New Roman" w:cs="Times New Roman" w:eastAsia="Times New Roman" w:hAnsi="Times New Roman"/>
          <w:sz w:val="18"/>
          <w:szCs w:val="18"/>
          <w:color w:val="auto"/>
        </w:rPr>
        <w:t>For purposes of Section 14.04(a), Section 14.04(b) and this Section 14.04(c), if any dividend or distribution to which this Section 14.04(c) is applicable also includes one or both of:</w:t>
      </w:r>
    </w:p>
    <w:p>
      <w:pPr>
        <w:spacing w:after="0" w:line="158" w:lineRule="exact"/>
        <w:rPr>
          <w:sz w:val="20"/>
          <w:szCs w:val="20"/>
          <w:color w:val="auto"/>
        </w:rPr>
      </w:pPr>
    </w:p>
    <w:p>
      <w:pPr>
        <w:ind w:left="3120" w:hanging="1167"/>
        <w:spacing w:after="0"/>
        <w:tabs>
          <w:tab w:leader="none" w:pos="3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shares of Common Stock to which Section 14.04(a) is applicable (the “</w:t>
      </w:r>
      <w:r>
        <w:rPr>
          <w:rFonts w:ascii="Times New Roman" w:cs="Times New Roman" w:eastAsia="Times New Roman" w:hAnsi="Times New Roman"/>
          <w:sz w:val="18"/>
          <w:szCs w:val="18"/>
          <w:b w:val="1"/>
          <w:bCs w:val="1"/>
          <w:color w:val="auto"/>
        </w:rPr>
        <w:t>Clause A</w:t>
      </w:r>
    </w:p>
    <w:p>
      <w:pPr>
        <w:spacing w:after="0" w:line="3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or</w:t>
      </w:r>
    </w:p>
    <w:p>
      <w:pPr>
        <w:spacing w:after="0" w:line="202" w:lineRule="exact"/>
        <w:rPr>
          <w:rFonts w:ascii="Times New Roman" w:cs="Times New Roman" w:eastAsia="Times New Roman" w:hAnsi="Times New Roman"/>
          <w:sz w:val="18"/>
          <w:szCs w:val="18"/>
          <w:color w:val="auto"/>
        </w:rPr>
      </w:pPr>
    </w:p>
    <w:p>
      <w:pPr>
        <w:ind w:left="3100" w:hanging="1147"/>
        <w:spacing w:after="0"/>
        <w:tabs>
          <w:tab w:leader="none" w:pos="3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rights, options or warrants to which Section 14.04(b) is applicable (the “</w:t>
      </w:r>
      <w:r>
        <w:rPr>
          <w:rFonts w:ascii="Times New Roman" w:cs="Times New Roman" w:eastAsia="Times New Roman" w:hAnsi="Times New Roman"/>
          <w:sz w:val="18"/>
          <w:szCs w:val="18"/>
          <w:b w:val="1"/>
          <w:bCs w:val="1"/>
          <w:color w:val="auto"/>
        </w:rPr>
        <w:t>Clause B</w:t>
      </w:r>
    </w:p>
    <w:p>
      <w:pPr>
        <w:spacing w:after="0" w:line="3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 or distribution to which this Section 14.04(c)is applicable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85" w:lineRule="exact"/>
        <w:rPr>
          <w:sz w:val="20"/>
          <w:szCs w:val="20"/>
          <w:color w:val="auto"/>
        </w:rPr>
      </w:pPr>
    </w:p>
    <w:p>
      <w:pPr>
        <w:ind w:firstLine="656"/>
        <w:spacing w:after="0" w:line="282" w:lineRule="auto"/>
        <w:tabs>
          <w:tab w:leader="none" w:pos="176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cash dividend or distribution is made to all or substantially all holders of the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114300</wp:posOffset>
            </wp:positionV>
            <wp:extent cx="1414780" cy="4032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1478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CR0 = the Conversion Rate in effect immediately prior to the close of business on the Record Date for such dividend or distribution;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CR1= the Conversion Rate in effect immediately after the close of business on the Record Date for such dividend or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SP0 = the Last Reported Sale Price of the Common Stock on the Trading Day immediately preceding the Record Date for such dividend or distribution;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 the amount in cash per share the Company distributes to all or substantially all holders of the Common Stock.</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increase pursuant to this Section 14.04(d)shall become effective immediately after the open of business on the Record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principal amount of Notes, at the same time and upon the same terms as holders of shares of the Common Stock, the amount of cash that such Holder would have received if such Holder owned a number of shares of Common Stock equal to the Conversion Rate in effect on the Record Date for such cash dividend or distribution.</w:t>
      </w:r>
    </w:p>
    <w:p>
      <w:pPr>
        <w:spacing w:after="0" w:line="189" w:lineRule="exact"/>
        <w:rPr>
          <w:sz w:val="20"/>
          <w:szCs w:val="20"/>
          <w:color w:val="auto"/>
        </w:rPr>
      </w:pPr>
    </w:p>
    <w:p>
      <w:pPr>
        <w:jc w:val="both"/>
        <w:ind w:firstLine="656"/>
        <w:spacing w:after="0" w:line="258" w:lineRule="auto"/>
        <w:tabs>
          <w:tab w:leader="none" w:pos="15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make a payment in respect of a tender or exchange offer for the Common Stock that is subject to the then-applicable tender offer rules under the Exchange Act, other than an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128270</wp:posOffset>
            </wp:positionV>
            <wp:extent cx="1886585" cy="3517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658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CR0 = the Conversion Rate in effect immediately prior to the close of business on the 10th Trading Day immediately following, and including, the Trading Day next succeeding the date such tender or exchange offer expires;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CR1= the Conversion Rate in effect immediately after the close of business on the 10th Trading Day immediately following, and including, the Trading Day next succeeding the date such tender or exchange offer expires;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 = the aggregate value of all cash and any other consideration (as determined by the Company in good faith and in a commercially reasonable manner) paid or payable for shares of Common Stock purchased in such tender or exchange offer;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OS0 = 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OS1= 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SP1 = the average of the Last Reported Sale Prices of the Common Stock over the 10 consecutive Trading Day period commencing on, and including, the Trading Day next succeeding the date such tender or exchange offer expires.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adjustment to the Conversion Rate under this Section 14.04(e) shall occur at the close of business on the 10th Trading Day immediately following, and including, the Trading Day immediately following the expiration date of such tender or exchange offer expires;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For the avoidance of doubt, no adjustment under this Section 14.04(e) shall be made if such adjustment would result in a decrease in the Conversion Rate (other than, for the avoidance of doubt, any readjustment described in the immediately succeeding paragraph).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or one of its Subsidiaries is obligated to purchase the Common Stock pursuant to any such tender or exchange offer described in this Section 14.04(e) but the Company or such Subsidiary is permanently prevented by applicable law from effecting any such purchase or all such purchases are rescinded, the Conversion Rate shall be decreased to be the Conversion Rate that would then be in effect if such tender or exchange offer had not been made or had been made only in respect of the purchases that have been effected.</w:t>
      </w:r>
    </w:p>
    <w:p>
      <w:pPr>
        <w:spacing w:after="0" w:line="180" w:lineRule="exact"/>
        <w:rPr>
          <w:sz w:val="20"/>
          <w:szCs w:val="20"/>
          <w:color w:val="auto"/>
        </w:rPr>
      </w:pPr>
    </w:p>
    <w:p>
      <w:pPr>
        <w:jc w:val="both"/>
        <w:ind w:firstLine="656"/>
        <w:spacing w:after="0" w:line="255" w:lineRule="auto"/>
        <w:tabs>
          <w:tab w:leader="none" w:pos="164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this Section 14.04 or any other provision of this Indenture or the Notes, if (i) a Conversion Rate adjustment becomes effective on any Record Date, (ii) a Holder has converted its Notes and the Conversion Date for such conversion occurs on or after such Record Date and on or prior to the related Record Date; (iii) the consideration due upon such conversion includes any whole shares of Common Stock based on a Conversion Rate that is adjusted for such Record Date; and (iv) such shares of Common Stock would be entitled to participate in such dividend, distribution, or other event giving rise to such adjustment, then, notwithstanding the Conversion Rate adjustment provisions in this Section 14.04, the Conversion Rate adjustment relating to such Record Date shall not be made for such conversion, and, instead, the shares of Common Stock issuable upon conversion on an unadjusted basis will be entitled to participate in the related dividend, distribution or other event giving rise to such adjustment.</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7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jc w:val="both"/>
        <w:ind w:firstLine="656"/>
        <w:spacing w:after="0" w:line="254" w:lineRule="auto"/>
        <w:tabs>
          <w:tab w:leader="none" w:pos="178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those adjustments required by clauses (a), (b), (c), (d) and (e) of this Section 14.04, and to the extent permitted by applicable law and subject to the applicable rules of any exchange on which any of the Company’s securities are then listed, the Company from time to time may increase the Conversion Rate by any amount for a period of at least 20 Business Days if the Board of Directors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deliver to the Holder of each Note, the Trustee and the Conversion Agent (if other than the Trustee) a notice of the increase at least 15 days prior to the date the increased Conversion Rate takes effect, and such notice shall state the increased Conversion Rate and the period during which it will be in effect.</w:t>
      </w:r>
    </w:p>
    <w:p>
      <w:pPr>
        <w:spacing w:after="0" w:line="189" w:lineRule="exact"/>
        <w:rPr>
          <w:rFonts w:ascii="Times New Roman" w:cs="Times New Roman" w:eastAsia="Times New Roman" w:hAnsi="Times New Roman"/>
          <w:sz w:val="18"/>
          <w:szCs w:val="18"/>
          <w:color w:val="auto"/>
        </w:rPr>
      </w:pPr>
    </w:p>
    <w:p>
      <w:pPr>
        <w:ind w:left="1600" w:hanging="944"/>
        <w:spacing w:after="0"/>
        <w:tabs>
          <w:tab w:leader="none" w:pos="1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14, the Conversion Rate shall not be adjusted:</w:t>
      </w:r>
    </w:p>
    <w:p>
      <w:pPr>
        <w:spacing w:after="0" w:line="225" w:lineRule="exact"/>
        <w:rPr>
          <w:rFonts w:ascii="Times New Roman" w:cs="Times New Roman" w:eastAsia="Times New Roman" w:hAnsi="Times New Roman"/>
          <w:sz w:val="18"/>
          <w:szCs w:val="18"/>
          <w:color w:val="auto"/>
        </w:rPr>
      </w:pPr>
    </w:p>
    <w:p>
      <w:pPr>
        <w:ind w:left="660" w:firstLine="774"/>
        <w:spacing w:after="0" w:line="282" w:lineRule="auto"/>
        <w:tabs>
          <w:tab w:leader="none" w:pos="24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shares of the Common Stock at a price below the Conversion Price or otherwise, other than any such issuance described in clause (a), (b), or (c) of this Section 14.04;</w:t>
      </w:r>
    </w:p>
    <w:p>
      <w:pPr>
        <w:spacing w:after="0" w:line="161" w:lineRule="exact"/>
        <w:rPr>
          <w:rFonts w:ascii="Times New Roman" w:cs="Times New Roman" w:eastAsia="Times New Roman" w:hAnsi="Times New Roman"/>
          <w:sz w:val="18"/>
          <w:szCs w:val="18"/>
          <w:color w:val="auto"/>
        </w:rPr>
      </w:pPr>
    </w:p>
    <w:p>
      <w:pPr>
        <w:jc w:val="both"/>
        <w:ind w:left="660" w:firstLine="774"/>
        <w:spacing w:after="0" w:line="266" w:lineRule="auto"/>
        <w:tabs>
          <w:tab w:leader="none" w:pos="240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76" w:lineRule="exact"/>
        <w:rPr>
          <w:rFonts w:ascii="Times New Roman" w:cs="Times New Roman" w:eastAsia="Times New Roman" w:hAnsi="Times New Roman"/>
          <w:sz w:val="18"/>
          <w:szCs w:val="18"/>
          <w:color w:val="auto"/>
        </w:rPr>
      </w:pPr>
    </w:p>
    <w:p>
      <w:pPr>
        <w:jc w:val="both"/>
        <w:ind w:left="660" w:firstLine="774"/>
        <w:spacing w:after="0" w:line="266" w:lineRule="auto"/>
        <w:tabs>
          <w:tab w:leader="none" w:pos="239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or options or rights to purchase those shares pursuant to any present or future employee, director or consultant benefit or incentive plan (including pursuant to any evergreen plan) or program of or assumed by the Company or any of the Company’s Subsidiaries or in connection with any such shares withheld by the Company for tax withholding purposes;</w:t>
      </w:r>
    </w:p>
    <w:p>
      <w:pPr>
        <w:spacing w:after="0" w:line="176" w:lineRule="exact"/>
        <w:rPr>
          <w:rFonts w:ascii="Times New Roman" w:cs="Times New Roman" w:eastAsia="Times New Roman" w:hAnsi="Times New Roman"/>
          <w:sz w:val="18"/>
          <w:szCs w:val="18"/>
          <w:color w:val="auto"/>
        </w:rPr>
      </w:pPr>
    </w:p>
    <w:p>
      <w:pPr>
        <w:ind w:left="660" w:firstLine="774"/>
        <w:spacing w:after="0" w:line="282" w:lineRule="auto"/>
        <w:tabs>
          <w:tab w:leader="none" w:pos="23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the Common Stock pursuant to any option, warrant, right or exercisable, exchangeable or convertible security not described in clause (iii) of this subsection and outstanding as of the date the Notes were first issued;</w:t>
      </w:r>
    </w:p>
    <w:p>
      <w:pPr>
        <w:spacing w:after="0" w:line="161" w:lineRule="exact"/>
        <w:rPr>
          <w:rFonts w:ascii="Times New Roman" w:cs="Times New Roman" w:eastAsia="Times New Roman" w:hAnsi="Times New Roman"/>
          <w:sz w:val="18"/>
          <w:szCs w:val="18"/>
          <w:color w:val="auto"/>
        </w:rPr>
      </w:pPr>
    </w:p>
    <w:p>
      <w:pPr>
        <w:ind w:left="660" w:firstLine="774"/>
        <w:spacing w:after="0" w:line="282" w:lineRule="auto"/>
        <w:tabs>
          <w:tab w:leader="none" w:pos="245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tender offer by any party other than a tender offer by the Company or one or more of the Company’s Subsidiaries as described in clause (e) of this Section 14.04;</w:t>
      </w:r>
    </w:p>
    <w:p>
      <w:pPr>
        <w:spacing w:after="0" w:line="161" w:lineRule="exact"/>
        <w:rPr>
          <w:rFonts w:ascii="Times New Roman" w:cs="Times New Roman" w:eastAsia="Times New Roman" w:hAnsi="Times New Roman"/>
          <w:sz w:val="18"/>
          <w:szCs w:val="18"/>
          <w:color w:val="auto"/>
        </w:rPr>
      </w:pPr>
    </w:p>
    <w:p>
      <w:pPr>
        <w:jc w:val="both"/>
        <w:ind w:left="660" w:firstLine="774"/>
        <w:spacing w:after="0" w:line="261" w:lineRule="auto"/>
        <w:tabs>
          <w:tab w:leader="none" w:pos="233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repurchase of any shares of the Common Stock pursuant to an open-market share repurchase program or other buy-back transaction (including, without limitation, through any structured or derivative transactions such as accelerated share repurchase transactions or similar forward derivatives), or other buy-back transaction, that is not a tender offer or exchange offer of the nature described under clause (e) of this Section 14.04;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ind w:left="2200" w:hanging="766"/>
        <w:spacing w:after="0"/>
        <w:tabs>
          <w:tab w:leader="none" w:pos="22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(or lack of par value) of the Common Stock; or</w:t>
      </w:r>
    </w:p>
    <w:p>
      <w:pPr>
        <w:spacing w:after="0" w:line="225" w:lineRule="exact"/>
        <w:rPr>
          <w:rFonts w:ascii="Times New Roman" w:cs="Times New Roman" w:eastAsia="Times New Roman" w:hAnsi="Times New Roman"/>
          <w:sz w:val="18"/>
          <w:szCs w:val="18"/>
          <w:color w:val="auto"/>
        </w:rPr>
      </w:pPr>
    </w:p>
    <w:p>
      <w:pPr>
        <w:ind w:left="2160" w:hanging="726"/>
        <w:spacing w:after="0"/>
        <w:tabs>
          <w:tab w:leader="none" w:pos="21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interest, if any.</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67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adjust the Conversion Rate pursuant to the clauses above unless the adjustment would result in a change of at least 1% in the then effective Conversion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carry forward any adjustment to the Conversion Rate that the Company would otherwise have to make and take that adjustment into account in any subsequent adjustment. Notwithstanding the foregoing, all such carried-forward adjustments shall be made with respect to the Notes (i) in connection with any subsequent adjustment to the Conversion Rate of at least 1% of the Conversion Rate, (ii) regardless of whether the aggregate adjustment is less than 1% of the Conversion Rate, on the Conversion Date and (iii) on any Effective Date under Section 14.03(c), in each case, unless the adjustment has already been made. The provisions described above in this Section 14.06(j) are referred to as the “</w:t>
      </w:r>
      <w:r>
        <w:rPr>
          <w:rFonts w:ascii="Times New Roman" w:cs="Times New Roman" w:eastAsia="Times New Roman" w:hAnsi="Times New Roman"/>
          <w:sz w:val="18"/>
          <w:szCs w:val="18"/>
          <w:b w:val="1"/>
          <w:bCs w:val="1"/>
          <w:color w:val="auto"/>
        </w:rPr>
        <w:t>1% Exception</w:t>
      </w:r>
      <w:r>
        <w:rPr>
          <w:rFonts w:ascii="Times New Roman" w:cs="Times New Roman" w:eastAsia="Times New Roman" w:hAnsi="Times New Roman"/>
          <w:sz w:val="18"/>
          <w:szCs w:val="18"/>
          <w:color w:val="auto"/>
        </w:rPr>
        <w:t>”. All calculations and other determinations under this Article 14 shall be made by the Company and shall be made to the nearest one-ten thousandth (1/10,000th) of a share.</w:t>
      </w:r>
    </w:p>
    <w:p>
      <w:pPr>
        <w:spacing w:after="0" w:line="185" w:lineRule="exact"/>
        <w:rPr>
          <w:rFonts w:ascii="Times New Roman" w:cs="Times New Roman" w:eastAsia="Times New Roman" w:hAnsi="Times New Roman"/>
          <w:sz w:val="18"/>
          <w:szCs w:val="18"/>
          <w:color w:val="auto"/>
        </w:rPr>
      </w:pPr>
    </w:p>
    <w:p>
      <w:pPr>
        <w:jc w:val="both"/>
        <w:ind w:firstLine="656"/>
        <w:spacing w:after="0" w:line="255" w:lineRule="auto"/>
        <w:tabs>
          <w:tab w:leader="none" w:pos="16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158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76"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14.05.</w:t>
      </w:r>
      <w:r>
        <w:rPr>
          <w:sz w:val="20"/>
          <w:szCs w:val="20"/>
          <w:color w:val="auto"/>
        </w:rPr>
        <w:tab/>
      </w:r>
      <w:r>
        <w:rPr>
          <w:rFonts w:ascii="Times New Roman" w:cs="Times New Roman" w:eastAsia="Times New Roman" w:hAnsi="Times New Roman"/>
          <w:sz w:val="18"/>
          <w:szCs w:val="18"/>
          <w:b w:val="1"/>
          <w:bCs w:val="1"/>
          <w:color w:val="auto"/>
        </w:rPr>
        <w:t>Adjustments of Prices.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Whenever any provision of this Indenture requires the Company to calculate the Last Reported Sale Prices, the VWAP or the Stock Price for purposes of a Make-Whole Fundamental Change or Company Early Conversion), the Company shall, in good faith and in a commercially reasonable manner, make appropriate adjustments without duplication in respect of any adjustment made pursuant to clause (a), (b), (c), (d) or (e) of Section 14.04 to each to account for any adjustment to the Conversion Rate that becomes effective, or any event requiring an adjustment to the Conversion Rate where the Ex-Dividend Date, Effective Date or expiration date, as the case may be, of the event occurs, at any time during the period when such Last Reported Sale Prices, VWAPs or the Stock Prices are to be calculated.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14.06.</w:t>
      </w:r>
      <w:r>
        <w:rPr>
          <w:sz w:val="20"/>
          <w:szCs w:val="20"/>
          <w:color w:val="auto"/>
        </w:rPr>
        <w:tab/>
      </w:r>
      <w:r>
        <w:rPr>
          <w:rFonts w:ascii="Times New Roman" w:cs="Times New Roman" w:eastAsia="Times New Roman" w:hAnsi="Times New Roman"/>
          <w:sz w:val="17"/>
          <w:szCs w:val="17"/>
          <w:b w:val="1"/>
          <w:bCs w:val="1"/>
          <w:color w:val="auto"/>
        </w:rPr>
        <w:t>Shares to Be Fully Paid.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shall provide, free from preemptive rights, out of its authorized but unissued shares or shares held in treasury, sufficient shares of Common Stock to provide for conversion of the Notes from time to time as such Notes are presented for conversion (assuming delivery of the maximum number of Additional Shares pursuant to Section 14.03 and that at the time of computation of such number of shares, all such Notes would be converted by a single Holder).</w:t>
      </w:r>
    </w:p>
    <w:p>
      <w:pPr>
        <w:spacing w:after="0" w:line="176"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14.07.</w:t>
      </w:r>
      <w:r>
        <w:rPr>
          <w:sz w:val="20"/>
          <w:szCs w:val="20"/>
          <w:color w:val="auto"/>
        </w:rPr>
        <w:tab/>
      </w:r>
      <w:r>
        <w:rPr>
          <w:rFonts w:ascii="Times New Roman" w:cs="Times New Roman" w:eastAsia="Times New Roman" w:hAnsi="Times New Roman"/>
          <w:sz w:val="18"/>
          <w:szCs w:val="18"/>
          <w:b w:val="1"/>
          <w:bCs w:val="1"/>
          <w:color w:val="auto"/>
        </w:rPr>
        <w:t>Effect of Recapitalizations, Reclassifications and Changes of the Common Stock.</w:t>
      </w:r>
    </w:p>
    <w:p>
      <w:pPr>
        <w:spacing w:after="0" w:line="229" w:lineRule="exact"/>
        <w:rPr>
          <w:sz w:val="20"/>
          <w:szCs w:val="20"/>
          <w:color w:val="auto"/>
        </w:rPr>
      </w:pPr>
    </w:p>
    <w:p>
      <w:pPr>
        <w:ind w:left="1540" w:hanging="884"/>
        <w:spacing w:after="0"/>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225" w:lineRule="exact"/>
        <w:rPr>
          <w:rFonts w:ascii="Times New Roman" w:cs="Times New Roman" w:eastAsia="Times New Roman" w:hAnsi="Times New Roman"/>
          <w:sz w:val="18"/>
          <w:szCs w:val="18"/>
          <w:color w:val="auto"/>
        </w:rPr>
      </w:pPr>
    </w:p>
    <w:p>
      <w:pPr>
        <w:ind w:left="2540" w:hanging="1106"/>
        <w:spacing w:after="0"/>
        <w:tabs>
          <w:tab w:leader="none" w:pos="2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Common Stock (other than changes resulting from a subdivision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w:t>
      </w:r>
    </w:p>
    <w:p>
      <w:pPr>
        <w:spacing w:after="0" w:line="206" w:lineRule="exact"/>
        <w:rPr>
          <w:rFonts w:ascii="Times New Roman" w:cs="Times New Roman" w:eastAsia="Times New Roman" w:hAnsi="Times New Roman"/>
          <w:sz w:val="18"/>
          <w:szCs w:val="18"/>
          <w:color w:val="auto"/>
        </w:rPr>
      </w:pPr>
    </w:p>
    <w:p>
      <w:pPr>
        <w:ind w:left="2280" w:hanging="846"/>
        <w:spacing w:after="0"/>
        <w:tabs>
          <w:tab w:leader="none" w:pos="22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combination or similar transaction involving the Company,</w:t>
      </w:r>
    </w:p>
    <w:p>
      <w:pPr>
        <w:spacing w:after="0" w:line="225" w:lineRule="exact"/>
        <w:rPr>
          <w:rFonts w:ascii="Times New Roman" w:cs="Times New Roman" w:eastAsia="Times New Roman" w:hAnsi="Times New Roman"/>
          <w:sz w:val="18"/>
          <w:szCs w:val="18"/>
          <w:color w:val="auto"/>
        </w:rPr>
      </w:pPr>
    </w:p>
    <w:p>
      <w:pPr>
        <w:ind w:left="660" w:firstLine="774"/>
        <w:spacing w:after="0" w:line="282" w:lineRule="auto"/>
        <w:tabs>
          <w:tab w:leader="none" w:pos="238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to a third party of the consolidated assets of the Company and the Company’s Subsidiaries substantially as an entirety or</w:t>
      </w:r>
    </w:p>
    <w:p>
      <w:pPr>
        <w:spacing w:after="0" w:line="161" w:lineRule="exact"/>
        <w:rPr>
          <w:rFonts w:ascii="Times New Roman" w:cs="Times New Roman" w:eastAsia="Times New Roman" w:hAnsi="Times New Roman"/>
          <w:sz w:val="18"/>
          <w:szCs w:val="18"/>
          <w:color w:val="auto"/>
        </w:rPr>
      </w:pPr>
    </w:p>
    <w:p>
      <w:pPr>
        <w:ind w:left="2280" w:hanging="846"/>
        <w:spacing w:after="0"/>
        <w:tabs>
          <w:tab w:leader="none" w:pos="22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each case, as a result of which the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then the Company or the successor or purchasing Person, as the case may be, shall execute with the Trustee and without the consent of the Holders a supplemental indenture providing that,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Share Exchange Event would have owned or been entitled to receive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xml:space="preserve">” meaning the kind and amount of Reference Property that a holder of one share of Common Stock is entitled to receive) upon such Share Exchange Event, and, prior to or at the effective time of such Share Exchange Event, the Company or the successor or purchasing Person, as the case may be, shall execute with the Trustee a supplemental indenture permitted under Section 10.01(i) providing for such change in the right to convert each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and after the effective time of the Share Exchange Event (A) any shares of Common Stock that the Company would have been required to deliver upon conversion of the Notes in accordance with Section 14.02 shall instead be deliverable in the amount and type of Reference Property that a holder of that number of shares of Common Stock would have been entitled to receive in such Share Exchange Event and (B) the VWAP or Last Reported Sale Price of any unit of Reference Property or portion thereof that does not consist of a class of securities shall be the fair value of such unit of Reference Property or portion thereof, as applicable, determined in good faith and in a commercially reasonable manner by the Company (or, in the case of cash denominated in U.S. dollars, the face amount thereof).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1" w:name="page82"/>
    <w:bookmarkEnd w:id="8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If the Share Exchange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holders of the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the price paid per share of Common Stock in such Share Exchange Event and (B) the Company shall satisfy the Conversion Obligation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paying cash to converting Holders on the second Business Day immediately following the relevant Conversion Date. The Company shall notify Holders, the Trustee and the Conversion Agent (if other than the Trustee) in writing of such weighted average as soon as practicable after such determination is made.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Reference Property in respect of any such transaction includes, in whole or in part, shares of common equity or American depositary receipts (or other interests) in respect thereof, such supplemental indenture described in the second immediately preceding paragraph shall provide for anti-dilution and other adjustments that shall be as nearly equivalent as is possible to the adjustments provided for in this Article 14 with respect to the portion of the Reference Property consisting such common equity or American depositary receipts (or other interests) in respect thereof. If, in the case of any Share Exchange Event, the Reference Property includes shares of stock, securities or other property or assets (including cash or any combination thereof) of a Person other than the Company or the successor or purchasing corporation, as the case may be, in such Share Exchange Event, then such Person shall also execute such supplemental indenture and such supplemental indenture shall contain such additional provisions to protect the interests of the Holders of the Notes as the Board of Directors shall reasonably consider necessary by reason of the foregoing, including the provisions providing for the purchase rights set forth in Article 15.</w:t>
      </w:r>
    </w:p>
    <w:p>
      <w:pPr>
        <w:spacing w:after="0" w:line="189" w:lineRule="exact"/>
        <w:rPr>
          <w:sz w:val="20"/>
          <w:szCs w:val="20"/>
          <w:color w:val="auto"/>
        </w:rPr>
      </w:pPr>
    </w:p>
    <w:p>
      <w:pPr>
        <w:jc w:val="both"/>
        <w:ind w:firstLine="656"/>
        <w:spacing w:after="0" w:line="256" w:lineRule="auto"/>
        <w:tabs>
          <w:tab w:leader="none" w:pos="15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jc w:val="both"/>
        <w:ind w:firstLine="656"/>
        <w:spacing w:after="0" w:line="266" w:lineRule="auto"/>
        <w:tabs>
          <w:tab w:leader="none" w:pos="15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foregoing provisions shall affect the right of a holder of Notes to convert its Notes into cash, shares of Common Stock or a combination of cash and shares of Common Stock, as applicable, as set forth in Section 14.01 and Section 14.02 prior to the effective date of such Share Exchange Event.</w:t>
      </w:r>
    </w:p>
    <w:p>
      <w:pPr>
        <w:spacing w:after="0" w:line="176"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shall similarly apply to successive Share Exchange Events.</w:t>
      </w:r>
    </w:p>
    <w:p>
      <w:pPr>
        <w:spacing w:after="0" w:line="221"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14.08.</w:t>
      </w:r>
      <w:r>
        <w:rPr>
          <w:sz w:val="20"/>
          <w:szCs w:val="20"/>
          <w:color w:val="auto"/>
        </w:rPr>
        <w:tab/>
      </w:r>
      <w:r>
        <w:rPr>
          <w:rFonts w:ascii="Times New Roman" w:cs="Times New Roman" w:eastAsia="Times New Roman" w:hAnsi="Times New Roman"/>
          <w:sz w:val="18"/>
          <w:szCs w:val="18"/>
          <w:b w:val="1"/>
          <w:bCs w:val="1"/>
          <w:color w:val="auto"/>
        </w:rPr>
        <w:t>Certain Covenants.</w:t>
      </w:r>
    </w:p>
    <w:p>
      <w:pPr>
        <w:spacing w:after="0" w:line="229" w:lineRule="exact"/>
        <w:rPr>
          <w:sz w:val="20"/>
          <w:szCs w:val="20"/>
          <w:color w:val="auto"/>
        </w:rPr>
      </w:pPr>
    </w:p>
    <w:p>
      <w:pPr>
        <w:ind w:right="20" w:firstLine="656"/>
        <w:spacing w:after="0" w:line="282" w:lineRule="auto"/>
        <w:tabs>
          <w:tab w:leader="none" w:pos="15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all shares of Common Stock issued upon conversion of Notes will be fully paid and non-assessable by the Company and free from all taxes, liens and charges with respect to the issue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15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172"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14.09.</w:t>
      </w:r>
      <w:r>
        <w:rPr>
          <w:sz w:val="20"/>
          <w:szCs w:val="20"/>
          <w:color w:val="auto"/>
        </w:rPr>
        <w:tab/>
      </w:r>
      <w:r>
        <w:rPr>
          <w:rFonts w:ascii="Times New Roman" w:cs="Times New Roman" w:eastAsia="Times New Roman" w:hAnsi="Times New Roman"/>
          <w:sz w:val="17"/>
          <w:szCs w:val="17"/>
          <w:b w:val="1"/>
          <w:bCs w:val="1"/>
          <w:color w:val="auto"/>
        </w:rPr>
        <w:t>Responsibility of Trustee.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Trustee and any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Conversion Agent shall not be accountable with respect to the validity or value (or the kind or amount) of any shares of Common Stock, or of any securities, property or cash that may at any time be issued or delivered upon the conversion of any Note; and the Trustee and any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14.13 has occurred that makes the Notes eligible for conversion or no longer eligible therefor until the Company has delivered to the Trustee and the Conversion Agent the notices referred to in Section 14.13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14.13. Except as otherwise expressly provided herein, neither the Trustee nor any other agent acting under this Indenture (other than the Company, if acting in such capacity) shall have any obligation to make any calculation or to determine whether the Notes may be surrendered for conversion pursuant to this Indenture, or to notify the Company or the Depositary or any of the Holders if the Notes have become convertible pursuant to the terms of this Indenture.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14.10.</w:t>
      </w:r>
      <w:r>
        <w:rPr>
          <w:sz w:val="20"/>
          <w:szCs w:val="20"/>
          <w:color w:val="auto"/>
        </w:rPr>
        <w:tab/>
      </w:r>
      <w:r>
        <w:rPr>
          <w:rFonts w:ascii="Times New Roman" w:cs="Times New Roman" w:eastAsia="Times New Roman" w:hAnsi="Times New Roman"/>
          <w:sz w:val="18"/>
          <w:szCs w:val="18"/>
          <w:b w:val="1"/>
          <w:bCs w:val="1"/>
          <w:color w:val="auto"/>
        </w:rPr>
        <w:t>Notice to Holders Prior to Certain 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case of any:</w:t>
      </w:r>
    </w:p>
    <w:p>
      <w:pPr>
        <w:spacing w:after="0" w:line="225" w:lineRule="exact"/>
        <w:rPr>
          <w:sz w:val="20"/>
          <w:szCs w:val="20"/>
          <w:color w:val="auto"/>
        </w:rPr>
      </w:pPr>
    </w:p>
    <w:p>
      <w:pPr>
        <w:ind w:left="1600" w:hanging="944"/>
        <w:spacing w:after="0"/>
        <w:tabs>
          <w:tab w:leader="none" w:pos="1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by the Company or one of its Subsidiaries that would require an adjustment in the Conversion Rate pursuant to Section 14.04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14.11;</w:t>
      </w:r>
    </w:p>
    <w:p>
      <w:pPr>
        <w:spacing w:after="0" w:line="206"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Exchange Event; or</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involuntary dissolution, liquidation or winding-up of the Company or any of its Subsidiaries;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in each case (unless notice of such event is otherwise required pursuant to another provision of this Indenture), the Company shall cause to be filed with the Trustee and the Conversion Agent (if other than the Trustee) and to be delivered to each Holder, as promptly as possible but in any event at least 20 days prior to the applicable date hereinafter specified,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Share Exchange Event, dissolution, liquidation or winding-up is expected to become effective or occur, and the date as of which it is expected that holders of Common Stock of record shall be entitled to exchange their Common Stock for securities or other property deliverable upon such Share Exchange Event, dissolution, liquidation or winding-up. Failure to give such notice, or any defect therein, shall not affect the legality or validity of such action by the Company or one of its Subsidiaries, Share Exchange Event, dissolution, liquidation or winding-up.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4" w:name="page85"/>
    <w:bookmarkEnd w:id="84"/>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14.11.</w:t>
      </w:r>
      <w:r>
        <w:rPr>
          <w:sz w:val="20"/>
          <w:szCs w:val="20"/>
          <w:color w:val="auto"/>
        </w:rPr>
        <w:tab/>
      </w:r>
      <w:r>
        <w:rPr>
          <w:rFonts w:ascii="Times New Roman" w:cs="Times New Roman" w:eastAsia="Times New Roman" w:hAnsi="Times New Roman"/>
          <w:sz w:val="17"/>
          <w:szCs w:val="17"/>
          <w:b w:val="1"/>
          <w:bCs w:val="1"/>
          <w:color w:val="auto"/>
        </w:rPr>
        <w:t>Stockholder Rights Plans.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spacing w:after="0" w:line="185"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14.12.</w:t>
      </w:r>
      <w:r>
        <w:rPr>
          <w:sz w:val="20"/>
          <w:szCs w:val="20"/>
          <w:color w:val="auto"/>
        </w:rPr>
        <w:tab/>
      </w:r>
      <w:r>
        <w:rPr>
          <w:rFonts w:ascii="Times New Roman" w:cs="Times New Roman" w:eastAsia="Times New Roman" w:hAnsi="Times New Roman"/>
          <w:sz w:val="18"/>
          <w:szCs w:val="18"/>
          <w:b w:val="1"/>
          <w:bCs w:val="1"/>
          <w:color w:val="auto"/>
        </w:rPr>
        <w:t>Exchange in Lieu of Conversion.</w:t>
      </w:r>
    </w:p>
    <w:p>
      <w:pPr>
        <w:spacing w:after="0" w:line="225" w:lineRule="exact"/>
        <w:rPr>
          <w:sz w:val="20"/>
          <w:szCs w:val="20"/>
          <w:color w:val="auto"/>
        </w:rPr>
      </w:pPr>
    </w:p>
    <w:p>
      <w:pPr>
        <w:jc w:val="both"/>
        <w:ind w:firstLine="656"/>
        <w:spacing w:after="0" w:line="255" w:lineRule="auto"/>
        <w:tabs>
          <w:tab w:leader="none" w:pos="159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Holder surrenders its Notes for conversion, the Company may, at its election (an “</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direct the Conversion Agent in writing to deliver, on or prior to the Trading Day immediately following the relevant Conversion Date, such Notes to one or more financial institutions designated by the Company for exchange in lieu of conversion. In order to accept any Notes surrendered for conversion, the designated institution(s) must agree to timely pay and/or deliver, as the case may be, in exchange for such Notes, the shares of the Common Stock that would otherwise be due upon conversion pursuant to Section 14.02 (the “</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or such other amount agreed to by the Holder and the designated financial institution(s). If the Company makes an Exchange Election, the Company shall, by the close of business on the Trading Day following the relevant Conversion Date, notify the Holder surrendering its Notes for conversion, the Trustee and the Conversion Agent (if other than the Trustee) in writing that it has made the Exchange Election and it will notify the designated financial institution(s) of the relevant deadline for delivery of the Conversion Consideration and the type of Conversion Consideration to be paid and/or delivered, as the case may be.</w:t>
      </w:r>
    </w:p>
    <w:p>
      <w:pPr>
        <w:spacing w:after="0" w:line="185" w:lineRule="exact"/>
        <w:rPr>
          <w:rFonts w:ascii="Times New Roman" w:cs="Times New Roman" w:eastAsia="Times New Roman" w:hAnsi="Times New Roman"/>
          <w:sz w:val="18"/>
          <w:szCs w:val="18"/>
          <w:color w:val="auto"/>
        </w:rPr>
      </w:pPr>
    </w:p>
    <w:p>
      <w:pPr>
        <w:jc w:val="both"/>
        <w:ind w:firstLine="656"/>
        <w:spacing w:after="0" w:line="261" w:lineRule="auto"/>
        <w:tabs>
          <w:tab w:leader="none" w:pos="183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delivered to the designated institution(s) shall remain outstanding, subject to applicable Depositary procedures. If the designated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if it had not made an Exchange Election.</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171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designation of any financial institution(s) to which the Notes may be submitted for exchange does not require such financial institution(s) to accept any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5" w:name="page86"/>
    <w:bookmarkEnd w:id="85"/>
    <w:p>
      <w:pPr>
        <w:ind w:left="960"/>
        <w:spacing w:after="0"/>
        <w:tabs>
          <w:tab w:leader="none" w:pos="2780" w:val="left"/>
        </w:tabs>
        <w:rPr>
          <w:sz w:val="20"/>
          <w:szCs w:val="20"/>
          <w:color w:val="auto"/>
        </w:rPr>
      </w:pPr>
      <w:r>
        <w:rPr>
          <w:rFonts w:ascii="Times New Roman" w:cs="Times New Roman" w:eastAsia="Times New Roman" w:hAnsi="Times New Roman"/>
          <w:sz w:val="18"/>
          <w:szCs w:val="18"/>
          <w:color w:val="auto"/>
        </w:rPr>
        <w:t>Section 14.13.</w:t>
      </w:r>
      <w:r>
        <w:rPr>
          <w:sz w:val="20"/>
          <w:szCs w:val="20"/>
          <w:color w:val="auto"/>
        </w:rPr>
        <w:tab/>
      </w:r>
      <w:r>
        <w:rPr>
          <w:rFonts w:ascii="Times New Roman" w:cs="Times New Roman" w:eastAsia="Times New Roman" w:hAnsi="Times New Roman"/>
          <w:sz w:val="18"/>
          <w:szCs w:val="18"/>
          <w:b w:val="1"/>
          <w:bCs w:val="1"/>
          <w:color w:val="auto"/>
        </w:rPr>
        <w:t>Company Conversion Option.</w:t>
      </w:r>
    </w:p>
    <w:p>
      <w:pPr>
        <w:spacing w:after="0" w:line="229" w:lineRule="exact"/>
        <w:rPr>
          <w:sz w:val="20"/>
          <w:szCs w:val="20"/>
          <w:color w:val="auto"/>
        </w:rPr>
      </w:pPr>
    </w:p>
    <w:p>
      <w:pPr>
        <w:jc w:val="both"/>
        <w:ind w:left="-20" w:firstLine="656"/>
        <w:spacing w:after="0" w:line="255" w:lineRule="auto"/>
        <w:tabs>
          <w:tab w:leader="none" w:pos="181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December 1, 2021 to December 1, 2022, if the VWAP of the Common Stock has equaled or exceeded 150% of the Conversion Price then in effect for at least 20 Trading Days (whether or not consecutive) in any 30 Trading Day period (including the last Trading Day of such period) ending on and including the Trading Day immediately preceding the date on which the Company delivers a Company Conversion Notice (a “</w:t>
      </w:r>
      <w:r>
        <w:rPr>
          <w:rFonts w:ascii="Times New Roman" w:cs="Times New Roman" w:eastAsia="Times New Roman" w:hAnsi="Times New Roman"/>
          <w:sz w:val="18"/>
          <w:szCs w:val="18"/>
          <w:b w:val="1"/>
          <w:bCs w:val="1"/>
          <w:color w:val="auto"/>
        </w:rPr>
        <w:t>Company Early Conversion Trigger Event</w:t>
      </w:r>
      <w:r>
        <w:rPr>
          <w:rFonts w:ascii="Times New Roman" w:cs="Times New Roman" w:eastAsia="Times New Roman" w:hAnsi="Times New Roman"/>
          <w:sz w:val="18"/>
          <w:szCs w:val="18"/>
          <w:color w:val="auto"/>
        </w:rPr>
        <w:t>”), the Company may, at its option, elect to convert the Original Principal Amount of the Notes in whole but not in part (the “</w:t>
      </w:r>
      <w:r>
        <w:rPr>
          <w:rFonts w:ascii="Times New Roman" w:cs="Times New Roman" w:eastAsia="Times New Roman" w:hAnsi="Times New Roman"/>
          <w:sz w:val="18"/>
          <w:szCs w:val="18"/>
          <w:b w:val="1"/>
          <w:bCs w:val="1"/>
          <w:color w:val="auto"/>
        </w:rPr>
        <w:t>Early Company Conversion</w:t>
      </w:r>
      <w:r>
        <w:rPr>
          <w:rFonts w:ascii="Times New Roman" w:cs="Times New Roman" w:eastAsia="Times New Roman" w:hAnsi="Times New Roman"/>
          <w:sz w:val="18"/>
          <w:szCs w:val="18"/>
          <w:color w:val="auto"/>
        </w:rPr>
        <w:t>”) into shares of Common Stock determined in accordance with Section 14.02(a) hereof by sending (or instructing the Trustee to send) a Company Conversion Notice (such notice, a “</w:t>
      </w:r>
      <w:r>
        <w:rPr>
          <w:rFonts w:ascii="Times New Roman" w:cs="Times New Roman" w:eastAsia="Times New Roman" w:hAnsi="Times New Roman"/>
          <w:sz w:val="18"/>
          <w:szCs w:val="18"/>
          <w:b w:val="1"/>
          <w:bCs w:val="1"/>
          <w:color w:val="auto"/>
        </w:rPr>
        <w:t>Notice of Early Company Conversion</w:t>
      </w:r>
      <w:r>
        <w:rPr>
          <w:rFonts w:ascii="Times New Roman" w:cs="Times New Roman" w:eastAsia="Times New Roman" w:hAnsi="Times New Roman"/>
          <w:sz w:val="18"/>
          <w:szCs w:val="18"/>
          <w:color w:val="auto"/>
        </w:rPr>
        <w:t>”) to each Holder in accordance with Section 14.13(c).</w:t>
      </w:r>
    </w:p>
    <w:p>
      <w:pPr>
        <w:spacing w:after="0" w:line="189" w:lineRule="exact"/>
        <w:rPr>
          <w:rFonts w:ascii="Times New Roman" w:cs="Times New Roman" w:eastAsia="Times New Roman" w:hAnsi="Times New Roman"/>
          <w:sz w:val="18"/>
          <w:szCs w:val="18"/>
          <w:color w:val="auto"/>
        </w:rPr>
      </w:pPr>
    </w:p>
    <w:p>
      <w:pPr>
        <w:jc w:val="both"/>
        <w:ind w:left="-20" w:firstLine="656"/>
        <w:spacing w:after="0" w:line="255" w:lineRule="auto"/>
        <w:tabs>
          <w:tab w:leader="none" w:pos="15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December 1, 2022, if the VWAP of the Common Stock has equaled or exceeded 130% of the Conversion Price then in effect for at least 20 Trading Days (whether or not consecutive) in any 30 Trading Day period (including the last Trading Day of such period) ending on and including the Trading Day immediately preceding the date on which the Company delivers a Company Conversion Notice (a “</w:t>
      </w:r>
      <w:r>
        <w:rPr>
          <w:rFonts w:ascii="Times New Roman" w:cs="Times New Roman" w:eastAsia="Times New Roman" w:hAnsi="Times New Roman"/>
          <w:sz w:val="18"/>
          <w:szCs w:val="18"/>
          <w:b w:val="1"/>
          <w:bCs w:val="1"/>
          <w:color w:val="auto"/>
        </w:rPr>
        <w:t>Company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the Company may, at its option, elect to convert the Original Principal Amount of the Notes in whole but not in part (the “</w:t>
      </w:r>
      <w:r>
        <w:rPr>
          <w:rFonts w:ascii="Times New Roman" w:cs="Times New Roman" w:eastAsia="Times New Roman" w:hAnsi="Times New Roman"/>
          <w:sz w:val="18"/>
          <w:szCs w:val="18"/>
          <w:b w:val="1"/>
          <w:bCs w:val="1"/>
          <w:color w:val="auto"/>
        </w:rPr>
        <w:t>Company Conversion</w:t>
      </w:r>
      <w:r>
        <w:rPr>
          <w:rFonts w:ascii="Times New Roman" w:cs="Times New Roman" w:eastAsia="Times New Roman" w:hAnsi="Times New Roman"/>
          <w:sz w:val="18"/>
          <w:szCs w:val="18"/>
          <w:color w:val="auto"/>
        </w:rPr>
        <w:t>” and, together with the “</w:t>
      </w:r>
      <w:r>
        <w:rPr>
          <w:rFonts w:ascii="Times New Roman" w:cs="Times New Roman" w:eastAsia="Times New Roman" w:hAnsi="Times New Roman"/>
          <w:sz w:val="18"/>
          <w:szCs w:val="18"/>
          <w:b w:val="1"/>
          <w:bCs w:val="1"/>
          <w:color w:val="auto"/>
        </w:rPr>
        <w:t>Company Early Conversion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 Conversion Option</w:t>
      </w:r>
      <w:r>
        <w:rPr>
          <w:rFonts w:ascii="Times New Roman" w:cs="Times New Roman" w:eastAsia="Times New Roman" w:hAnsi="Times New Roman"/>
          <w:sz w:val="18"/>
          <w:szCs w:val="18"/>
          <w:color w:val="auto"/>
        </w:rPr>
        <w:t>”) into shares of Common Stock determined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14.02(a) hereof by sending (or instructing the Trustee to send) a Company Conversion Notice (such notice, a “</w:t>
      </w:r>
      <w:r>
        <w:rPr>
          <w:rFonts w:ascii="Times New Roman" w:cs="Times New Roman" w:eastAsia="Times New Roman" w:hAnsi="Times New Roman"/>
          <w:sz w:val="18"/>
          <w:szCs w:val="18"/>
          <w:b w:val="1"/>
          <w:bCs w:val="1"/>
          <w:color w:val="auto"/>
        </w:rPr>
        <w:t>Notice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to each Holder in accordance with Section 14.13(c).</w:t>
      </w:r>
    </w:p>
    <w:p>
      <w:pPr>
        <w:spacing w:after="0" w:line="189"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155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exercise a Company Conversion Option pursuant to Section 5.10(a) or (b), the Company or, at the Company’s written request and expense given to the Trustee at least three days before such notice is to be sent (or such shorter period acceptable to the Trustee), the Trustee on behalf of the Company, shall deliver to each Holder (with a copy to the Trustee and the Conversion Agent) a notice (a “</w:t>
      </w:r>
      <w:r>
        <w:rPr>
          <w:rFonts w:ascii="Times New Roman" w:cs="Times New Roman" w:eastAsia="Times New Roman" w:hAnsi="Times New Roman"/>
          <w:sz w:val="18"/>
          <w:szCs w:val="18"/>
          <w:b w:val="1"/>
          <w:bCs w:val="1"/>
          <w:color w:val="auto"/>
        </w:rPr>
        <w:t>Company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of the Company Conversion Option. The Company will select the date on which the Notes will be converted pursuant to the Company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(the “</w:t>
      </w:r>
      <w:r>
        <w:rPr>
          <w:rFonts w:ascii="Times New Roman" w:cs="Times New Roman" w:eastAsia="Times New Roman" w:hAnsi="Times New Roman"/>
          <w:sz w:val="18"/>
          <w:szCs w:val="18"/>
          <w:b w:val="1"/>
          <w:bCs w:val="1"/>
          <w:color w:val="auto"/>
        </w:rPr>
        <w:t>Company Conversion Date</w:t>
      </w:r>
      <w:r>
        <w:rPr>
          <w:rFonts w:ascii="Times New Roman" w:cs="Times New Roman" w:eastAsia="Times New Roman" w:hAnsi="Times New Roman"/>
          <w:sz w:val="18"/>
          <w:szCs w:val="18"/>
          <w:color w:val="auto"/>
        </w:rPr>
        <w:t>”), which will be no more than five Trading Days nor less than two Trading Days after the date of the Company Conversion Notice (the “</w:t>
      </w:r>
      <w:r>
        <w:rPr>
          <w:rFonts w:ascii="Times New Roman" w:cs="Times New Roman" w:eastAsia="Times New Roman" w:hAnsi="Times New Roman"/>
          <w:sz w:val="18"/>
          <w:szCs w:val="18"/>
          <w:b w:val="1"/>
          <w:bCs w:val="1"/>
          <w:color w:val="auto"/>
        </w:rPr>
        <w:t>Company Conversion Notice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Company’s right to exercise the Company Conversion Option shall be suspended during the period beginning on the date of the Fundamental Change Repurchase Notice and continuing to, and including, the applicable Fundamental Change Repurchase Date. The Company shall take any action that may be necessary so that shares of Common Stock issued pursuant to a Company Conversion Option shall be freely tradeable under any applicable federal and state securities laws (other than with respect to any shares of Common Stock held by the Company’s affiliates).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Company Conversion Notice shall state:</w:t>
      </w:r>
    </w:p>
    <w:p>
      <w:pPr>
        <w:spacing w:after="0" w:line="225" w:lineRule="exact"/>
        <w:rPr>
          <w:sz w:val="20"/>
          <w:szCs w:val="20"/>
          <w:color w:val="auto"/>
        </w:rPr>
      </w:pPr>
    </w:p>
    <w:p>
      <w:pPr>
        <w:ind w:left="1920" w:hanging="311"/>
        <w:spacing w:after="0"/>
        <w:tabs>
          <w:tab w:leader="none" w:pos="19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Conversion Date;</w:t>
      </w:r>
    </w:p>
    <w:p>
      <w:pPr>
        <w:spacing w:after="0" w:line="225" w:lineRule="exact"/>
        <w:rPr>
          <w:rFonts w:ascii="Times New Roman" w:cs="Times New Roman" w:eastAsia="Times New Roman" w:hAnsi="Times New Roman"/>
          <w:sz w:val="18"/>
          <w:szCs w:val="18"/>
          <w:color w:val="auto"/>
        </w:rPr>
      </w:pPr>
    </w:p>
    <w:p>
      <w:pPr>
        <w:ind w:left="-20" w:firstLine="1629"/>
        <w:spacing w:after="0" w:line="282" w:lineRule="auto"/>
        <w:tabs>
          <w:tab w:leader="none" w:pos="19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or similar number or numbers of the Notes being converted, and that no representation is made as to the correctness or accuracy of the CUSIP number, if any, listed in such notice or printed on the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1117" w:right="239" w:bottom="1440" w:gutter="0" w:footer="0" w:header="0"/>
        </w:sectPr>
      </w:pPr>
    </w:p>
    <w:bookmarkStart w:id="86" w:name="page87"/>
    <w:bookmarkEnd w:id="86"/>
    <w:p>
      <w:pPr>
        <w:ind w:left="1620"/>
        <w:spacing w:after="0"/>
        <w:rPr>
          <w:sz w:val="20"/>
          <w:szCs w:val="20"/>
          <w:color w:val="auto"/>
        </w:rPr>
      </w:pPr>
      <w:r>
        <w:rPr>
          <w:rFonts w:ascii="Times New Roman" w:cs="Times New Roman" w:eastAsia="Times New Roman" w:hAnsi="Times New Roman"/>
          <w:sz w:val="18"/>
          <w:szCs w:val="18"/>
          <w:color w:val="auto"/>
        </w:rPr>
        <w:t>(iii) that on and after the Company Conversion Date, interest on the Notes to be converted will cease to accrue and the Notes will cease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outstanding;</w:t>
      </w:r>
    </w:p>
    <w:p>
      <w:pPr>
        <w:spacing w:after="0" w:line="207" w:lineRule="exact"/>
        <w:rPr>
          <w:sz w:val="20"/>
          <w:szCs w:val="20"/>
          <w:color w:val="auto"/>
        </w:rPr>
      </w:pPr>
    </w:p>
    <w:p>
      <w:pPr>
        <w:ind w:left="1940" w:hanging="311"/>
        <w:spacing w:after="0"/>
        <w:tabs>
          <w:tab w:leader="none" w:pos="19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each Paying Agent and Conversion Agent and the place or places where such Notes are to be surrendered;</w:t>
      </w:r>
    </w:p>
    <w:p>
      <w:pPr>
        <w:spacing w:after="0" w:line="225" w:lineRule="exact"/>
        <w:rPr>
          <w:rFonts w:ascii="Times New Roman" w:cs="Times New Roman" w:eastAsia="Times New Roman" w:hAnsi="Times New Roman"/>
          <w:sz w:val="18"/>
          <w:szCs w:val="18"/>
          <w:color w:val="auto"/>
        </w:rPr>
      </w:pPr>
    </w:p>
    <w:p>
      <w:pPr>
        <w:ind w:right="20" w:firstLine="1629"/>
        <w:spacing w:after="0" w:line="282" w:lineRule="auto"/>
        <w:tabs>
          <w:tab w:leader="none" w:pos="19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subject to the Company Conversion Option may still be voluntarily converted pursuant to Section 14.01 on or prior to the close of Business on the Business Day immediately preceding the Company Conversion Date; and</w:t>
      </w:r>
    </w:p>
    <w:p>
      <w:pPr>
        <w:spacing w:after="0" w:line="161" w:lineRule="exact"/>
        <w:rPr>
          <w:rFonts w:ascii="Times New Roman" w:cs="Times New Roman" w:eastAsia="Times New Roman" w:hAnsi="Times New Roman"/>
          <w:sz w:val="18"/>
          <w:szCs w:val="18"/>
          <w:color w:val="auto"/>
        </w:rPr>
      </w:pPr>
    </w:p>
    <w:p>
      <w:pPr>
        <w:ind w:left="1940" w:hanging="311"/>
        <w:spacing w:after="0"/>
        <w:tabs>
          <w:tab w:leader="none" w:pos="19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then in effect.</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153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Note, by the Holder’s acceptance thereof, agrees to take the following actions prior to the Company Conversion Date if deemed necessary by the Company or, in the case of Notes represented by global notes, if required by DTC or any successor Depositary: (i) surrendering the converted Note to the Conversion Agent, (ii) if the Holder requests any such shares of Common Stock to be issued in a name other than the Holder’s name, furnishing appropriate endorsements and transfer documents if required by the Registrar or the Conversion Agent, (iii) if the Note is held in book-entry form, completing and delivering to the Depositary appropriate instructions pursuant to the Depositary’s book-entry conversion programs, (iv) if the Holder requests any such shares of Common Stock to be issued in a name other than the Holder’s paying the funds, if any, required by Section 2.04 and, if required, all taxes or duties, if any, and (v) any other action necessary to effectuate the Company Conversion Option as may be required by DTC or any successor Depositary. In the event that a Holder does not take any of the actions set forth in the immediately preceding sentence prior to the Company Conversion Date, each Holder of a Note, by the Holder’s acceptance thereof, authorizes and directs the Company to take any action on the Holder’s behalf to effect the Company Conversion Option, including, if applicable, by initiating any process authorized by the Depositary or otherwise in accordance with the applicable procedures of the Depositary, and appoints the Company such Holder’s attorney-in-fact for any and all such purposes. Such appointment as attorney-in-fact is coupled with an interest and is irrevocable so long as any Note is Outstanding.</w:t>
      </w:r>
    </w:p>
    <w:p>
      <w:pPr>
        <w:spacing w:after="0" w:line="190" w:lineRule="exact"/>
        <w:rPr>
          <w:rFonts w:ascii="Times New Roman" w:cs="Times New Roman" w:eastAsia="Times New Roman" w:hAnsi="Times New Roman"/>
          <w:sz w:val="18"/>
          <w:szCs w:val="18"/>
          <w:color w:val="auto"/>
        </w:rPr>
      </w:pPr>
    </w:p>
    <w:p>
      <w:pPr>
        <w:jc w:val="both"/>
        <w:ind w:firstLine="656"/>
        <w:spacing w:after="0" w:line="261" w:lineRule="auto"/>
        <w:tabs>
          <w:tab w:leader="none" w:pos="1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13.01(b), upon conversion pursuant to a Company Conversion Option, interest on the Notes or portion of Notes so converted shall cease to accrue and such Notes shall cease to be outstanding and cease to be entitled to any benefit under the Indenture, and the Holders thereof shall have no right in respect of such Notes except the shares of Common Stock to which they are entitled pursuant to Section 14.02(a) and this Section 14.13, with a copy to the Trustee and the Conversion Agent (if other than the Trustee).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REPURCHASE OF NOTES AT OPTION OF HOLDERS</w:t>
      </w:r>
    </w:p>
    <w:p>
      <w:pPr>
        <w:spacing w:after="0" w:line="203"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15.01.</w:t>
      </w:r>
      <w:r>
        <w:rPr>
          <w:sz w:val="20"/>
          <w:szCs w:val="20"/>
          <w:color w:val="auto"/>
        </w:rPr>
        <w:tab/>
      </w:r>
      <w:r>
        <w:rPr>
          <w:rFonts w:ascii="Times New Roman" w:cs="Times New Roman" w:eastAsia="Times New Roman" w:hAnsi="Times New Roman"/>
          <w:sz w:val="17"/>
          <w:szCs w:val="17"/>
          <w:b w:val="1"/>
          <w:bCs w:val="1"/>
          <w:color w:val="auto"/>
        </w:rPr>
        <w:t>Intentionally Omitted.</w:t>
      </w:r>
    </w:p>
    <w:p>
      <w:pPr>
        <w:spacing w:after="0" w:line="225"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15.02.</w:t>
      </w:r>
      <w:r>
        <w:rPr>
          <w:sz w:val="20"/>
          <w:szCs w:val="20"/>
          <w:color w:val="auto"/>
        </w:rPr>
        <w:tab/>
      </w:r>
      <w:r>
        <w:rPr>
          <w:rFonts w:ascii="Times New Roman" w:cs="Times New Roman" w:eastAsia="Times New Roman" w:hAnsi="Times New Roman"/>
          <w:sz w:val="18"/>
          <w:szCs w:val="18"/>
          <w:b w:val="1"/>
          <w:bCs w:val="1"/>
          <w:color w:val="auto"/>
        </w:rPr>
        <w:t>Repurchase at Option of Holders Upon a Fundamental Change.</w:t>
      </w:r>
    </w:p>
    <w:p>
      <w:pPr>
        <w:spacing w:after="0" w:line="229" w:lineRule="exact"/>
        <w:rPr>
          <w:sz w:val="20"/>
          <w:szCs w:val="20"/>
          <w:color w:val="auto"/>
        </w:rPr>
      </w:pPr>
    </w:p>
    <w:p>
      <w:pPr>
        <w:jc w:val="both"/>
        <w:ind w:firstLine="656"/>
        <w:spacing w:after="0" w:line="255" w:lineRule="auto"/>
        <w:tabs>
          <w:tab w:leader="none" w:pos="13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Fundamental Change occurs at any time prior to the Maturity Date, each Holder shall have the right, at such Holder’s option, to require the Company to repurchase for cash all of such Holder’s Notes, or any portion of the principal amount thereof that is equal to $1,000 or an integral multiple of $1,000, on the date (the “</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xml:space="preserve">”) specified by the Company that is not less than 20 calendar days or more than 35 calendar days following the date of the Fundamental Change Company Notice at a repurchase price equal to 100%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to, but excluding, the Fundamental Change Repurchase Date (the “</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on such Regular Record Date, and the Fundamental Change Repurchase Price shall be equal to 100% of the principal amount of Notes to be repurchased pursuant to this Article 15.</w:t>
      </w:r>
    </w:p>
    <w:p>
      <w:pPr>
        <w:spacing w:after="0" w:line="18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Notes under this Section 15.02 shall be made, at the option of the Holder thereof, upon:</w:t>
      </w:r>
    </w:p>
    <w:p>
      <w:pPr>
        <w:spacing w:after="0" w:line="221" w:lineRule="exact"/>
        <w:rPr>
          <w:rFonts w:ascii="Times New Roman" w:cs="Times New Roman" w:eastAsia="Times New Roman" w:hAnsi="Times New Roman"/>
          <w:sz w:val="18"/>
          <w:szCs w:val="18"/>
          <w:color w:val="auto"/>
        </w:rPr>
      </w:pPr>
    </w:p>
    <w:p>
      <w:pPr>
        <w:jc w:val="both"/>
        <w:ind w:left="660" w:firstLine="645"/>
        <w:spacing w:after="0" w:line="262" w:lineRule="auto"/>
        <w:tabs>
          <w:tab w:leader="none" w:pos="205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Paying Agent by a Holder of a duly completed notice (the “</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95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in each case such delivery being a condition to receipt by the Holder of the Fundamental Change Repurchase Price therefor.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Fundamental Change Repurchase Notice in respect of any Notes to be repurchased shall state:</w:t>
      </w:r>
    </w:p>
    <w:p>
      <w:pPr>
        <w:spacing w:after="0" w:line="225" w:lineRule="exact"/>
        <w:rPr>
          <w:sz w:val="20"/>
          <w:szCs w:val="20"/>
          <w:color w:val="auto"/>
        </w:rPr>
      </w:pPr>
    </w:p>
    <w:p>
      <w:pPr>
        <w:ind w:left="660" w:firstLine="645"/>
        <w:spacing w:after="0" w:line="282" w:lineRule="auto"/>
        <w:tabs>
          <w:tab w:leader="none" w:pos="193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Physical Notes, the certificate numbers of the Notes to be delivered for repurchase or if the Notes are Global Notes, the Fundamental Change Repurchase Notice must comply with applicable Depositary procedures;</w:t>
      </w:r>
    </w:p>
    <w:p>
      <w:pPr>
        <w:spacing w:after="0" w:line="161" w:lineRule="exact"/>
        <w:rPr>
          <w:rFonts w:ascii="Times New Roman" w:cs="Times New Roman" w:eastAsia="Times New Roman" w:hAnsi="Times New Roman"/>
          <w:sz w:val="18"/>
          <w:szCs w:val="18"/>
          <w:color w:val="auto"/>
        </w:rPr>
      </w:pPr>
    </w:p>
    <w:p>
      <w:pPr>
        <w:ind w:left="1840" w:hanging="535"/>
        <w:spacing w:after="0"/>
        <w:tabs>
          <w:tab w:leader="none" w:pos="18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$1,000 or an integral multiple thereof; and</w:t>
      </w:r>
    </w:p>
    <w:p>
      <w:pPr>
        <w:spacing w:after="0" w:line="225" w:lineRule="exact"/>
        <w:rPr>
          <w:rFonts w:ascii="Times New Roman" w:cs="Times New Roman" w:eastAsia="Times New Roman" w:hAnsi="Times New Roman"/>
          <w:sz w:val="18"/>
          <w:szCs w:val="18"/>
          <w:color w:val="auto"/>
        </w:rPr>
      </w:pPr>
    </w:p>
    <w:p>
      <w:pPr>
        <w:ind w:left="1820" w:hanging="515"/>
        <w:spacing w:after="0"/>
        <w:tabs>
          <w:tab w:leader="none" w:pos="18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this Indenture.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8" w:name="page89"/>
    <w:bookmarkEnd w:id="88"/>
    <w:p>
      <w:pPr>
        <w:ind w:right="20"/>
        <w:spacing w:after="0" w:line="282" w:lineRule="auto"/>
        <w:rPr>
          <w:sz w:val="20"/>
          <w:szCs w:val="20"/>
          <w:color w:val="auto"/>
        </w:rPr>
      </w:pPr>
      <w:r>
        <w:rPr>
          <w:rFonts w:ascii="Times New Roman" w:cs="Times New Roman" w:eastAsia="Times New Roman" w:hAnsi="Times New Roman"/>
          <w:sz w:val="18"/>
          <w:szCs w:val="18"/>
          <w:color w:val="auto"/>
        </w:rPr>
        <w:t>The Paying Agent shall promptly notify the Company of the receipt by it of any Fundamental Change Repurchase Notice or written notice of withdrawal thereof.</w:t>
      </w:r>
    </w:p>
    <w:p>
      <w:pPr>
        <w:spacing w:after="0" w:line="162" w:lineRule="exact"/>
        <w:rPr>
          <w:sz w:val="20"/>
          <w:szCs w:val="20"/>
          <w:color w:val="auto"/>
        </w:rPr>
      </w:pPr>
    </w:p>
    <w:p>
      <w:pPr>
        <w:jc w:val="both"/>
        <w:ind w:firstLine="656"/>
        <w:spacing w:after="0" w:line="255" w:lineRule="auto"/>
        <w:tabs>
          <w:tab w:leader="none" w:pos="14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20th Business Day after the occurrence of the effective date of a Fundamental Change, the Company shall provide to all Holders of Notes and the Trustee and the Paying Agent (in the case of a Paying Agent other than the Trustee) a written notice (the “Fundamental Change Company Notice”)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Simultaneously with providing such notice, the Company shall publish the information set forth in the Fundamental Change Company Notice on the Company’s website or through such other public medium as the Company may use at that time. Each Fundamental Change Company Notice shall specify:</w:t>
      </w:r>
    </w:p>
    <w:p>
      <w:pPr>
        <w:spacing w:after="0" w:line="189" w:lineRule="exact"/>
        <w:rPr>
          <w:rFonts w:ascii="Times New Roman" w:cs="Times New Roman" w:eastAsia="Times New Roman" w:hAnsi="Times New Roman"/>
          <w:sz w:val="18"/>
          <w:szCs w:val="18"/>
          <w:color w:val="auto"/>
        </w:rPr>
      </w:pPr>
    </w:p>
    <w:p>
      <w:pPr>
        <w:ind w:left="1920" w:hanging="615"/>
        <w:spacing w:after="0"/>
        <w:tabs>
          <w:tab w:leader="none" w:pos="19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225" w:lineRule="exact"/>
        <w:rPr>
          <w:rFonts w:ascii="Times New Roman" w:cs="Times New Roman" w:eastAsia="Times New Roman" w:hAnsi="Times New Roman"/>
          <w:sz w:val="18"/>
          <w:szCs w:val="18"/>
          <w:color w:val="auto"/>
        </w:rPr>
      </w:pPr>
    </w:p>
    <w:p>
      <w:pPr>
        <w:ind w:left="1920" w:hanging="615"/>
        <w:spacing w:after="0"/>
        <w:tabs>
          <w:tab w:leader="none" w:pos="19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Fundamental Change;</w:t>
      </w:r>
    </w:p>
    <w:p>
      <w:pPr>
        <w:spacing w:after="0" w:line="225"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exercise the repurchase right pursuant to this Article 15;</w:t>
      </w:r>
    </w:p>
    <w:p>
      <w:pPr>
        <w:spacing w:after="0" w:line="225" w:lineRule="exact"/>
        <w:rPr>
          <w:rFonts w:ascii="Times New Roman" w:cs="Times New Roman" w:eastAsia="Times New Roman" w:hAnsi="Times New Roman"/>
          <w:sz w:val="18"/>
          <w:szCs w:val="18"/>
          <w:color w:val="auto"/>
        </w:rPr>
      </w:pPr>
    </w:p>
    <w:p>
      <w:pPr>
        <w:ind w:left="1920" w:hanging="615"/>
        <w:spacing w:after="0"/>
        <w:tabs>
          <w:tab w:leader="none" w:pos="19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Price;</w:t>
      </w:r>
    </w:p>
    <w:p>
      <w:pPr>
        <w:spacing w:after="0" w:line="225" w:lineRule="exact"/>
        <w:rPr>
          <w:rFonts w:ascii="Times New Roman" w:cs="Times New Roman" w:eastAsia="Times New Roman" w:hAnsi="Times New Roman"/>
          <w:sz w:val="18"/>
          <w:szCs w:val="18"/>
          <w:color w:val="auto"/>
        </w:rPr>
      </w:pPr>
    </w:p>
    <w:p>
      <w:pPr>
        <w:ind w:left="1920" w:hanging="615"/>
        <w:spacing w:after="0"/>
        <w:tabs>
          <w:tab w:leader="none" w:pos="19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w:t>
      </w:r>
    </w:p>
    <w:p>
      <w:pPr>
        <w:spacing w:after="0" w:line="225" w:lineRule="exact"/>
        <w:rPr>
          <w:rFonts w:ascii="Times New Roman" w:cs="Times New Roman" w:eastAsia="Times New Roman" w:hAnsi="Times New Roman"/>
          <w:sz w:val="18"/>
          <w:szCs w:val="18"/>
          <w:color w:val="auto"/>
        </w:rPr>
      </w:pPr>
    </w:p>
    <w:p>
      <w:pPr>
        <w:ind w:left="1920" w:hanging="615"/>
        <w:spacing w:after="0"/>
        <w:tabs>
          <w:tab w:leader="none" w:pos="19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 if applicable;</w:t>
      </w:r>
    </w:p>
    <w:p>
      <w:pPr>
        <w:spacing w:after="0" w:line="225" w:lineRule="exact"/>
        <w:rPr>
          <w:rFonts w:ascii="Times New Roman" w:cs="Times New Roman" w:eastAsia="Times New Roman" w:hAnsi="Times New Roman"/>
          <w:sz w:val="18"/>
          <w:szCs w:val="18"/>
          <w:color w:val="auto"/>
        </w:rPr>
      </w:pPr>
    </w:p>
    <w:p>
      <w:pPr>
        <w:ind w:left="1920" w:hanging="615"/>
        <w:spacing w:after="0"/>
        <w:tabs>
          <w:tab w:leader="none" w:pos="19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Conversion Rate and any adjustments to the Conversion Rate;</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197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with respect to which a Fundamental Change Repurchase Notice has been delivered by a Holder may be converted only if the Holder validly withdraws the Fundamental Change Repurchase Notice in accordance with the terms of this Indenture; and</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require the Company to repurchase their Notes.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the Company’s request given at least three days prior to the anticipated date of the Fundamental Change Company Notice is to be sent (or such shorter period as may be acceptable to the Trustee), the Trustee shall give such notice in the Company’s name and at the Company’s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all cases, the text of such Fundamental Change Company Notice shall be prepared by the Company.</w:t>
      </w:r>
    </w:p>
    <w:p>
      <w:pPr>
        <w:spacing w:after="0" w:line="176" w:lineRule="exact"/>
        <w:rPr>
          <w:sz w:val="20"/>
          <w:szCs w:val="20"/>
          <w:color w:val="auto"/>
        </w:rPr>
      </w:pPr>
    </w:p>
    <w:p>
      <w:pPr>
        <w:jc w:val="both"/>
        <w:ind w:firstLine="656"/>
        <w:spacing w:after="0" w:line="255" w:lineRule="auto"/>
        <w:tabs>
          <w:tab w:leader="none" w:pos="172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(including as a result of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shall be deemed to have been cancelled, and, upon such return or cancellation, as the case may be, the Fundamental Change Repurchase Notice with respect thereto shall be deemed to have been withdrawn.</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153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above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180" w:lineRule="exact"/>
        <w:rPr>
          <w:sz w:val="20"/>
          <w:szCs w:val="20"/>
          <w:color w:val="auto"/>
        </w:rPr>
      </w:pPr>
    </w:p>
    <w:p>
      <w:pPr>
        <w:ind w:left="98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15.03.</w:t>
      </w:r>
      <w:r>
        <w:rPr>
          <w:sz w:val="20"/>
          <w:szCs w:val="20"/>
          <w:color w:val="auto"/>
        </w:rPr>
        <w:tab/>
      </w:r>
      <w:r>
        <w:rPr>
          <w:rFonts w:ascii="Times New Roman" w:cs="Times New Roman" w:eastAsia="Times New Roman" w:hAnsi="Times New Roman"/>
          <w:sz w:val="17"/>
          <w:szCs w:val="17"/>
          <w:b w:val="1"/>
          <w:bCs w:val="1"/>
          <w:color w:val="auto"/>
        </w:rPr>
        <w:t>Withdrawal of Fundamental Change Repurchase Notice</w:t>
      </w:r>
    </w:p>
    <w:p>
      <w:pPr>
        <w:spacing w:after="0" w:line="229" w:lineRule="exact"/>
        <w:rPr>
          <w:sz w:val="20"/>
          <w:szCs w:val="20"/>
          <w:color w:val="auto"/>
        </w:rPr>
      </w:pPr>
    </w:p>
    <w:p>
      <w:pPr>
        <w:jc w:val="both"/>
        <w:ind w:firstLine="656"/>
        <w:spacing w:after="0" w:line="266" w:lineRule="auto"/>
        <w:tabs>
          <w:tab w:leader="none" w:pos="738" w:val="left"/>
        </w:tabs>
        <w:numPr>
          <w:ilvl w:val="0"/>
          <w:numId w:val="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A Fundamental Change Repurchase Notice may be withdrawn (in whole or in part) by means of a written notice of withdrawal delivered to and received by the Corporate Trust Office of the Paying Agent in accordance with this Section 15.03 at any time prior to the close of business on the Business Day immediately preceding the Fundamental Change Repurchase Date, specifying:</w:t>
      </w:r>
    </w:p>
    <w:p>
      <w:pPr>
        <w:spacing w:after="0" w:line="176" w:lineRule="exact"/>
        <w:rPr>
          <w:rFonts w:ascii="Times New Roman" w:cs="Times New Roman" w:eastAsia="Times New Roman" w:hAnsi="Times New Roman"/>
          <w:sz w:val="18"/>
          <w:szCs w:val="18"/>
          <w:i w:val="1"/>
          <w:iCs w:val="1"/>
          <w:color w:val="auto"/>
        </w:rPr>
      </w:pPr>
    </w:p>
    <w:p>
      <w:pPr>
        <w:ind w:left="660" w:firstLine="645"/>
        <w:spacing w:after="0" w:line="282" w:lineRule="auto"/>
        <w:tabs>
          <w:tab w:leader="none" w:pos="195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with respect to which such notice of withdrawal is being submitted, which must be $1,000 or an integral multiple thereof;</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08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Physical Notes have been issued, the certificate number of the Note in respect of which such notice of withdrawal is being submitted, or if the Notes are Global Notes, the notice must comply with the Applicable Procedures; and</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93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such Note that remains subject to the original Fundamental Change Repurchase Notice, which must be $1,000 or an integral multiple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Notes held in book-entry form, withdrawals shall be made in accordance with the Applicable Procedures.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ind w:left="96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15.04.</w:t>
      </w:r>
      <w:r>
        <w:rPr>
          <w:sz w:val="20"/>
          <w:szCs w:val="20"/>
          <w:color w:val="auto"/>
        </w:rPr>
        <w:tab/>
      </w:r>
      <w:r>
        <w:rPr>
          <w:rFonts w:ascii="Times New Roman" w:cs="Times New Roman" w:eastAsia="Times New Roman" w:hAnsi="Times New Roman"/>
          <w:sz w:val="18"/>
          <w:szCs w:val="18"/>
          <w:b w:val="1"/>
          <w:bCs w:val="1"/>
          <w:color w:val="auto"/>
        </w:rPr>
        <w:t>Deposit of Fundamental Change Repurchase Price.</w:t>
      </w:r>
    </w:p>
    <w:p>
      <w:pPr>
        <w:spacing w:after="0" w:line="229" w:lineRule="exact"/>
        <w:rPr>
          <w:sz w:val="20"/>
          <w:szCs w:val="20"/>
          <w:color w:val="auto"/>
        </w:rPr>
      </w:pPr>
    </w:p>
    <w:p>
      <w:pPr>
        <w:jc w:val="both"/>
        <w:ind w:left="-20" w:firstLine="656"/>
        <w:spacing w:after="0" w:line="253" w:lineRule="auto"/>
        <w:tabs>
          <w:tab w:leader="none" w:pos="138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withdrawn prior to the close of business on the Business Day immediately preceding the Fundamental Change Repurchase Date) will be made on the later of (i) the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payments to the Depositary shall be made by wire transfer of immediately available funds to the account of the Depositary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 The Trustee shall, promptly after such payment and upon written demand by the Company, return to the Company any funds in excess of the Fundamental Change Repurchase Price.</w:t>
      </w:r>
    </w:p>
    <w:p>
      <w:pPr>
        <w:spacing w:after="0" w:line="192" w:lineRule="exact"/>
        <w:rPr>
          <w:rFonts w:ascii="Times New Roman" w:cs="Times New Roman" w:eastAsia="Times New Roman" w:hAnsi="Times New Roman"/>
          <w:sz w:val="18"/>
          <w:szCs w:val="18"/>
          <w:color w:val="auto"/>
        </w:rPr>
      </w:pPr>
    </w:p>
    <w:p>
      <w:pPr>
        <w:jc w:val="both"/>
        <w:ind w:left="-20" w:firstLine="656"/>
        <w:spacing w:after="0" w:line="256" w:lineRule="auto"/>
        <w:tabs>
          <w:tab w:leader="none" w:pos="13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11:00 a.m. New York City time, on the Fundamental Change Repurchase Date, the Trustee (or other Paying Agent appointed by the Company) holds money sufficient to make payment on all the Notes or portions thereof that are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the Notes have been delivered to the Trustee or Paying Agent) and (iii) all other rights of the Holders of such Notes will terminate (other than the right to receive the Fundamental Change Repurchase Price and, if applicable, accrued and unpaid interest).</w:t>
      </w:r>
    </w:p>
    <w:p>
      <w:pPr>
        <w:spacing w:after="0" w:line="187"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38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72" w:lineRule="exact"/>
        <w:rPr>
          <w:sz w:val="20"/>
          <w:szCs w:val="20"/>
          <w:color w:val="auto"/>
        </w:rPr>
      </w:pPr>
    </w:p>
    <w:p>
      <w:pPr>
        <w:ind w:left="96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15.05.</w:t>
      </w:r>
      <w:r>
        <w:rPr>
          <w:sz w:val="20"/>
          <w:szCs w:val="20"/>
          <w:color w:val="auto"/>
        </w:rPr>
        <w:tab/>
      </w:r>
      <w:r>
        <w:rPr>
          <w:rFonts w:ascii="Times New Roman" w:cs="Times New Roman" w:eastAsia="Times New Roman" w:hAnsi="Times New Roman"/>
          <w:sz w:val="17"/>
          <w:szCs w:val="17"/>
          <w:b w:val="1"/>
          <w:bCs w:val="1"/>
          <w:color w:val="auto"/>
        </w:rPr>
        <w:t>Covenant to Comply with Applicable Laws Upon Repurchase of Notes.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connection with any repurchase offer, the Company will, if required:</w:t>
      </w:r>
    </w:p>
    <w:p>
      <w:pPr>
        <w:spacing w:after="0" w:line="225" w:lineRule="exact"/>
        <w:rPr>
          <w:sz w:val="20"/>
          <w:szCs w:val="20"/>
          <w:color w:val="auto"/>
        </w:rPr>
      </w:pPr>
    </w:p>
    <w:p>
      <w:pPr>
        <w:ind w:left="1240" w:hanging="604"/>
        <w:spacing w:after="0"/>
        <w:tabs>
          <w:tab w:leader="none" w:pos="1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any tender offer rules under the Exchange Act;</w:t>
      </w:r>
    </w:p>
    <w:p>
      <w:pPr>
        <w:spacing w:after="0" w:line="225"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Schedule TO or any other required schedule under the Exchange Act; and</w:t>
      </w:r>
    </w:p>
    <w:p>
      <w:pPr>
        <w:spacing w:after="0" w:line="225" w:lineRule="exact"/>
        <w:rPr>
          <w:rFonts w:ascii="Times New Roman" w:cs="Times New Roman" w:eastAsia="Times New Roman" w:hAnsi="Times New Roman"/>
          <w:sz w:val="18"/>
          <w:szCs w:val="18"/>
          <w:color w:val="auto"/>
        </w:rPr>
      </w:pPr>
    </w:p>
    <w:p>
      <w:pPr>
        <w:ind w:left="1240" w:hanging="604"/>
        <w:spacing w:after="0"/>
        <w:tabs>
          <w:tab w:leader="none" w:pos="1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all federal and state securities laws in connection with any offer by the Company to repurchase the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0" w:right="239" w:bottom="1440" w:gutter="0" w:footer="0" w:header="0"/>
        </w:sectPr>
      </w:pPr>
    </w:p>
    <w:bookmarkStart w:id="91" w:name="page92"/>
    <w:bookmarkEnd w:id="91"/>
    <w:p>
      <w:pPr>
        <w:jc w:val="both"/>
        <w:spacing w:after="0" w:line="261" w:lineRule="auto"/>
        <w:rPr>
          <w:sz w:val="20"/>
          <w:szCs w:val="20"/>
          <w:color w:val="auto"/>
        </w:rPr>
      </w:pPr>
      <w:r>
        <w:rPr>
          <w:rFonts w:ascii="Times New Roman" w:cs="Times New Roman" w:eastAsia="Times New Roman" w:hAnsi="Times New Roman"/>
          <w:sz w:val="18"/>
          <w:szCs w:val="18"/>
          <w:color w:val="auto"/>
        </w:rPr>
        <w:t>in each case, so as to permit the rights and obligations under this Article 15 to be exercised in the time and in the manner specified in this Article 15. To the extent that the provisions of any securities laws or regulations enacted after the date the Company initially issues the Notes conflict with the provisions of this Indenture relating to the Company’s obligations to purchase the Notes upon a Fundamental Change, the Company shall comply with the applicable securities laws and regulations and shall not be deemed to have breached its obligations under such provisions of this Indenture by virtue of such conflict.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OPTIONAL REDEMPTION</w:t>
      </w:r>
    </w:p>
    <w:p>
      <w:pPr>
        <w:spacing w:after="0" w:line="203"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16.01.</w:t>
      </w:r>
      <w:r>
        <w:rPr>
          <w:sz w:val="20"/>
          <w:szCs w:val="20"/>
          <w:color w:val="auto"/>
        </w:rPr>
        <w:tab/>
      </w:r>
      <w:r>
        <w:rPr>
          <w:rFonts w:ascii="Times New Roman" w:cs="Times New Roman" w:eastAsia="Times New Roman" w:hAnsi="Times New Roman"/>
          <w:sz w:val="18"/>
          <w:szCs w:val="18"/>
          <w:b w:val="1"/>
          <w:bCs w:val="1"/>
          <w:color w:val="auto"/>
        </w:rPr>
        <w:t>No Optional Redemption.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shall not be redeemable by the Company prior to the Maturity Date, and no sinking fund is provided for the Notes.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3"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17.01.</w:t>
      </w:r>
      <w:r>
        <w:rPr>
          <w:sz w:val="20"/>
          <w:szCs w:val="20"/>
          <w:color w:val="auto"/>
        </w:rPr>
        <w:tab/>
      </w:r>
      <w:r>
        <w:rPr>
          <w:rFonts w:ascii="Times New Roman" w:cs="Times New Roman" w:eastAsia="Times New Roman" w:hAnsi="Times New Roman"/>
          <w:sz w:val="17"/>
          <w:szCs w:val="17"/>
          <w:b w:val="1"/>
          <w:bCs w:val="1"/>
          <w:color w:val="auto"/>
        </w:rPr>
        <w:t>Provisions Binding on Company’s Successors.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of the Company contained in this Indenture shall bind its successors and assigns whether so expressed or not.</w:t>
      </w:r>
    </w:p>
    <w:p>
      <w:pPr>
        <w:spacing w:after="0" w:line="158"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17.02.</w:t>
      </w:r>
      <w:r>
        <w:rPr>
          <w:sz w:val="20"/>
          <w:szCs w:val="20"/>
          <w:color w:val="auto"/>
        </w:rPr>
        <w:tab/>
      </w:r>
      <w:r>
        <w:rPr>
          <w:rFonts w:ascii="Times New Roman" w:cs="Times New Roman" w:eastAsia="Times New Roman" w:hAnsi="Times New Roman"/>
          <w:sz w:val="17"/>
          <w:szCs w:val="17"/>
          <w:b w:val="1"/>
          <w:bCs w:val="1"/>
          <w:color w:val="auto"/>
        </w:rPr>
        <w:t>Official Acts by Successor Corporation.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72"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17.03.</w:t>
      </w:r>
      <w:r>
        <w:rPr>
          <w:sz w:val="20"/>
          <w:szCs w:val="20"/>
          <w:color w:val="auto"/>
        </w:rPr>
        <w:tab/>
      </w:r>
      <w:r>
        <w:rPr>
          <w:rFonts w:ascii="Times New Roman" w:cs="Times New Roman" w:eastAsia="Times New Roman" w:hAnsi="Times New Roman"/>
          <w:sz w:val="18"/>
          <w:szCs w:val="18"/>
          <w:b w:val="1"/>
          <w:bCs w:val="1"/>
          <w:color w:val="auto"/>
        </w:rPr>
        <w:t>Addresses for Notices, Etc.</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Fluidigm Corporation, 7000 Shoreline Court, Suite 100, South San Francisco, California, Attention: Chief Financial Officer. Any notice, direction, request or demand hereunder to or upon the Trustee shall be deemed to have been sufficiently given or made, for all purposes, if given or served by being deposited postage prepaid by registered or certified mail in a post office letter box, electronic transmission or overnight delivery addressed to the Corporate Trust Office.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by notice to the Company, may designate additional or different addresses for subsequent notices or communications.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2" w:name="page93"/>
    <w:bookmarkEnd w:id="92"/>
    <w:p>
      <w:pPr>
        <w:jc w:val="both"/>
        <w:spacing w:after="0" w:line="261" w:lineRule="auto"/>
        <w:rPr>
          <w:sz w:val="20"/>
          <w:szCs w:val="20"/>
          <w:color w:val="auto"/>
        </w:rPr>
      </w:pPr>
      <w:r>
        <w:rPr>
          <w:rFonts w:ascii="Times New Roman" w:cs="Times New Roman" w:eastAsia="Times New Roman" w:hAnsi="Times New Roman"/>
          <w:sz w:val="18"/>
          <w:szCs w:val="18"/>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and shall be sufficiently given to it if so delivered within the time prescribed.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58"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17.04.</w:t>
      </w:r>
      <w:r>
        <w:rPr>
          <w:sz w:val="20"/>
          <w:szCs w:val="20"/>
          <w:color w:val="auto"/>
        </w:rPr>
        <w:tab/>
      </w:r>
      <w:r>
        <w:rPr>
          <w:rFonts w:ascii="Times New Roman" w:cs="Times New Roman" w:eastAsia="Times New Roman" w:hAnsi="Times New Roman"/>
          <w:sz w:val="18"/>
          <w:szCs w:val="18"/>
          <w:b w:val="1"/>
          <w:bCs w:val="1"/>
          <w:color w:val="auto"/>
        </w:rPr>
        <w:t>Governing Law; Jurisdiction.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INDENTURE AND EACH NOTE, AND ANY CLAIM, CONTROVERSY OR DISPUTE ARISING UNDER OR RELATED TO THIS INDENTURE AND EACH NOTE, SHALL BE GOVERNED BY, AND CONSTRUED IN ACCORDANCE WITH, THE LAWS OF THE STATE OF NEW YORK (WITHOUT REGARD TO THE CONFLICTS OF LAWS PROVISIONS THEREOF).</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personam</w:t>
      </w:r>
      <w:r>
        <w:rPr>
          <w:rFonts w:ascii="Times New Roman" w:cs="Times New Roman" w:eastAsia="Times New Roman" w:hAnsi="Times New Roman"/>
          <w:sz w:val="18"/>
          <w:szCs w:val="18"/>
          <w:color w:val="auto"/>
        </w:rPr>
        <w:t>, generally and unconditionally with respect to any action, suit or proceeding for itself in respect of its properties, assets and revenues.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17.05.</w:t>
      </w:r>
      <w:r>
        <w:rPr>
          <w:sz w:val="20"/>
          <w:szCs w:val="20"/>
          <w:color w:val="auto"/>
        </w:rPr>
        <w:tab/>
      </w:r>
      <w:r>
        <w:rPr>
          <w:rFonts w:ascii="Times New Roman" w:cs="Times New Roman" w:eastAsia="Times New Roman" w:hAnsi="Times New Roman"/>
          <w:sz w:val="17"/>
          <w:szCs w:val="17"/>
          <w:b w:val="1"/>
          <w:bCs w:val="1"/>
          <w:color w:val="auto"/>
        </w:rPr>
        <w:t>Evidence of Compliance with Conditions Precedent; Certificates and Opinions of Counsel to Trustee.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 and that all covenants and conditions precedent have been complied with, subject in the case of the Opinion of Counsel to customary exceptions for opinions of this type.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3" w:name="page94"/>
    <w:bookmarkEnd w:id="93"/>
    <w:p>
      <w:pPr>
        <w:jc w:val="both"/>
        <w:spacing w:after="0" w:line="256" w:lineRule="auto"/>
        <w:rPr>
          <w:sz w:val="20"/>
          <w:szCs w:val="20"/>
          <w:color w:val="auto"/>
        </w:rPr>
      </w:pPr>
      <w:r>
        <w:rPr>
          <w:rFonts w:ascii="Times New Roman" w:cs="Times New Roman" w:eastAsia="Times New Roman" w:hAnsi="Times New Roman"/>
          <w:sz w:val="18"/>
          <w:szCs w:val="18"/>
          <w:color w:val="auto"/>
        </w:rPr>
        <w:t>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w:t>
      </w:r>
    </w:p>
    <w:p>
      <w:pPr>
        <w:spacing w:after="0" w:line="184"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17.06.</w:t>
      </w:r>
      <w:r>
        <w:rPr>
          <w:sz w:val="20"/>
          <w:szCs w:val="20"/>
          <w:color w:val="auto"/>
        </w:rPr>
        <w:tab/>
      </w:r>
      <w:r>
        <w:rPr>
          <w:rFonts w:ascii="Times New Roman" w:cs="Times New Roman" w:eastAsia="Times New Roman" w:hAnsi="Times New Roman"/>
          <w:sz w:val="17"/>
          <w:szCs w:val="17"/>
          <w:b w:val="1"/>
          <w:bCs w:val="1"/>
          <w:color w:val="auto"/>
        </w:rPr>
        <w:t>Legal Holidays.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any case where any Interest Payment Date, any Fundamental Change Repurchase Date, any Company Conversion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72"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17.07.</w:t>
      </w:r>
      <w:r>
        <w:rPr>
          <w:sz w:val="20"/>
          <w:szCs w:val="20"/>
          <w:color w:val="auto"/>
        </w:rPr>
        <w:tab/>
      </w:r>
      <w:r>
        <w:rPr>
          <w:rFonts w:ascii="Times New Roman" w:cs="Times New Roman" w:eastAsia="Times New Roman" w:hAnsi="Times New Roman"/>
          <w:sz w:val="18"/>
          <w:szCs w:val="18"/>
          <w:b w:val="1"/>
          <w:bCs w:val="1"/>
          <w:color w:val="auto"/>
        </w:rPr>
        <w:t>No Security Interest Created.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Nothing in this Indenture or in the Notes, expressed or implied, shall be construed to constitute a security interest under the Uniform Commercial Code or similar legislation, as now or hereafter enacted and in effect, in any jurisdiction.</w:t>
      </w:r>
    </w:p>
    <w:p>
      <w:pPr>
        <w:spacing w:after="0" w:line="158"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17.08.</w:t>
      </w:r>
      <w:r>
        <w:rPr>
          <w:sz w:val="20"/>
          <w:szCs w:val="20"/>
          <w:color w:val="auto"/>
        </w:rPr>
        <w:tab/>
      </w:r>
      <w:r>
        <w:rPr>
          <w:rFonts w:ascii="Times New Roman" w:cs="Times New Roman" w:eastAsia="Times New Roman" w:hAnsi="Times New Roman"/>
          <w:sz w:val="18"/>
          <w:szCs w:val="18"/>
          <w:b w:val="1"/>
          <w:bCs w:val="1"/>
          <w:color w:val="auto"/>
        </w:rPr>
        <w:t>Benefits of Indenture.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spacing w:after="0" w:line="172"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17.09.</w:t>
      </w:r>
      <w:r>
        <w:rPr>
          <w:sz w:val="20"/>
          <w:szCs w:val="20"/>
          <w:color w:val="auto"/>
        </w:rPr>
        <w:tab/>
      </w:r>
      <w:r>
        <w:rPr>
          <w:rFonts w:ascii="Times New Roman" w:cs="Times New Roman" w:eastAsia="Times New Roman" w:hAnsi="Times New Roman"/>
          <w:sz w:val="17"/>
          <w:szCs w:val="17"/>
          <w:b w:val="1"/>
          <w:bCs w:val="1"/>
          <w:color w:val="auto"/>
        </w:rPr>
        <w:t>Table of Contents, Headings, Etc.</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17.10.</w:t>
      </w:r>
      <w:r>
        <w:rPr>
          <w:sz w:val="20"/>
          <w:szCs w:val="20"/>
          <w:color w:val="auto"/>
        </w:rPr>
        <w:tab/>
      </w:r>
      <w:r>
        <w:rPr>
          <w:rFonts w:ascii="Times New Roman" w:cs="Times New Roman" w:eastAsia="Times New Roman" w:hAnsi="Times New Roman"/>
          <w:sz w:val="17"/>
          <w:szCs w:val="17"/>
          <w:b w:val="1"/>
          <w:bCs w:val="1"/>
          <w:color w:val="auto"/>
        </w:rPr>
        <w:t>Authenticating Agent.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Section 7.02, Section 7.03, Section 7.04, Section 8.03 and this Section 17.10 shall be applicable to any authenticating agent.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 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5" w:name="page96"/>
    <w:bookmarkEnd w:id="95"/>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17.11.</w:t>
      </w:r>
      <w:r>
        <w:rPr>
          <w:sz w:val="20"/>
          <w:szCs w:val="20"/>
          <w:color w:val="auto"/>
        </w:rPr>
        <w:tab/>
      </w:r>
      <w:r>
        <w:rPr>
          <w:rFonts w:ascii="Times New Roman" w:cs="Times New Roman" w:eastAsia="Times New Roman" w:hAnsi="Times New Roman"/>
          <w:sz w:val="18"/>
          <w:szCs w:val="18"/>
          <w:b w:val="1"/>
          <w:bCs w:val="1"/>
          <w:color w:val="auto"/>
        </w:rPr>
        <w:t>Execution in Counterparts.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6"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17.12.</w:t>
      </w:r>
      <w:r>
        <w:rPr>
          <w:sz w:val="20"/>
          <w:szCs w:val="20"/>
          <w:color w:val="auto"/>
        </w:rPr>
        <w:tab/>
      </w:r>
      <w:r>
        <w:rPr>
          <w:rFonts w:ascii="Times New Roman" w:cs="Times New Roman" w:eastAsia="Times New Roman" w:hAnsi="Times New Roman"/>
          <w:sz w:val="17"/>
          <w:szCs w:val="17"/>
          <w:b w:val="1"/>
          <w:bCs w:val="1"/>
          <w:color w:val="auto"/>
        </w:rPr>
        <w:t>Severability.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58"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17.13.</w:t>
      </w:r>
      <w:r>
        <w:rPr>
          <w:sz w:val="20"/>
          <w:szCs w:val="20"/>
          <w:color w:val="auto"/>
        </w:rPr>
        <w:tab/>
      </w:r>
      <w:r>
        <w:rPr>
          <w:rFonts w:ascii="Times New Roman" w:cs="Times New Roman" w:eastAsia="Times New Roman" w:hAnsi="Times New Roman"/>
          <w:sz w:val="17"/>
          <w:szCs w:val="17"/>
          <w:b w:val="1"/>
          <w:bCs w:val="1"/>
          <w:color w:val="auto"/>
        </w:rPr>
        <w:t>Waiver of Jury Trial.</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EACH OF THE COMPANY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72"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17.14.</w:t>
      </w:r>
      <w:r>
        <w:rPr>
          <w:sz w:val="20"/>
          <w:szCs w:val="20"/>
          <w:color w:val="auto"/>
        </w:rPr>
        <w:tab/>
      </w:r>
      <w:r>
        <w:rPr>
          <w:rFonts w:ascii="Times New Roman" w:cs="Times New Roman" w:eastAsia="Times New Roman" w:hAnsi="Times New Roman"/>
          <w:sz w:val="17"/>
          <w:szCs w:val="17"/>
          <w:b w:val="1"/>
          <w:bCs w:val="1"/>
          <w:color w:val="auto"/>
        </w:rPr>
        <w:t>Force Majeure.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80"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17.15.</w:t>
      </w:r>
      <w:r>
        <w:rPr>
          <w:sz w:val="20"/>
          <w:szCs w:val="20"/>
          <w:color w:val="auto"/>
        </w:rPr>
        <w:tab/>
      </w:r>
      <w:r>
        <w:rPr>
          <w:rFonts w:ascii="Times New Roman" w:cs="Times New Roman" w:eastAsia="Times New Roman" w:hAnsi="Times New Roman"/>
          <w:sz w:val="18"/>
          <w:szCs w:val="18"/>
          <w:b w:val="1"/>
          <w:bCs w:val="1"/>
          <w:color w:val="auto"/>
        </w:rPr>
        <w:t>Calculations.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Except as otherwise provided herein, the Company shall be responsible for making all calculations called for under this Indenture and the Notes. These calculations include, but are not limited to, determinations of the Last Reported Sale Prices of the Common Stock, the VWAPs, accrued interest payable on the Notes and the Conversion Rate and Conversion Price of the Notes. The Company shall make all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Company will forward the Company’s calculations to any Holder of Notes upon the written request of that Holder.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6" w:name="page97"/>
    <w:bookmarkEnd w:id="96"/>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17.16.</w:t>
      </w:r>
      <w:r>
        <w:rPr>
          <w:sz w:val="20"/>
          <w:szCs w:val="20"/>
          <w:color w:val="auto"/>
        </w:rPr>
        <w:tab/>
      </w:r>
      <w:r>
        <w:rPr>
          <w:rFonts w:ascii="Times New Roman" w:cs="Times New Roman" w:eastAsia="Times New Roman" w:hAnsi="Times New Roman"/>
          <w:sz w:val="17"/>
          <w:szCs w:val="17"/>
          <w:b w:val="1"/>
          <w:bCs w:val="1"/>
          <w:color w:val="auto"/>
        </w:rPr>
        <w:t>USA PATRIOT Act.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Vikram Jog</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NATIONAL ASSOCIATION, as Trustee</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Bradley E. Scarbrough</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FACE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[INCLUDE FOLLOWING LEGEND IF A GLOBAL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RESTRICTED SECURITY]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80" w:lineRule="exact"/>
        <w:rPr>
          <w:sz w:val="20"/>
          <w:szCs w:val="20"/>
          <w:color w:val="auto"/>
        </w:rPr>
      </w:pPr>
    </w:p>
    <w:p>
      <w:pPr>
        <w:jc w:val="both"/>
        <w:ind w:left="660" w:hanging="652"/>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FLUIDIGM CORPORATION (THE “COMPANY”) THAT IT WILL NOT OFFER, SELL, PLEDGE OR OTHERWISE TRANSFER THIS SECURITY OR ANY BENEFICIAL INTEREST HEREIN PRIOR TO THE DATE THAT IS THE LATER OF</w:t>
      </w: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86"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 AND IS EFFECTIVE AT THE TIME OF SUCH TRANSFER, 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9" w:name="page100"/>
    <w:bookmarkEnd w:id="99"/>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QUALIFIED INSTITUTIONAL BUYER IN COMPLIANCE WITH RULE 144A UNDER THE SECURITIES ACT,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r>
        <w:rPr>
          <w:rFonts w:ascii="Times New Roman" w:cs="Times New Roman" w:eastAsia="Times New Roman" w:hAnsi="Times New Roman"/>
          <w:sz w:val="30"/>
          <w:szCs w:val="30"/>
          <w:color w:val="auto"/>
          <w:vertAlign w:val="superscript"/>
        </w:rPr>
        <w:t>1</w:t>
      </w:r>
    </w:p>
    <w:p>
      <w:pPr>
        <w:spacing w:after="0" w:line="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AFFILIATE (AS DEFINED IN RULE 144 UNDER THE SECURITIES ACT) OF FLUIDIGM CORPORATION OR PERSON THAT HAS BEEN AN AFFILIATE (AS DEFINED IN RULE 144 UNDER THE SECURITIES ACT) OF FLUIDIGM CORPORATION DURING THE IMMEDIATELY PRECEDING THREE MONTHS MAY PURCHASE, OTHERWISE ACQUIRE OR HOLD THIS SECURITY OR A BENEFICIAL INTEREST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8097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0" w:lineRule="exact"/>
        <w:rPr>
          <w:sz w:val="20"/>
          <w:szCs w:val="20"/>
          <w:color w:val="auto"/>
        </w:rPr>
      </w:pPr>
    </w:p>
    <w:p>
      <w:pPr>
        <w:jc w:val="both"/>
        <w:ind w:firstLine="8"/>
        <w:spacing w:after="0" w:line="211" w:lineRule="auto"/>
        <w:tabs>
          <w:tab w:leader="none" w:pos="121" w:val="left"/>
        </w:tabs>
        <w:numPr>
          <w:ilvl w:val="0"/>
          <w:numId w:val="8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Restrictive Legend set forth on this page [</w:t>
      </w:r>
      <w:r>
        <w:rPr>
          <w:rFonts w:ascii="Times New Roman" w:cs="Times New Roman" w:eastAsia="Times New Roman" w:hAnsi="Times New Roman"/>
          <w:sz w:val="18"/>
          <w:szCs w:val="18"/>
          <w:i w:val="1"/>
          <w:iCs w:val="1"/>
          <w:color w:val="auto"/>
        </w:rPr>
        <w:t>Insert if a Global Note</w:t>
      </w:r>
      <w:r>
        <w:rPr>
          <w:rFonts w:ascii="Times New Roman" w:cs="Times New Roman" w:eastAsia="Times New Roman" w:hAnsi="Times New Roman"/>
          <w:sz w:val="18"/>
          <w:szCs w:val="18"/>
          <w:color w:val="auto"/>
        </w:rPr>
        <w:t>: (other than the first paragraph hereof)] shall be deemed removed from the face of this Note, without further action of the Company, the Trustee or the Holder(s) of this Note, at such time when the Company delivers written notice to the Trustee of such deemed removal pursuant to Section 2.05(c) of the within-mentioned Indenture.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5.25% Convertible Senior Note due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[_____] [Initially]</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$[_________]</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CUSIP No. 34385P AE8 </w:t>
      </w:r>
      <w:r>
        <w:rPr>
          <w:rFonts w:ascii="Times New Roman" w:cs="Times New Roman" w:eastAsia="Times New Roman" w:hAnsi="Times New Roman"/>
          <w:sz w:val="30"/>
          <w:szCs w:val="30"/>
          <w:color w:val="auto"/>
          <w:vertAlign w:val="superscript"/>
        </w:rPr>
        <w:t>3</w:t>
      </w:r>
    </w:p>
    <w:p>
      <w:pPr>
        <w:spacing w:after="0" w:line="12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Fluidigm Corporation, a corporation duly organized and validly existing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30"/>
          <w:szCs w:val="30"/>
          <w:color w:val="auto"/>
          <w:vertAlign w:val="superscript"/>
        </w:rPr>
        <w:t>4</w:t>
      </w:r>
    </w:p>
    <w:p>
      <w:pPr>
        <w:spacing w:after="0" w:line="180" w:lineRule="auto"/>
        <w:rPr>
          <w:sz w:val="20"/>
          <w:szCs w:val="20"/>
          <w:color w:val="auto"/>
        </w:rPr>
      </w:pPr>
      <w:r>
        <w:rPr>
          <w:rFonts w:ascii="Times New Roman" w:cs="Times New Roman" w:eastAsia="Times New Roman" w:hAnsi="Times New Roman"/>
          <w:sz w:val="18"/>
          <w:szCs w:val="18"/>
          <w:color w:val="auto"/>
        </w:rPr>
        <w:t>[_______]</w:t>
      </w:r>
      <w:r>
        <w:rPr>
          <w:rFonts w:ascii="Times New Roman" w:cs="Times New Roman" w:eastAsia="Times New Roman" w:hAnsi="Times New Roman"/>
          <w:sz w:val="30"/>
          <w:szCs w:val="30"/>
          <w:color w:val="auto"/>
          <w:vertAlign w:val="superscript"/>
        </w:rPr>
        <w:t>5</w:t>
      </w:r>
      <w:r>
        <w:rPr>
          <w:rFonts w:ascii="Times New Roman" w:cs="Times New Roman" w:eastAsia="Times New Roman" w:hAnsi="Times New Roman"/>
          <w:sz w:val="18"/>
          <w:szCs w:val="18"/>
          <w:color w:val="auto"/>
        </w:rPr>
        <w:t>, or registered assigns, the principal sum [as set forth in the “Schedule of Exchanges of Notes” attached hereto]6</w:t>
      </w:r>
      <w:r>
        <w:rPr>
          <w:rFonts w:ascii="Times New Roman" w:cs="Times New Roman" w:eastAsia="Times New Roman" w:hAnsi="Times New Roman"/>
          <w:sz w:val="30"/>
          <w:szCs w:val="30"/>
          <w:color w:val="auto"/>
          <w:vertAlign w:val="superscript"/>
        </w:rPr>
        <w:t>6</w:t>
      </w:r>
      <w:r>
        <w:rPr>
          <w:rFonts w:ascii="Times New Roman" w:cs="Times New Roman" w:eastAsia="Times New Roman" w:hAnsi="Times New Roman"/>
          <w:sz w:val="18"/>
          <w:szCs w:val="18"/>
          <w:color w:val="auto"/>
        </w:rPr>
        <w:t xml:space="preserve"> [of $[_______]]</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 which</w:t>
      </w:r>
    </w:p>
    <w:p>
      <w:pPr>
        <w:jc w:val="both"/>
        <w:spacing w:after="0" w:line="259" w:lineRule="auto"/>
        <w:rPr>
          <w:sz w:val="20"/>
          <w:szCs w:val="20"/>
          <w:color w:val="auto"/>
        </w:rPr>
      </w:pPr>
      <w:r>
        <w:rPr>
          <w:rFonts w:ascii="Times New Roman" w:cs="Times New Roman" w:eastAsia="Times New Roman" w:hAnsi="Times New Roman"/>
          <w:sz w:val="18"/>
          <w:szCs w:val="18"/>
          <w:color w:val="auto"/>
        </w:rPr>
        <w:t>amount, taken together with the principal amounts of all other outstanding Notes, shall not, unless permitted by the Indenture, exceed in aggregate at any time $55,000,000, in accordance with the rules and Applicable Procedures, on December 1, 2024, and interest thereon as set forth below.</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Note shall bear interest at the rate of 5.25% per year from November 22, 2019, or from the most recent date to which interest had been paid or provided for to, but excluding, the next scheduled Interest Payment Date until December 1, 2024. Interest is payable semi-annually in arrears on each June 1 and December 1, commencing on June 1, 2020, to Holders of record at the close of business on the preceding January 15 and July 15 (whether or not such day is a Business Day), respectively. Accrued interest on the Notes shall be computed on the basis of a 360-day year composed of twelve 30-day months and, for partial months, on the basis of the number of days actually elapsed in a 30-day month. Additional Interest will be payable as set forth in Section 4.06(d), Section 4.06(e) and Section 6.03 of the within-mentioned Indenture, and any reference to interest on, or in respect of, any Note therein shall be deemed to include Additional Interest if, in such context, Additional Interest is, was or would be payable pursuant to any of such Section 4.06(d), Section 4.06(e) or Section 6.03, and any express mention of the payment of Additional Interest in any provision therein shall not be construed as excluding Additional Interest in those provisions thereof where such express mention is not made.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8097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1" w:lineRule="exact"/>
        <w:rPr>
          <w:sz w:val="20"/>
          <w:szCs w:val="20"/>
          <w:color w:val="auto"/>
        </w:rPr>
      </w:pPr>
    </w:p>
    <w:p>
      <w:pPr>
        <w:ind w:left="120" w:hanging="112"/>
        <w:spacing w:after="0"/>
        <w:tabs>
          <w:tab w:leader="none" w:pos="120" w:val="left"/>
        </w:tabs>
        <w:numPr>
          <w:ilvl w:val="0"/>
          <w:numId w:val="8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global note.</w:t>
      </w:r>
    </w:p>
    <w:p>
      <w:pPr>
        <w:spacing w:after="0" w:line="238" w:lineRule="exact"/>
        <w:rPr>
          <w:sz w:val="20"/>
          <w:szCs w:val="20"/>
          <w:color w:val="auto"/>
        </w:rPr>
      </w:pPr>
    </w:p>
    <w:p>
      <w:pPr>
        <w:jc w:val="both"/>
        <w:ind w:firstLine="8"/>
        <w:spacing w:after="0" w:line="210" w:lineRule="auto"/>
        <w:tabs>
          <w:tab w:leader="none" w:pos="113" w:val="left"/>
        </w:tabs>
        <w:numPr>
          <w:ilvl w:val="0"/>
          <w:numId w:val="8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At such time as the Company notifies the Trustee that the Restrictive Legend has been deemed removed pursuant to Section 2.05(b) of the Indenture, the CUSIP number for this Note shall be deemed to be CUSIP No. 34385P AF5. Additional Notes issued pursuant to Section 2.10 of the Indenture may have different CUSIP numbers.</w:t>
      </w:r>
    </w:p>
    <w:p>
      <w:pPr>
        <w:spacing w:after="0" w:line="130" w:lineRule="exact"/>
        <w:rPr>
          <w:sz w:val="20"/>
          <w:szCs w:val="20"/>
          <w:color w:val="auto"/>
        </w:rPr>
      </w:pPr>
    </w:p>
    <w:p>
      <w:pPr>
        <w:ind w:left="120" w:hanging="112"/>
        <w:spacing w:after="0"/>
        <w:tabs>
          <w:tab w:leader="none" w:pos="120" w:val="left"/>
        </w:tabs>
        <w:numPr>
          <w:ilvl w:val="0"/>
          <w:numId w:val="8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global note.</w:t>
      </w:r>
    </w:p>
    <w:p>
      <w:pPr>
        <w:spacing w:after="0" w:line="128" w:lineRule="exact"/>
        <w:rPr>
          <w:sz w:val="20"/>
          <w:szCs w:val="20"/>
          <w:color w:val="auto"/>
        </w:rPr>
      </w:pPr>
    </w:p>
    <w:p>
      <w:pPr>
        <w:ind w:left="120" w:hanging="112"/>
        <w:spacing w:after="0"/>
        <w:tabs>
          <w:tab w:leader="none" w:pos="120" w:val="left"/>
        </w:tabs>
        <w:numPr>
          <w:ilvl w:val="0"/>
          <w:numId w:val="8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physical note.</w:t>
      </w:r>
    </w:p>
    <w:p>
      <w:pPr>
        <w:spacing w:after="0" w:line="128" w:lineRule="exact"/>
        <w:rPr>
          <w:sz w:val="20"/>
          <w:szCs w:val="20"/>
          <w:color w:val="auto"/>
        </w:rPr>
      </w:pPr>
    </w:p>
    <w:p>
      <w:pPr>
        <w:ind w:left="120" w:hanging="112"/>
        <w:spacing w:after="0"/>
        <w:tabs>
          <w:tab w:leader="none" w:pos="120" w:val="left"/>
        </w:tabs>
        <w:numPr>
          <w:ilvl w:val="0"/>
          <w:numId w:val="8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global note.</w:t>
      </w:r>
    </w:p>
    <w:p>
      <w:pPr>
        <w:spacing w:after="0" w:line="128" w:lineRule="exact"/>
        <w:rPr>
          <w:sz w:val="20"/>
          <w:szCs w:val="20"/>
          <w:color w:val="auto"/>
        </w:rPr>
      </w:pPr>
    </w:p>
    <w:p>
      <w:pPr>
        <w:ind w:left="120" w:hanging="112"/>
        <w:spacing w:after="0"/>
        <w:tabs>
          <w:tab w:leader="none" w:pos="120" w:val="left"/>
        </w:tabs>
        <w:numPr>
          <w:ilvl w:val="0"/>
          <w:numId w:val="8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physical note.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shall pay (or cause the Paying Agent to pay) the principal of and interest on this Note, if and so long as such Note is a Global Note, in immediately available funds to the Depositary or its nominee by wire transfer, as the case may be, as the registered Holder of such Note. As provided in and subject to the provisions of the Indenture, the Company shall pay (or cause the Paying Agent to pay) the principal of any Notes (other than Notes that are Global Notes) at the office or agency designated by the Company for that purpose. The Company has initially designated the Trustee as its Paying Agent and Note Registrar in respect of the Notes and the Corporate Trust Office as a place where Notes may be presented for payment or for registration of transfer and exchange.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 (without regard to the conflicts of laws provisions thereof).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IN WITNESS WHEREOF, the Company has caused this Note to be duly executed.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[FORM OF 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5.25% Convertible Senior Note due 2024</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5.25% Convertible Senior Notes due 2024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limited to the aggregate principal amount of $55,000,000, all issued or to be issued under and pursuant to an Indenture dated as of November 22, 2019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(x) the principal (including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4" w:name="page105"/>
    <w:bookmarkEnd w:id="104"/>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shall not be redeemable at the Company’s option and no sinking fund is provided for the Notes.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shares of Common Stock at the Conversion Rate specified in the Indenture, as adjusted from time to time as provided in the Indenture.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Indenture, the Company has the right, at its option, during certain periods and upon the occurrence of certain conditions specified in the Indenture, on or after December 1, 2021 to December 1, 2022, to convert any Notes or portion thereof that is $1,000 or an integral multiple thereof, into shares of Common Stock at the Conversion Rate specified in the Indenture, as adjusted from time to time as provided in the Indenture, including with respect to any Additional Shares pursuant to Section 14.03 of the Indenture.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Indenture, the Company has the right, at its option, during certain periods and upon the occurrence of certain conditions specified in the Indenture, on or after December 1, 2022, to convert any Notes or portion thereof that is $1,000 or an integral multiple thereof, into shares of Common Stock at the Conversion Rate specified in the Indenture, as adjusted from time to time as provided in the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delivery of any shares of Common Stock issuable upon conversion of any Notes held by the Investor shall be subject to the delivery requirements set forth in Section 13.01 of the Indenture.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color w:val="auto"/>
        </w:rPr>
        <w:t>ABBREVIATIONS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ind w:right="5680"/>
        <w:spacing w:after="0" w:line="532" w:lineRule="auto"/>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 Additional abbreviations may also be used though not in the above list.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30"/>
          <w:szCs w:val="30"/>
          <w:b w:val="1"/>
          <w:bCs w:val="1"/>
          <w:color w:val="auto"/>
          <w:vertAlign w:val="superscript"/>
        </w:rPr>
        <w:t>8</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5.25% Convertible Senior Notes due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principal amount of this Global Note is _______ DOLLARS ($[_________]). The following increases or decreases in this Global Note have been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w:t>
            </w:r>
          </w:p>
        </w:tc>
        <w:tc>
          <w:tcPr>
            <w:tcW w:w="20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96"/>
        </w:trPr>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amount of</w:t>
            </w:r>
          </w:p>
        </w:tc>
        <w:tc>
          <w:tcPr>
            <w:tcW w:w="1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Amount of decrease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increase in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this Global Note</w:t>
            </w:r>
          </w:p>
        </w:tc>
        <w:tc>
          <w:tcPr>
            <w:tcW w:w="1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16"/>
        </w:trPr>
        <w:tc>
          <w:tcPr>
            <w:tcW w:w="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in principal amount of</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 of</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following such</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Trustee or</w:t>
            </w:r>
          </w:p>
        </w:tc>
      </w:tr>
      <w:tr>
        <w:trPr>
          <w:trHeight w:val="241"/>
        </w:trPr>
        <w:tc>
          <w:tcPr>
            <w:tcW w:w="660" w:type="dxa"/>
            <w:vAlign w:val="bottom"/>
          </w:tcPr>
          <w:p>
            <w:pPr>
              <w:spacing w:after="0"/>
              <w:rPr>
                <w:sz w:val="20"/>
                <w:szCs w:val="20"/>
                <w:color w:val="auto"/>
              </w:rPr>
            </w:pPr>
          </w:p>
        </w:tc>
        <w:tc>
          <w:tcPr>
            <w:tcW w:w="2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Date of exchange</w:t>
            </w:r>
          </w:p>
        </w:tc>
        <w:tc>
          <w:tcPr>
            <w:tcW w:w="2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this Global Note</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this Global Note</w:t>
            </w:r>
          </w:p>
        </w:tc>
        <w:tc>
          <w:tcPr>
            <w:tcW w:w="2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decrease or increase</w:t>
            </w:r>
          </w:p>
        </w:tc>
        <w:tc>
          <w:tcPr>
            <w:tcW w:w="1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230"/>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r>
      <w:tr>
        <w:trPr>
          <w:trHeight w:val="291"/>
        </w:trPr>
        <w:tc>
          <w:tcPr>
            <w:tcW w:w="6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222" w:lineRule="exact"/>
        <w:rPr>
          <w:sz w:val="20"/>
          <w:szCs w:val="20"/>
          <w:color w:val="auto"/>
        </w:rPr>
      </w:pPr>
    </w:p>
    <w:p>
      <w:pPr>
        <w:ind w:left="120" w:hanging="112"/>
        <w:spacing w:after="0"/>
        <w:tabs>
          <w:tab w:leader="none" w:pos="120" w:val="left"/>
        </w:tabs>
        <w:numPr>
          <w:ilvl w:val="0"/>
          <w:numId w:val="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global note.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Bank National Association</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633 West Fifth Street, 24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Fluidigm Corporation Administrator</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an integral multiple thereof) below designated, into shares of Common Stock in accordance with the terms of the Indenture referred to in this Note, and directs that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 ● ], [ ● ]</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 associations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credit unions) with membership in an approved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medallion  program  pursuant  to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Rule 17Ad-15 if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are to be issued, 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 to and in the name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Fill in for registration of shares if to be issued, and Notes if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delivered, other than to and in the name of the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to be converted (if less than all): $______,000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ATTACHMENT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Bank National Association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633 West Fifth Street, 24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Fluidigm Corporation Administrator</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Fluidigm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25984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to be repaid (if less than all): $______,000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ATTACHMENT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 attorney to transfer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Note on the books of the Company,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any transfer of the within Note occurring prior to the Resale Restriction Termination Date, as defined in the Indenture governing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undersigned confirms that such Note is being transferred:</w:t>
      </w:r>
    </w:p>
    <w:p>
      <w:pPr>
        <w:spacing w:after="0" w:line="207" w:lineRule="exact"/>
        <w:rPr>
          <w:sz w:val="20"/>
          <w:szCs w:val="20"/>
          <w:color w:val="auto"/>
        </w:rPr>
      </w:pPr>
    </w:p>
    <w:p>
      <w:pPr>
        <w:ind w:left="220" w:hanging="212"/>
        <w:spacing w:after="0"/>
        <w:tabs>
          <w:tab w:leader="none" w:pos="220" w:val="left"/>
        </w:tabs>
        <w:numPr>
          <w:ilvl w:val="0"/>
          <w:numId w:val="8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Fluidigm Corporation or a subsidiary thereof; or</w:t>
      </w:r>
    </w:p>
    <w:p>
      <w:pPr>
        <w:spacing w:after="0" w:line="225" w:lineRule="exact"/>
        <w:rPr>
          <w:rFonts w:ascii="MS PGothic" w:cs="MS PGothic" w:eastAsia="MS PGothic" w:hAnsi="MS PGothic"/>
          <w:sz w:val="18"/>
          <w:szCs w:val="18"/>
          <w:color w:val="auto"/>
        </w:rPr>
      </w:pPr>
    </w:p>
    <w:p>
      <w:pPr>
        <w:ind w:firstLine="8"/>
        <w:spacing w:after="0" w:line="282" w:lineRule="auto"/>
        <w:tabs>
          <w:tab w:leader="none" w:pos="221" w:val="left"/>
        </w:tabs>
        <w:numPr>
          <w:ilvl w:val="0"/>
          <w:numId w:val="8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 registration statement that has become or been declared effective under the Securities Act of 1933, as amended, and that continues to be effective at the time of such transfer; or</w:t>
      </w:r>
    </w:p>
    <w:p>
      <w:pPr>
        <w:spacing w:after="0" w:line="161" w:lineRule="exact"/>
        <w:rPr>
          <w:rFonts w:ascii="MS PGothic" w:cs="MS PGothic" w:eastAsia="MS PGothic" w:hAnsi="MS PGothic"/>
          <w:sz w:val="18"/>
          <w:szCs w:val="18"/>
          <w:color w:val="auto"/>
        </w:rPr>
      </w:pPr>
    </w:p>
    <w:p>
      <w:pPr>
        <w:ind w:left="220" w:hanging="212"/>
        <w:spacing w:after="0"/>
        <w:tabs>
          <w:tab w:leader="none" w:pos="220" w:val="left"/>
        </w:tabs>
        <w:numPr>
          <w:ilvl w:val="0"/>
          <w:numId w:val="8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144A under the Securities Act of 1933, as amended; or</w:t>
      </w:r>
    </w:p>
    <w:p>
      <w:pPr>
        <w:spacing w:after="0" w:line="225" w:lineRule="exact"/>
        <w:rPr>
          <w:rFonts w:ascii="MS PGothic" w:cs="MS PGothic" w:eastAsia="MS PGothic" w:hAnsi="MS PGothic"/>
          <w:sz w:val="18"/>
          <w:szCs w:val="18"/>
          <w:color w:val="auto"/>
        </w:rPr>
      </w:pPr>
    </w:p>
    <w:p>
      <w:pPr>
        <w:ind w:firstLine="8"/>
        <w:spacing w:after="0" w:line="282" w:lineRule="auto"/>
        <w:tabs>
          <w:tab w:leader="none" w:pos="235" w:val="left"/>
        </w:tabs>
        <w:numPr>
          <w:ilvl w:val="0"/>
          <w:numId w:val="8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 under the Securities Act of 1933, as amended, or any other available exemption from the registration requirements of the Securities Act of 1933,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25298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 associations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credit unions) with membership in an approved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medallion  program  pursuant  to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Rule 17Ad-15 if Notes are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other than to and in the name of the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$50,000,000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w:t>
      </w:r>
      <w:r>
        <w:rPr>
          <w:rFonts w:ascii="Times New Roman" w:cs="Times New Roman" w:eastAsia="Times New Roman" w:hAnsi="Times New Roman"/>
          <w:sz w:val="12"/>
          <w:szCs w:val="12"/>
          <w:b w:val="1"/>
          <w:bCs w:val="1"/>
          <w:i w:val="1"/>
          <w:iCs w:val="1"/>
          <w:color w:val="auto"/>
        </w:rPr>
        <w:t>LUIDIGM</w:t>
      </w:r>
      <w:r>
        <w:rPr>
          <w:rFonts w:ascii="Times New Roman" w:cs="Times New Roman" w:eastAsia="Times New Roman" w:hAnsi="Times New Roman"/>
          <w:sz w:val="18"/>
          <w:szCs w:val="18"/>
          <w:b w:val="1"/>
          <w:bCs w:val="1"/>
          <w:i w:val="1"/>
          <w:iCs w:val="1"/>
          <w:color w:val="auto"/>
        </w:rPr>
        <w:t xml:space="preserve"> C</w:t>
      </w:r>
      <w:r>
        <w:rPr>
          <w:rFonts w:ascii="Times New Roman" w:cs="Times New Roman" w:eastAsia="Times New Roman" w:hAnsi="Times New Roman"/>
          <w:sz w:val="12"/>
          <w:szCs w:val="12"/>
          <w:b w:val="1"/>
          <w:bCs w:val="1"/>
          <w:i w:val="1"/>
          <w:iCs w:val="1"/>
          <w:color w:val="auto"/>
        </w:rPr>
        <w:t>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5.25% C</w:t>
      </w:r>
      <w:r>
        <w:rPr>
          <w:rFonts w:ascii="Times New Roman" w:cs="Times New Roman" w:eastAsia="Times New Roman" w:hAnsi="Times New Roman"/>
          <w:sz w:val="12"/>
          <w:szCs w:val="12"/>
          <w:b w:val="1"/>
          <w:bCs w:val="1"/>
          <w:i w:val="1"/>
          <w:iCs w:val="1"/>
          <w:color w:val="auto"/>
        </w:rPr>
        <w:t>ONVERTIBLE</w:t>
      </w:r>
      <w:r>
        <w:rPr>
          <w:rFonts w:ascii="Times New Roman" w:cs="Times New Roman" w:eastAsia="Times New Roman" w:hAnsi="Times New Roman"/>
          <w:sz w:val="18"/>
          <w:szCs w:val="18"/>
          <w:b w:val="1"/>
          <w:bCs w:val="1"/>
          <w:i w:val="1"/>
          <w:iCs w:val="1"/>
          <w:color w:val="auto"/>
        </w:rPr>
        <w:t xml:space="preserve"> S</w:t>
      </w:r>
      <w:r>
        <w:rPr>
          <w:rFonts w:ascii="Times New Roman" w:cs="Times New Roman" w:eastAsia="Times New Roman" w:hAnsi="Times New Roman"/>
          <w:sz w:val="12"/>
          <w:szCs w:val="12"/>
          <w:b w:val="1"/>
          <w:bCs w:val="1"/>
          <w:i w:val="1"/>
          <w:iCs w:val="1"/>
          <w:color w:val="auto"/>
        </w:rPr>
        <w:t>ENIOR</w:t>
      </w:r>
      <w:r>
        <w:rPr>
          <w:rFonts w:ascii="Times New Roman" w:cs="Times New Roman" w:eastAsia="Times New Roman" w:hAnsi="Times New Roman"/>
          <w:sz w:val="18"/>
          <w:szCs w:val="18"/>
          <w:b w:val="1"/>
          <w:bCs w:val="1"/>
          <w:i w:val="1"/>
          <w:iCs w:val="1"/>
          <w:color w:val="auto"/>
        </w:rPr>
        <w:t xml:space="preserve"> N</w:t>
      </w:r>
      <w:r>
        <w:rPr>
          <w:rFonts w:ascii="Times New Roman" w:cs="Times New Roman" w:eastAsia="Times New Roman" w:hAnsi="Times New Roman"/>
          <w:sz w:val="12"/>
          <w:szCs w:val="12"/>
          <w:b w:val="1"/>
          <w:bCs w:val="1"/>
          <w:i w:val="1"/>
          <w:iCs w:val="1"/>
          <w:color w:val="auto"/>
        </w:rPr>
        <w:t>OTES DUE</w:t>
      </w:r>
      <w:r>
        <w:rPr>
          <w:rFonts w:ascii="Times New Roman" w:cs="Times New Roman" w:eastAsia="Times New Roman" w:hAnsi="Times New Roman"/>
          <w:sz w:val="18"/>
          <w:szCs w:val="18"/>
          <w:b w:val="1"/>
          <w:bCs w:val="1"/>
          <w:i w:val="1"/>
          <w:iCs w:val="1"/>
          <w:color w:val="auto"/>
        </w:rPr>
        <w:t xml:space="preserve">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PURCHASE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20,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Initial Purchasers named in Schedule I attached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Fluidigm Corporation,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proposes, upon the terms and conditions set forth in this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issue and sell to you, as the initial purchasers (the “</w:t>
      </w:r>
      <w:r>
        <w:rPr>
          <w:rFonts w:ascii="Times New Roman" w:cs="Times New Roman" w:eastAsia="Times New Roman" w:hAnsi="Times New Roman"/>
          <w:sz w:val="18"/>
          <w:szCs w:val="18"/>
          <w:b w:val="1"/>
          <w:bCs w:val="1"/>
          <w:i w:val="1"/>
          <w:iCs w:val="1"/>
          <w:color w:val="auto"/>
        </w:rPr>
        <w:t>Initial Purchasers</w:t>
      </w:r>
      <w:r>
        <w:rPr>
          <w:rFonts w:ascii="Times New Roman" w:cs="Times New Roman" w:eastAsia="Times New Roman" w:hAnsi="Times New Roman"/>
          <w:sz w:val="18"/>
          <w:szCs w:val="18"/>
          <w:color w:val="auto"/>
        </w:rPr>
        <w:t>”) for whom Barclays Capital Inc. (“</w:t>
      </w:r>
      <w:r>
        <w:rPr>
          <w:rFonts w:ascii="Times New Roman" w:cs="Times New Roman" w:eastAsia="Times New Roman" w:hAnsi="Times New Roman"/>
          <w:sz w:val="18"/>
          <w:szCs w:val="18"/>
          <w:b w:val="1"/>
          <w:bCs w:val="1"/>
          <w:i w:val="1"/>
          <w:iCs w:val="1"/>
          <w:color w:val="auto"/>
        </w:rPr>
        <w:t>Barclays</w:t>
      </w:r>
      <w:r>
        <w:rPr>
          <w:rFonts w:ascii="Times New Roman" w:cs="Times New Roman" w:eastAsia="Times New Roman" w:hAnsi="Times New Roman"/>
          <w:sz w:val="18"/>
          <w:szCs w:val="18"/>
          <w:color w:val="auto"/>
        </w:rPr>
        <w:t>”) is acting as representative (in such capacity,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$50,000,000 in aggregate principal amount of its 5.25% convertible senior notes due 2024 (the “</w:t>
      </w:r>
      <w:r>
        <w:rPr>
          <w:rFonts w:ascii="Times New Roman" w:cs="Times New Roman" w:eastAsia="Times New Roman" w:hAnsi="Times New Roman"/>
          <w:sz w:val="18"/>
          <w:szCs w:val="18"/>
          <w:b w:val="1"/>
          <w:bCs w:val="1"/>
          <w:i w:val="1"/>
          <w:iCs w:val="1"/>
          <w:color w:val="auto"/>
        </w:rPr>
        <w:t>Firm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The Firm Notes will (i) have terms and provisions that are summarized in the Offering Memorandum (as defined herein), and (ii) are to be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an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to be entered into between the Company and U.S. Bank, National Association,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The Company also proposes to issue and sell to the Initial Purchasers, not more than an additional $5,000,000 of its 5.25% convertible senior notes due 2024 (the “</w:t>
      </w:r>
      <w:r>
        <w:rPr>
          <w:rFonts w:ascii="Times New Roman" w:cs="Times New Roman" w:eastAsia="Times New Roman" w:hAnsi="Times New Roman"/>
          <w:sz w:val="18"/>
          <w:szCs w:val="18"/>
          <w:b w:val="1"/>
          <w:bCs w:val="1"/>
          <w:i w:val="1"/>
          <w:iCs w:val="1"/>
          <w:color w:val="auto"/>
        </w:rPr>
        <w:t>Additional Notes</w:t>
      </w:r>
      <w:r>
        <w:rPr>
          <w:rFonts w:ascii="Times New Roman" w:cs="Times New Roman" w:eastAsia="Times New Roman" w:hAnsi="Times New Roman"/>
          <w:sz w:val="18"/>
          <w:szCs w:val="18"/>
          <w:color w:val="auto"/>
        </w:rPr>
        <w:t>”) if and to the extent that the Initial Purchasers shall have determined to exercise the right to purchase such 5.25% convertible senior notes due 2024 granted to the Initial Purchasers in Section 3(b) hereof. The Firm Notes and the Additional Notes are hereinafter collectively referred to as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The Notes will be convertible into shares of the Company’s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including any such shares issuable upon conversion in connection with a “Make-Whole Fundamental Change” (as defined in the Offering Memorandum) (the “</w:t>
      </w:r>
      <w:r>
        <w:rPr>
          <w:rFonts w:ascii="Times New Roman" w:cs="Times New Roman" w:eastAsia="Times New Roman" w:hAnsi="Times New Roman"/>
          <w:sz w:val="18"/>
          <w:szCs w:val="18"/>
          <w:b w:val="1"/>
          <w:bCs w:val="1"/>
          <w:i w:val="1"/>
          <w:iCs w:val="1"/>
          <w:color w:val="auto"/>
        </w:rPr>
        <w:t>Underlying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as set forth in the Offering Memorandum. This Agreement is to confirm the agreement concerning the purchase of the Notes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by the Initial Purchasers.</w:t>
      </w:r>
    </w:p>
    <w:p>
      <w:pPr>
        <w:spacing w:after="0" w:line="193" w:lineRule="exact"/>
        <w:rPr>
          <w:sz w:val="20"/>
          <w:szCs w:val="20"/>
          <w:color w:val="auto"/>
        </w:rPr>
      </w:pPr>
    </w:p>
    <w:p>
      <w:pPr>
        <w:jc w:val="both"/>
        <w:ind w:firstLine="656"/>
        <w:spacing w:after="0" w:line="254" w:lineRule="auto"/>
        <w:tabs>
          <w:tab w:leader="none" w:pos="131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and Resale of the Notes</w:t>
      </w:r>
      <w:r>
        <w:rPr>
          <w:rFonts w:ascii="Times New Roman" w:cs="Times New Roman" w:eastAsia="Times New Roman" w:hAnsi="Times New Roman"/>
          <w:sz w:val="18"/>
          <w:szCs w:val="18"/>
          <w:color w:val="auto"/>
        </w:rPr>
        <w:t>. The Notes will be offered and sold to the Initial Purchasers without registration under the 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in reliance on an exemption pursuant to Section 4(a)(2) under the Securities Act. The Company has prepared a preliminary offering memorandum, dated November 20, 2019 (the “</w:t>
      </w:r>
      <w:r>
        <w:rPr>
          <w:rFonts w:ascii="Times New Roman" w:cs="Times New Roman" w:eastAsia="Times New Roman" w:hAnsi="Times New Roman"/>
          <w:sz w:val="18"/>
          <w:szCs w:val="18"/>
          <w:b w:val="1"/>
          <w:bCs w:val="1"/>
          <w:i w:val="1"/>
          <w:iCs w:val="1"/>
          <w:color w:val="auto"/>
        </w:rPr>
        <w:t>Preliminary Offering Memorandum</w:t>
      </w:r>
      <w:r>
        <w:rPr>
          <w:rFonts w:ascii="Times New Roman" w:cs="Times New Roman" w:eastAsia="Times New Roman" w:hAnsi="Times New Roman"/>
          <w:sz w:val="18"/>
          <w:szCs w:val="18"/>
          <w:color w:val="auto"/>
        </w:rPr>
        <w:t>”), a pricing term sheet substantially in the form attached hereto as Schedule II (the “</w:t>
      </w:r>
      <w:r>
        <w:rPr>
          <w:rFonts w:ascii="Times New Roman" w:cs="Times New Roman" w:eastAsia="Times New Roman" w:hAnsi="Times New Roman"/>
          <w:sz w:val="18"/>
          <w:szCs w:val="18"/>
          <w:b w:val="1"/>
          <w:bCs w:val="1"/>
          <w:i w:val="1"/>
          <w:iCs w:val="1"/>
          <w:color w:val="auto"/>
        </w:rPr>
        <w:t>Pricing Term Sheet</w:t>
      </w:r>
      <w:r>
        <w:rPr>
          <w:rFonts w:ascii="Times New Roman" w:cs="Times New Roman" w:eastAsia="Times New Roman" w:hAnsi="Times New Roman"/>
          <w:sz w:val="18"/>
          <w:szCs w:val="18"/>
          <w:color w:val="auto"/>
        </w:rPr>
        <w:t>”) setting forth the terms of the Notes omitted from the Preliminary Offering Memorandum and an offering memorandum, dated November 20, 2019 (the “</w:t>
      </w:r>
      <w:r>
        <w:rPr>
          <w:rFonts w:ascii="Times New Roman" w:cs="Times New Roman" w:eastAsia="Times New Roman" w:hAnsi="Times New Roman"/>
          <w:sz w:val="18"/>
          <w:szCs w:val="18"/>
          <w:b w:val="1"/>
          <w:bCs w:val="1"/>
          <w:i w:val="1"/>
          <w:iCs w:val="1"/>
          <w:color w:val="auto"/>
        </w:rPr>
        <w:t>Offering Memorandum</w:t>
      </w:r>
      <w:r>
        <w:rPr>
          <w:rFonts w:ascii="Times New Roman" w:cs="Times New Roman" w:eastAsia="Times New Roman" w:hAnsi="Times New Roman"/>
          <w:sz w:val="18"/>
          <w:szCs w:val="18"/>
          <w:color w:val="auto"/>
        </w:rPr>
        <w:t>”), setting forth information regarding the Company and the Notes. The Preliminary Offering Memorandum, as supplemented and amended as of the Applicable Time (as defined herein), together with the Pricing Term Sheet and any of the documents listed on Schedule III(A) hereto are collectively referred to as the “</w:t>
      </w:r>
      <w:r>
        <w:rPr>
          <w:rFonts w:ascii="Times New Roman" w:cs="Times New Roman" w:eastAsia="Times New Roman" w:hAnsi="Times New Roman"/>
          <w:sz w:val="18"/>
          <w:szCs w:val="18"/>
          <w:b w:val="1"/>
          <w:bCs w:val="1"/>
          <w:i w:val="1"/>
          <w:iCs w:val="1"/>
          <w:color w:val="auto"/>
        </w:rPr>
        <w:t>Pricing Disclosure Package</w:t>
      </w:r>
      <w:r>
        <w:rPr>
          <w:rFonts w:ascii="Times New Roman" w:cs="Times New Roman" w:eastAsia="Times New Roman" w:hAnsi="Times New Roman"/>
          <w:sz w:val="18"/>
          <w:szCs w:val="18"/>
          <w:color w:val="auto"/>
        </w:rPr>
        <w:t>.” The Company hereby confirms that it has authorized the use of the Pricing Disclosure Package and the Offering Memorandum in connection with the offering and resale of the Notes by the Initial Purchasers. “</w:t>
      </w:r>
      <w:r>
        <w:rPr>
          <w:rFonts w:ascii="Times New Roman" w:cs="Times New Roman" w:eastAsia="Times New Roman" w:hAnsi="Times New Roman"/>
          <w:sz w:val="18"/>
          <w:szCs w:val="18"/>
          <w:b w:val="1"/>
          <w:bCs w:val="1"/>
          <w:i w:val="1"/>
          <w:iCs w:val="1"/>
          <w:color w:val="auto"/>
        </w:rPr>
        <w:t>Applicable Time</w:t>
      </w:r>
      <w:r>
        <w:rPr>
          <w:rFonts w:ascii="Times New Roman" w:cs="Times New Roman" w:eastAsia="Times New Roman" w:hAnsi="Times New Roman"/>
          <w:sz w:val="18"/>
          <w:szCs w:val="18"/>
          <w:color w:val="auto"/>
        </w:rPr>
        <w:t>” means 12:45 p.m. (New York City time) on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12" w:name="page113"/>
    <w:bookmarkEnd w:id="11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reference to the Preliminary Offering Memorandum, the Pricing Disclosure Package or the Offering Memorandum shall be deemed to refer to and include the Company’s most recent Annual Report on Form 10-K (the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and all subsequent documents filed (but not furnished) with the United States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pursuant to Section 13(a), 13(c), 14 or 15(d) of the United States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on or prior to the date of the Preliminary Offering Memorandum, the Pricing Disclosure Package or the Offering Memorandum, as the case may be. Any reference to the Preliminary Offering Memorandum, Pricing Disclosure Package or the Offering Memorandum, as the case may be, as amended or supplemented, as of any specified date, shall be deemed to include any documents filed with the Commission pursuant to Section 13(a), 13(c), 14 or 15(d) of the Exchange Act after the date of the Preliminary Offering Memorandum, Pricing Disclosure Package or the Offering Memorandum, as the case may be, and prior to such specified date. All documents filed under the Exchange Act and so deemed to be included in the Preliminary Offering Memorandum, Pricing Disclosure Package or the Offering Memorandum, as the case may be, or any amendment or supplement thereto are hereinafter called the “</w:t>
      </w:r>
      <w:r>
        <w:rPr>
          <w:rFonts w:ascii="Times New Roman" w:cs="Times New Roman" w:eastAsia="Times New Roman" w:hAnsi="Times New Roman"/>
          <w:sz w:val="18"/>
          <w:szCs w:val="18"/>
          <w:b w:val="1"/>
          <w:bCs w:val="1"/>
          <w:i w:val="1"/>
          <w:iCs w:val="1"/>
          <w:color w:val="auto"/>
        </w:rPr>
        <w:t>Exchange Act Reports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You have advised the Company that you will offer and resell (the “</w:t>
      </w:r>
      <w:r>
        <w:rPr>
          <w:rFonts w:ascii="Times New Roman" w:cs="Times New Roman" w:eastAsia="Times New Roman" w:hAnsi="Times New Roman"/>
          <w:sz w:val="18"/>
          <w:szCs w:val="18"/>
          <w:b w:val="1"/>
          <w:bCs w:val="1"/>
          <w:i w:val="1"/>
          <w:iCs w:val="1"/>
          <w:color w:val="auto"/>
        </w:rPr>
        <w:t>Exempt Resales</w:t>
      </w:r>
      <w:r>
        <w:rPr>
          <w:rFonts w:ascii="Times New Roman" w:cs="Times New Roman" w:eastAsia="Times New Roman" w:hAnsi="Times New Roman"/>
          <w:sz w:val="18"/>
          <w:szCs w:val="18"/>
          <w:color w:val="auto"/>
        </w:rPr>
        <w:t>”) the Notes purchased by you hereunder on the terms set forth in each of the Pricing Disclosure Package and the Offering Memorandum, as amended or supplemented, solely to persons whom you reasonably believe to be “qualified institutional buyers” as defined in Rule 144A under the Securities Act (“</w:t>
      </w:r>
      <w:r>
        <w:rPr>
          <w:rFonts w:ascii="Times New Roman" w:cs="Times New Roman" w:eastAsia="Times New Roman" w:hAnsi="Times New Roman"/>
          <w:sz w:val="18"/>
          <w:szCs w:val="18"/>
          <w:b w:val="1"/>
          <w:bCs w:val="1"/>
          <w:i w:val="1"/>
          <w:iCs w:val="1"/>
          <w:color w:val="auto"/>
        </w:rPr>
        <w:t>Rule 144A</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i w:val="1"/>
          <w:iCs w:val="1"/>
          <w:color w:val="auto"/>
        </w:rPr>
        <w:t>QIB</w:t>
      </w:r>
      <w:r>
        <w:rPr>
          <w:rFonts w:ascii="Times New Roman" w:cs="Times New Roman" w:eastAsia="Times New Roman" w:hAnsi="Times New Roman"/>
          <w:sz w:val="18"/>
          <w:szCs w:val="18"/>
          <w:color w:val="auto"/>
        </w:rPr>
        <w:t>”). Those persons specified above are referred to herein as “</w:t>
      </w:r>
      <w:r>
        <w:rPr>
          <w:rFonts w:ascii="Times New Roman" w:cs="Times New Roman" w:eastAsia="Times New Roman" w:hAnsi="Times New Roman"/>
          <w:sz w:val="18"/>
          <w:szCs w:val="18"/>
          <w:b w:val="1"/>
          <w:bCs w:val="1"/>
          <w:i w:val="1"/>
          <w:iCs w:val="1"/>
          <w:color w:val="auto"/>
        </w:rPr>
        <w:t>Eligible Purchasers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380" w:hanging="724"/>
        <w:spacing w:after="0"/>
        <w:tabs>
          <w:tab w:leader="none" w:pos="1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Warranties and Agreements of the Company</w:t>
      </w:r>
      <w:r>
        <w:rPr>
          <w:rFonts w:ascii="Times New Roman" w:cs="Times New Roman" w:eastAsia="Times New Roman" w:hAnsi="Times New Roman"/>
          <w:sz w:val="18"/>
          <w:szCs w:val="18"/>
          <w:color w:val="auto"/>
        </w:rPr>
        <w:t>. The Company represents, warrants and agrees as follows:</w:t>
      </w:r>
    </w:p>
    <w:p>
      <w:pPr>
        <w:spacing w:after="0" w:line="227" w:lineRule="exact"/>
        <w:rPr>
          <w:rFonts w:ascii="Times New Roman" w:cs="Times New Roman" w:eastAsia="Times New Roman" w:hAnsi="Times New Roman"/>
          <w:sz w:val="18"/>
          <w:szCs w:val="18"/>
          <w:color w:val="auto"/>
        </w:rPr>
      </w:pPr>
    </w:p>
    <w:p>
      <w:pPr>
        <w:jc w:val="both"/>
        <w:ind w:firstLine="1305"/>
        <w:spacing w:after="0" w:line="266" w:lineRule="auto"/>
        <w:tabs>
          <w:tab w:leader="none" w:pos="237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Notes are issued and delivered pursuant to this Agreement, such Notes will not be of the same class (within the meaning of Rule 144A) as securities of the Company that are listed on a national securities exchange registered under Section 6 of the Exchange Act or that are quoted in a United States automated inter-dealer quotation system.</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221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accuracy of your representations and warranties in Section 3(c) and the Initial Purchasers compliance with their agreements set forth herein, the purchase of the Notes pursuant hereto and Exempt Resales are exempt from the registration requirements of the Securities Act, it being understood that the Company makes no representation as to subsequent resales of the Notes.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3" w:name="page114"/>
    <w:bookmarkEnd w:id="113"/>
    <w:p>
      <w:pPr>
        <w:jc w:val="both"/>
        <w:ind w:left="-20" w:firstLine="1305"/>
        <w:spacing w:after="0" w:line="258" w:lineRule="auto"/>
        <w:tabs>
          <w:tab w:leader="none" w:pos="259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form of general solicitation or general advertising within the meaning of Regulation D under the Securities Act (“</w:t>
      </w:r>
      <w:r>
        <w:rPr>
          <w:rFonts w:ascii="Times New Roman" w:cs="Times New Roman" w:eastAsia="Times New Roman" w:hAnsi="Times New Roman"/>
          <w:sz w:val="18"/>
          <w:szCs w:val="18"/>
          <w:b w:val="1"/>
          <w:bCs w:val="1"/>
          <w:i w:val="1"/>
          <w:iCs w:val="1"/>
          <w:color w:val="auto"/>
        </w:rPr>
        <w:t>Regulation D</w:t>
      </w:r>
      <w:r>
        <w:rPr>
          <w:rFonts w:ascii="Times New Roman" w:cs="Times New Roman" w:eastAsia="Times New Roman" w:hAnsi="Times New Roman"/>
          <w:sz w:val="18"/>
          <w:szCs w:val="18"/>
          <w:color w:val="auto"/>
        </w:rPr>
        <w:t>”) (including, but not limited to, advertisements, articles, notices or other communications published in any newspaper, magazine or similar medium or broadcast over television or radio, or any seminar or meeting whose attendees have been invited by any general solicitation or general advertising) was used by the Company, any of its controlled affiliates or any of its representatives (other than you, as to whom the Company makes no representation) in connection with the offer and sale of the Notes.</w:t>
      </w:r>
    </w:p>
    <w:p>
      <w:pPr>
        <w:spacing w:after="0" w:line="183" w:lineRule="exact"/>
        <w:rPr>
          <w:rFonts w:ascii="Times New Roman" w:cs="Times New Roman" w:eastAsia="Times New Roman" w:hAnsi="Times New Roman"/>
          <w:sz w:val="18"/>
          <w:szCs w:val="18"/>
          <w:color w:val="auto"/>
        </w:rPr>
      </w:pPr>
    </w:p>
    <w:p>
      <w:pPr>
        <w:ind w:left="-20" w:firstLine="1305"/>
        <w:spacing w:after="0" w:line="282" w:lineRule="auto"/>
        <w:tabs>
          <w:tab w:leader="none" w:pos="22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Preliminary Offering Memorandum, the Pricing Disclosure Package and the Offering Memorandum, each as of its respective date, contains all the information specified in, and meeting the requirements of, Rule 144A(d)(4) under the Securities Act in all material respects.</w:t>
      </w:r>
    </w:p>
    <w:p>
      <w:pPr>
        <w:spacing w:after="0" w:line="161" w:lineRule="exact"/>
        <w:rPr>
          <w:rFonts w:ascii="Times New Roman" w:cs="Times New Roman" w:eastAsia="Times New Roman" w:hAnsi="Times New Roman"/>
          <w:sz w:val="18"/>
          <w:szCs w:val="18"/>
          <w:color w:val="auto"/>
        </w:rPr>
      </w:pPr>
    </w:p>
    <w:p>
      <w:pPr>
        <w:jc w:val="both"/>
        <w:ind w:left="-20" w:firstLine="1305"/>
        <w:spacing w:after="0" w:line="266" w:lineRule="auto"/>
        <w:tabs>
          <w:tab w:leader="none" w:pos="22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other person directed by the Company has sold or issued any securities that would be integrated with the offering of the Notes contemplated by this Agreement pursuant to the Securities Act, the rules and regulations thereunder or the interpretations thereof by the Commission in any manner that would require registration of the Notes under the Securities Act.</w:t>
      </w:r>
    </w:p>
    <w:p>
      <w:pPr>
        <w:spacing w:after="0" w:line="176" w:lineRule="exact"/>
        <w:rPr>
          <w:rFonts w:ascii="Times New Roman" w:cs="Times New Roman" w:eastAsia="Times New Roman" w:hAnsi="Times New Roman"/>
          <w:sz w:val="18"/>
          <w:szCs w:val="18"/>
          <w:color w:val="auto"/>
        </w:rPr>
      </w:pPr>
    </w:p>
    <w:p>
      <w:pPr>
        <w:jc w:val="both"/>
        <w:ind w:left="-20" w:firstLine="1305"/>
        <w:spacing w:after="0" w:line="258" w:lineRule="auto"/>
        <w:tabs>
          <w:tab w:leader="none" w:pos="217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Offering Memorandum, the Pricing Disclosure Package and the Offering Memorandum have been prepared by the Company for use by the Initial Purchasers in connection with the Exempt Resales. No order or decree preventing or suspending the use of the Preliminary Offering Memorandum, the Pricing Disclosure Package or the Offering Memorandum, or any order asserting that the transactions contemplated by this Agreement are subject to the registration requirements of the Securities Act has been issued, and no proceeding for that purpose has commenced or is pending or, to the knowledge of the Company, is contemplated.</w:t>
      </w:r>
    </w:p>
    <w:p>
      <w:pPr>
        <w:spacing w:after="0" w:line="183" w:lineRule="exact"/>
        <w:rPr>
          <w:rFonts w:ascii="Times New Roman" w:cs="Times New Roman" w:eastAsia="Times New Roman" w:hAnsi="Times New Roman"/>
          <w:sz w:val="18"/>
          <w:szCs w:val="18"/>
          <w:color w:val="auto"/>
        </w:rPr>
      </w:pPr>
    </w:p>
    <w:p>
      <w:pPr>
        <w:jc w:val="both"/>
        <w:ind w:left="-20" w:firstLine="1305"/>
        <w:spacing w:after="0" w:line="258" w:lineRule="auto"/>
        <w:tabs>
          <w:tab w:leader="none" w:pos="22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Offering Memorandum will not, as of its date or as of the Closing Date,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representation or warranty is made as to information contained in or omitted from the Offering Memorandum in reliance upon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conformity with written information furnished to the Company through the Representative by or on behalf of any Initial Purchaser specifically for inclusion therein, which information is specified in Section 8(e).</w:t>
      </w:r>
    </w:p>
    <w:p>
      <w:pPr>
        <w:spacing w:after="0" w:line="183" w:lineRule="exact"/>
        <w:rPr>
          <w:rFonts w:ascii="Times New Roman" w:cs="Times New Roman" w:eastAsia="Times New Roman" w:hAnsi="Times New Roman"/>
          <w:sz w:val="18"/>
          <w:szCs w:val="18"/>
          <w:color w:val="auto"/>
        </w:rPr>
      </w:pPr>
    </w:p>
    <w:p>
      <w:pPr>
        <w:jc w:val="both"/>
        <w:ind w:left="-20" w:firstLine="1305"/>
        <w:spacing w:after="0" w:line="258" w:lineRule="auto"/>
        <w:tabs>
          <w:tab w:leader="none" w:pos="225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Pricing Disclosure Package did not, as of the Applicable Time,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Pricing Disclosure Package made in reliance upon and in conformity with written information furnished to the Company through the Representative by or on behalf of any Initial Purchasers specifically for inclusion therein, which information is specified in Section 8(e).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14" w:name="page115"/>
    <w:bookmarkEnd w:id="114"/>
    <w:p>
      <w:pPr>
        <w:jc w:val="both"/>
        <w:ind w:left="-20" w:firstLine="1305"/>
        <w:spacing w:after="0" w:line="261" w:lineRule="auto"/>
        <w:tabs>
          <w:tab w:leader="none" w:pos="228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made any offer to sell or solicitation of an offer to buy the Notes that would constitute a “free writing prospectus” (if the offering of the Notes was made pursuant to a registered offering under the Securities Act), as defined in Rule 405 under the Securities Act (a “</w:t>
      </w:r>
      <w:r>
        <w:rPr>
          <w:rFonts w:ascii="Times New Roman" w:cs="Times New Roman" w:eastAsia="Times New Roman" w:hAnsi="Times New Roman"/>
          <w:sz w:val="18"/>
          <w:szCs w:val="18"/>
          <w:b w:val="1"/>
          <w:bCs w:val="1"/>
          <w:i w:val="1"/>
          <w:iCs w:val="1"/>
          <w:color w:val="auto"/>
        </w:rPr>
        <w:t>Free Writing Offering Document</w:t>
      </w:r>
      <w:r>
        <w:rPr>
          <w:rFonts w:ascii="Times New Roman" w:cs="Times New Roman" w:eastAsia="Times New Roman" w:hAnsi="Times New Roman"/>
          <w:sz w:val="18"/>
          <w:szCs w:val="18"/>
          <w:color w:val="auto"/>
        </w:rPr>
        <w:t>”) without the prior consent of the Representative; any such Free Writing Offering Document the use of which has been previously consented to by the Initial Purchasers is listed on Schedule III.</w:t>
      </w:r>
    </w:p>
    <w:p>
      <w:pPr>
        <w:spacing w:after="0" w:line="180" w:lineRule="exact"/>
        <w:rPr>
          <w:rFonts w:ascii="Times New Roman" w:cs="Times New Roman" w:eastAsia="Times New Roman" w:hAnsi="Times New Roman"/>
          <w:sz w:val="18"/>
          <w:szCs w:val="18"/>
          <w:color w:val="auto"/>
        </w:rPr>
      </w:pPr>
    </w:p>
    <w:p>
      <w:pPr>
        <w:jc w:val="both"/>
        <w:ind w:left="-20" w:firstLine="1305"/>
        <w:spacing w:after="0" w:line="256" w:lineRule="auto"/>
        <w:tabs>
          <w:tab w:leader="none" w:pos="24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Free Writing Offering Document listed in Schedule III(B) hereto, when taken together with the Pricing Disclosure Package, did not, as of the Applicable Time, contain any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Pricing Disclosure Package (or such Free Writing Offering Document listed in Schedule III(B) hereto) in reliance upon and in conformity with written information furnished to the Company through the Representative by or on behalf of any Initial Purchaser specifically for inclusion therein, which information is specified in Section 8(e).</w:t>
      </w:r>
    </w:p>
    <w:p>
      <w:pPr>
        <w:spacing w:after="0" w:line="187" w:lineRule="exact"/>
        <w:rPr>
          <w:rFonts w:ascii="Times New Roman" w:cs="Times New Roman" w:eastAsia="Times New Roman" w:hAnsi="Times New Roman"/>
          <w:sz w:val="18"/>
          <w:szCs w:val="18"/>
          <w:color w:val="auto"/>
        </w:rPr>
      </w:pPr>
    </w:p>
    <w:p>
      <w:pPr>
        <w:jc w:val="both"/>
        <w:ind w:left="-20" w:firstLine="1305"/>
        <w:spacing w:after="0" w:line="261" w:lineRule="auto"/>
        <w:tabs>
          <w:tab w:leader="none" w:pos="239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Act Reports, when they were or are filed with the Commission, conformed or will conform in all material respects to the applicable requirements of the Exchange Act and the applicable rules and regulations of the Commission thereunder. The Exchange Act Reports did not and will not, when filed with the Commission, contain an untrue statement of material fact or omit to state a material fact necessary in order to make the statements therein, in the light of the circumstances under which they were made, not misleading.</w:t>
      </w:r>
    </w:p>
    <w:p>
      <w:pPr>
        <w:spacing w:after="0" w:line="180" w:lineRule="exact"/>
        <w:rPr>
          <w:rFonts w:ascii="Times New Roman" w:cs="Times New Roman" w:eastAsia="Times New Roman" w:hAnsi="Times New Roman"/>
          <w:sz w:val="18"/>
          <w:szCs w:val="18"/>
          <w:color w:val="auto"/>
        </w:rPr>
      </w:pPr>
    </w:p>
    <w:p>
      <w:pPr>
        <w:jc w:val="both"/>
        <w:ind w:left="-20" w:firstLine="1305"/>
        <w:spacing w:after="0" w:line="253" w:lineRule="auto"/>
        <w:tabs>
          <w:tab w:leader="none" w:pos="223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and is validly existing as a corporation in good standing under the laws of the State of Delaware, with corporate power and authority to own or lease its properties and conduct its business as described in the Pricing Disclosure Package and the Offering Memorandum. The subsidiaries listed in Exhibit 21.1 to Item 15 of the Annual Report on Form 10-K filed with the Commission on March 18, 2019 and the subsidiaries listed in Schedule V hereto are the only subsidiaries of the Company (collectively, the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Each of the Subsidiaries has been duly organized and is validly existing as a corporation, limited liability company or similar entity in good standing (to the extent that the concept of “good standing” exists in a specified jurisdiction) under the laws of its jurisdiction of organization, with requisite power and authority to own or lease its properties and conduct its business as described in the Pricing Disclosure Package and Offering Memorandum. The Company and each of the Subsidiaries are duly qualified to transact business in all jurisdictions in which the conduct of their business requires such qualification, except where the failure to be so qualified would not either (i) have, individually or in the aggregate, a material adverse effect on the earnings, business, management, properties, assets, rights, operations, condition (financial or otherwise), or prospects of the Company and the Subsidiaries, taken as a whole, or (ii) prevent the consummation of the transactions contemplated hereby (the occurrence of any such effect or any such prevention described in the foregoing clauses (i) and (ii) being referred to as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115" w:name="page116"/>
    <w:bookmarkEnd w:id="115"/>
    <w:p>
      <w:pPr>
        <w:jc w:val="both"/>
        <w:ind w:left="-20" w:firstLine="1305"/>
        <w:spacing w:after="0" w:line="258" w:lineRule="auto"/>
        <w:tabs>
          <w:tab w:leader="none" w:pos="224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in the section of each of the Pricing Disclosure Package and the Offering Memorandum titled “Description of Capital Stock”, and all of the issued shares of capital stock of the Company have been duly authorized and validly issued and are fully paid and non-assessable. The outstanding shares of capital stock of each of the Subsidiaries have been duly authorized and validly issued, are fully paid and non-assessable and are owned by the Company or another Subsidiary free and clear of all liens, encumbrances and equities and claims, except for such liens, encumbrances, equities or claims as could not, in the aggregate,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left="-20" w:firstLine="1305"/>
        <w:spacing w:after="0" w:line="256" w:lineRule="auto"/>
        <w:tabs>
          <w:tab w:leader="none" w:pos="24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execute, deliver and perform its obligations under the Indenture. The Indenture has been duly and validly authorized by the Company, and upon its execution and delivery and, assuming due authorization, execution and delivery by the Trustee, will constitute a valid and binding agreement of the Company, enforceable against the Company in accordance with its terms, except as such enforceability may be limited by bankruptcy, fraudulent conveyance, insolvency, reorganization, moratorium, and other laws relating to or affecting creditors’ rights generally and by general equitable principles (regardless of whether such enforceability is considered in a proceeding in equity or at law). The Indenture will conform to the description thereof in each of the Pricing Disclosure Package and the Offering Memorandum.</w:t>
      </w:r>
    </w:p>
    <w:p>
      <w:pPr>
        <w:spacing w:after="0" w:line="187" w:lineRule="exact"/>
        <w:rPr>
          <w:rFonts w:ascii="Times New Roman" w:cs="Times New Roman" w:eastAsia="Times New Roman" w:hAnsi="Times New Roman"/>
          <w:sz w:val="18"/>
          <w:szCs w:val="18"/>
          <w:color w:val="auto"/>
        </w:rPr>
      </w:pPr>
    </w:p>
    <w:p>
      <w:pPr>
        <w:jc w:val="both"/>
        <w:ind w:left="-20" w:firstLine="1305"/>
        <w:spacing w:after="0" w:line="255" w:lineRule="auto"/>
        <w:tabs>
          <w:tab w:leader="none" w:pos="216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execute, issue, sell and perform its obligations under the Notes. The Notes have been duly authorized by the Company and, when duly executed by the Company in accordance with the terms of the Indenture, assuming due authentication of the Notes by the Trustee, upon delivery to the Initial Purchasers against payment therefor in accordance with the terms hereof, will be validly issued and delivered and will constitute valid and binding obligations of the Company entitled to the benefits of the Indenture, enforceable against the Company in accordance with their terms, except as such enforceability may be limited by bankruptcy, fraudulent conveyance, insolvency, reorganization, moratorium, and other laws relating to or affecting creditors’ rights generally and by general equitable principles (regardless of whether such enforceability is considered in a proceeding in equity or at law). The Notes will conform in all material respects to the description thereof in each of the Pricing Disclosure Package and the Offering Memorandum.</w:t>
      </w:r>
    </w:p>
    <w:p>
      <w:pPr>
        <w:spacing w:after="0" w:line="185" w:lineRule="exact"/>
        <w:rPr>
          <w:rFonts w:ascii="Times New Roman" w:cs="Times New Roman" w:eastAsia="Times New Roman" w:hAnsi="Times New Roman"/>
          <w:sz w:val="18"/>
          <w:szCs w:val="18"/>
          <w:color w:val="auto"/>
        </w:rPr>
      </w:pPr>
    </w:p>
    <w:p>
      <w:pPr>
        <w:jc w:val="both"/>
        <w:ind w:left="-20" w:firstLine="1305"/>
        <w:spacing w:after="0" w:line="258" w:lineRule="auto"/>
        <w:tabs>
          <w:tab w:leader="none" w:pos="218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issue the Underlying Common Stock issuable upon conversion of the Notes. The Underlying Common Stock has been duly and validly authorized by the Company and, when issued upon conversion of the Notes in accordance with the terms of the Notes, will be validly issued, fully paid and non-assessable, and the issuance of the Underlying Common Stock will not be subject to any preemptive or similar rights. The Underlying Common Stock will conform in all material respects to the description thereof in each of the Pricing Disclosure Package and the Offering Memorandum.</w:t>
      </w:r>
    </w:p>
    <w:p>
      <w:pPr>
        <w:spacing w:after="0" w:line="183" w:lineRule="exact"/>
        <w:rPr>
          <w:rFonts w:ascii="Times New Roman" w:cs="Times New Roman" w:eastAsia="Times New Roman" w:hAnsi="Times New Roman"/>
          <w:sz w:val="18"/>
          <w:szCs w:val="18"/>
          <w:color w:val="auto"/>
        </w:rPr>
      </w:pPr>
    </w:p>
    <w:p>
      <w:pPr>
        <w:jc w:val="both"/>
        <w:ind w:left="-20" w:firstLine="1305"/>
        <w:spacing w:after="0" w:line="266" w:lineRule="auto"/>
        <w:tabs>
          <w:tab w:leader="none" w:pos="245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execute, deliver, and perform its obligations under this Agreement. The execution and delivery of, and the performance by the Company of its obligations under, this Agreement has been duly and validly authorized by all necessary corporate action on the part of the Company, and this Agreement has been duly executed and delivered by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16" w:name="page117"/>
    <w:bookmarkEnd w:id="116"/>
    <w:p>
      <w:pPr>
        <w:jc w:val="both"/>
        <w:ind w:left="-20" w:firstLine="1305"/>
        <w:spacing w:after="0" w:line="253" w:lineRule="auto"/>
        <w:tabs>
          <w:tab w:leader="none" w:pos="220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is or, with the giving of notice or lapse of time or both, would currently be (i) in violation of its certificate or articles of incorporation, by-laws, certificate of formation, limited liability agreement, partnership agreement or other organizational documents, as applicable, or (ii) in violation of or in default under any agreement, lease, contract, indenture or other instrument or obligation to which it is a party or by which it, or any of its properties, is bound other than as disclosed in the Pricing Disclosure Package and the Offering Memorandum, including documents incorporated by reference therein, and, solely with respect to this clause (ii), which violation or default would have a Material Adverse Effect. The issuance and sale of the Notes by the Company and the issuance of the Underlying Common Stock upon conversion of the Notes, the execution, delivery and performance by the Company of the Notes, the Indenture, and this Agreement, the application of the proceeds from the sale of the Notes as described under “Use of Proceeds” in each of the Pricing Disclosure Package and the Offering Memorandum and the consummation of the transactions contemplated hereby and thereby, do not and will not conflict with or result in a breach of any of the terms or provisions of, or constitute a default under, any indenture, mortgage, deed of trust or other agreement or instrument to which the Company or any Subsidiary is a party or by which the Company or any Subsidiary or any of their respective properties is bound except as would not, individually or in the aggregate, have a Material Adverse Effect, or of the certificate or articles of incorporation or by-laws of the Company or any law, order, rule or regulation judgment, order, writ or decree applicable to the Company or any Subsidiary of any court or of any government, regulatory body or administrative agency or other governmental body having jurisdiction.</w:t>
      </w:r>
    </w:p>
    <w:p>
      <w:pPr>
        <w:spacing w:after="0" w:line="188" w:lineRule="exact"/>
        <w:rPr>
          <w:rFonts w:ascii="Times New Roman" w:cs="Times New Roman" w:eastAsia="Times New Roman" w:hAnsi="Times New Roman"/>
          <w:sz w:val="18"/>
          <w:szCs w:val="18"/>
          <w:color w:val="auto"/>
        </w:rPr>
      </w:pPr>
    </w:p>
    <w:p>
      <w:pPr>
        <w:jc w:val="both"/>
        <w:ind w:left="-20" w:firstLine="1305"/>
        <w:spacing w:after="0" w:line="255" w:lineRule="auto"/>
        <w:tabs>
          <w:tab w:leader="none" w:pos="21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approval, consent, order, authorization, designation, declaration or filing by or with any regulatory, administrative or other governmental body necessary for the issuance and sale of the Notes by the Company and the issuance of the Underlying Common Stock upon conversion of the Notes, the execution, delivery and performance by the Company of the Notes, the Indenture and this Agreement, the application of the proceeds from the sale of the Notes as described under “Use of Proceeds” in each of the Pricing Disclosure Package and the Offering Memorandum and the consummation of the transactions contemplated hereby and thereby (except such additional steps as may be required by the Commission or Financial Industry Regulatory Authority, Inc.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or such additional steps as may be necessary to qualify the Shares for public offering by the Underwriters under state securities or Blue Sky laws) has been obtained or made and is in full force and effect.</w:t>
      </w:r>
    </w:p>
    <w:p>
      <w:pPr>
        <w:spacing w:after="0" w:line="189" w:lineRule="exact"/>
        <w:rPr>
          <w:rFonts w:ascii="Times New Roman" w:cs="Times New Roman" w:eastAsia="Times New Roman" w:hAnsi="Times New Roman"/>
          <w:sz w:val="18"/>
          <w:szCs w:val="18"/>
          <w:color w:val="auto"/>
        </w:rPr>
      </w:pPr>
    </w:p>
    <w:p>
      <w:pPr>
        <w:jc w:val="both"/>
        <w:ind w:left="-20" w:firstLine="1305"/>
        <w:spacing w:after="0" w:line="253" w:lineRule="auto"/>
        <w:tabs>
          <w:tab w:leader="none" w:pos="2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and the Subsidiaries, together with related notes and schedules as set forth or incorporated by reference in the Pricing Disclosure Package and the Offering Memorandum, present fairly in all material respects the financial position and the results of operations and cash flows of the Company and the consolidated Subsidiaries, at the indicated dates and for the indicated periods. Such financial statements and related schedules have been prepared in accordance with U.S.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consistently applied throughout the periods involved, except as disclosed therein, and all adjustments necessary for a fair presentation of results for such periods have been made. The summary consolidated financial and statistical data included or incorporated by reference in the Pricing Disclosure Package and the Offering Memorandum present fairly the information shown therein and such data has been compiled on a basis consistent with the financial statements presented therein and the books and records of the Company. The Company and the Subsidiaries do not have any material liabilities or obligations, direct or contingent (including any off-balance sheet obligations or any “variable interest entities” within the meaning of Financial Accounting Standards Board Interpretation No. 46), not disclosed in the Pricing Disclosure Package and the Offering Memorandum. There are no financial statements (historical or pro forma) that are required to be included in the Pricing Disclosure Package or the Offering Memorandum that are not included as required. The interactive data in eXtensible Business Reporting Language included or incorporated by reference in the Pricing Disclosure Package and the Offering Memorandum fairly present the information called for in all material respects and have been prepared in accordance with the Commission’s rules and guidelines applicable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17" w:name="page118"/>
    <w:bookmarkEnd w:id="117"/>
    <w:p>
      <w:pPr>
        <w:jc w:val="both"/>
        <w:ind w:left="-20" w:firstLine="1305"/>
        <w:spacing w:after="0" w:line="261" w:lineRule="auto"/>
        <w:tabs>
          <w:tab w:leader="none" w:pos="228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 who have certified certain of the financial statements filed with the Commission as part of, or incorporated by reference in, the Pricing Disclosure Package and the Offering Memorandum, is an independent registered public accounting firm with respect to the Company and the Subsidiaries within the meaning of the Securities Act and the applicable Rules and Regulations and the Public Company Accounting Oversight Board (United States) (the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20" w:firstLine="1305"/>
        <w:spacing w:after="0" w:line="253" w:lineRule="auto"/>
        <w:tabs>
          <w:tab w:leader="none" w:pos="224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such term is defined in Rule 13a-15(f) of the Exchange Act) that complies with the requirements of the Exchange Act and that has been designed by, or under the supervision of, the Company’s principal executive and principal financial officers, to provide reasonable assurance regarding the reliability of financial reporting and the preparation of financial statements for external purposes in accordance with GAAP. The Company maintains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GAAP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Pricing Disclosure Package and the Offering Memorandum fairly present the information called for in all material respects and are prepared in accordance in all material respects with the Commission’s rules and guidelines applicable thereto. As of the date of the most recent balance sheet of the Company and its consolidated subsidiaries reviewed or audited by PricewaterhouseCoopers LLP and reviewed by the audit committee of the board of directors of the Company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there were no material weaknesses in the Company’s internal controls.</w:t>
      </w:r>
    </w:p>
    <w:p>
      <w:pPr>
        <w:spacing w:after="0" w:line="190" w:lineRule="exact"/>
        <w:rPr>
          <w:rFonts w:ascii="Times New Roman" w:cs="Times New Roman" w:eastAsia="Times New Roman" w:hAnsi="Times New Roman"/>
          <w:sz w:val="18"/>
          <w:szCs w:val="18"/>
          <w:color w:val="auto"/>
        </w:rPr>
      </w:pPr>
    </w:p>
    <w:p>
      <w:pPr>
        <w:jc w:val="both"/>
        <w:ind w:left="-20" w:firstLine="1305"/>
        <w:spacing w:after="0" w:line="256" w:lineRule="auto"/>
        <w:tabs>
          <w:tab w:leader="none" w:pos="217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“disclosure controls and procedures” (as defined in Rules 13a-14(c) and 15d-14(c) under the Exchange Act); the Company’s “disclosure controls and procedures” are reasonably designed to ensure that all information (both financial and non-financial) required to be disclosed by the Company in the reports that it files or submits under the Exchange Act is recorded, processed, summarized and reported within the time periods specified in the rules and regulations of the Exchange Act,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18" w:name="page119"/>
    <w:bookmarkEnd w:id="118"/>
    <w:p>
      <w:pPr>
        <w:ind w:left="-20" w:firstLine="1305"/>
        <w:spacing w:after="0" w:line="282" w:lineRule="auto"/>
        <w:tabs>
          <w:tab w:leader="none" w:pos="231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all applicable provisions of the Sarbanes-Oxley Act of 2002, as amended, and all rules and regulations promulgated thereunder or supplementing the provisions thereof that are in effect.</w:t>
      </w:r>
    </w:p>
    <w:p>
      <w:pPr>
        <w:spacing w:after="0" w:line="161" w:lineRule="exact"/>
        <w:rPr>
          <w:rFonts w:ascii="Times New Roman" w:cs="Times New Roman" w:eastAsia="Times New Roman" w:hAnsi="Times New Roman"/>
          <w:sz w:val="18"/>
          <w:szCs w:val="18"/>
          <w:color w:val="auto"/>
        </w:rPr>
      </w:pPr>
    </w:p>
    <w:p>
      <w:pPr>
        <w:jc w:val="both"/>
        <w:ind w:left="-20" w:firstLine="1305"/>
        <w:spacing w:after="0" w:line="255" w:lineRule="auto"/>
        <w:tabs>
          <w:tab w:leader="none" w:pos="224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respective dates of which information is given in the Pricing Disclosure Package and the Offering Memorandum, as each may be amended or supplemented, there has not been any material adverse change or any development involving a prospective material adverse change in or affecting the earnings, business, management, properties, assets, rights, operations, condition (financial or otherwise), or prospects of the Company and the Subsidiaries taken as a whole, whether or not occurring in the ordinary course of business, and there has not been any material transaction entered into or any material transaction that is probable of being entered into by the Company or the Subsidiaries, other than transactions in the ordinary course of business and changes and transactions described in the Pricing Disclosure Package and the Offering Memorandum, as each may be amended or supplemented. The Company and the Subsidiaries have no material contingent obligations which are not disclosed in the Company’s financial statements which are included in the Pricing Disclosure Package and the Offering Memorandum.</w:t>
      </w:r>
    </w:p>
    <w:p>
      <w:pPr>
        <w:spacing w:after="0" w:line="185" w:lineRule="exact"/>
        <w:rPr>
          <w:rFonts w:ascii="Times New Roman" w:cs="Times New Roman" w:eastAsia="Times New Roman" w:hAnsi="Times New Roman"/>
          <w:sz w:val="18"/>
          <w:szCs w:val="18"/>
          <w:color w:val="auto"/>
        </w:rPr>
      </w:pPr>
    </w:p>
    <w:p>
      <w:pPr>
        <w:jc w:val="both"/>
        <w:ind w:left="-20" w:firstLine="1305"/>
        <w:spacing w:after="0" w:line="256" w:lineRule="auto"/>
        <w:tabs>
          <w:tab w:leader="none" w:pos="225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own any real property. The Company and the Subsidiaries have good title to all of the material properties and assets reflected in the consolidated financial statements hereinabove described or described in the Pricing Disclosure Package and the Offering Memorandum, subject to no lien, mortgage, pledge, charge or encumbrance of any kind except those reflected in such financial statements or described in the Pricing Disclosure Package and the Offering Memorandum or which are not material in amount. The Company and the Subsidiaries occupy their leased properties under valid and binding leases conforming in all material respects to the description thereof set forth in the Pricing Disclosure Package and the Offering Memorandum.</w:t>
      </w:r>
    </w:p>
    <w:p>
      <w:pPr>
        <w:spacing w:after="0" w:line="184" w:lineRule="exact"/>
        <w:rPr>
          <w:sz w:val="20"/>
          <w:szCs w:val="20"/>
          <w:color w:val="auto"/>
        </w:rPr>
      </w:pPr>
    </w:p>
    <w:p>
      <w:pPr>
        <w:jc w:val="both"/>
        <w:ind w:left="-20" w:firstLine="1305"/>
        <w:spacing w:after="0" w:line="257" w:lineRule="auto"/>
        <w:tabs>
          <w:tab w:leader="none" w:pos="222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hold all licenses, certificates and permits (collectively, “</w:t>
      </w:r>
      <w:r>
        <w:rPr>
          <w:rFonts w:ascii="Times New Roman" w:cs="Times New Roman" w:eastAsia="Times New Roman" w:hAnsi="Times New Roman"/>
          <w:sz w:val="18"/>
          <w:szCs w:val="18"/>
          <w:b w:val="1"/>
          <w:bCs w:val="1"/>
          <w:i w:val="1"/>
          <w:iCs w:val="1"/>
          <w:color w:val="auto"/>
        </w:rPr>
        <w:t>Governmental Licenses</w:t>
      </w:r>
      <w:r>
        <w:rPr>
          <w:rFonts w:ascii="Times New Roman" w:cs="Times New Roman" w:eastAsia="Times New Roman" w:hAnsi="Times New Roman"/>
          <w:sz w:val="18"/>
          <w:szCs w:val="18"/>
          <w:color w:val="auto"/>
        </w:rPr>
        <w:t>”) from governmental authorities which are necessary to the conduct of their respective businesses, except where the failure to hold such licenses, certificates and permits would not have a Material Adverse Effect. The Company and the Subsidiaries are in compliance with the terms and conditions of all Governmental Licenses, and all of the Governmental Licenses are valid and in full force and effect, except where the failure to be in such compliance would not have a Material Adverse Effect. Neither the Company nor any of the Subsidiaries has received any written notice of proceedings relating to the revocation or modification of any Governmental License.</w:t>
      </w:r>
    </w:p>
    <w:p>
      <w:pPr>
        <w:spacing w:after="0" w:line="186" w:lineRule="exact"/>
        <w:rPr>
          <w:rFonts w:ascii="Times New Roman" w:cs="Times New Roman" w:eastAsia="Times New Roman" w:hAnsi="Times New Roman"/>
          <w:sz w:val="18"/>
          <w:szCs w:val="18"/>
          <w:color w:val="auto"/>
        </w:rPr>
      </w:pPr>
    </w:p>
    <w:p>
      <w:pPr>
        <w:jc w:val="both"/>
        <w:ind w:left="-20" w:firstLine="1305"/>
        <w:spacing w:after="0" w:line="252" w:lineRule="auto"/>
        <w:tabs>
          <w:tab w:leader="none" w:pos="220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Pricing Disclosure Package and the Offering Memorandum, the Company and the Subsidiaries each own, possess, have rights to, or can acquire on reasonable terms all material patents, patent rights, trademarks, trade names, service marks, service names, copyrights, license rights, know-how (including trade secrets and other unpatented and unpatentable proprietary or confidential information, systems or procedures) and other intellectual property rights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necessary to carry on their respective business, except where the failure to own or possess or inability to acquire on reasonable terms any such Intellectual Property would not have a Material Adverse Effect. There are no outstanding options, licenses or agreements of any kind relating to the Intellectual Property of the Company that are required to be described in the Pricing Disclosure Package and the Offering Memorandum and that are not described in all material respects. None of the technology employed by the Company or any of the Subsidiaries has been obtained or is being used by the Company in violation of any contractual obligation binding on the Company, any of the Subsidiaries or, to the knowledge of the Company, any of the officers, directors or employees of the Company or any of the Subsidiaries, other than such violations as would not individually or in the aggregate if the subject of an unfavorable decision, ruling or finding, have a Material Adverse Effect. To the Company’s knowledge, neither the Company nor the Subsidiaries has infringed or violated the valid and enforceable Intellectual Property of any other person that would, individually or in the aggregate, have a Material Adverse Effect. Except as described in the Pricing Disclosure Package and the Offering Memorandum, neither the Company nor any of the Subsidiaries has received any written or oral notice or communications alleging that the Company or any of the Subsidiaries has violated, infringed or conflicted with, or by conducting its business as set forth in the Pricing Disclosure Package and the Offering Memorandum, would violate, infringe or conflict with, any of the Intellectual Property of any other person or entity, other than such violations, infringements or conflicts which, individually or in the aggregate if the subject of an unfavorable decision, ruling or finding, would not have a Material Adverse Effect. The Company knows of no infringement by others of Intellectual Property owned by or licensed to the Company or any of the Subsidiaries, which would have a Material Adverse Effect.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19" w:name="page120"/>
    <w:bookmarkEnd w:id="119"/>
    <w:p>
      <w:pPr>
        <w:jc w:val="both"/>
        <w:ind w:left="-20" w:firstLine="1305"/>
        <w:spacing w:after="0" w:line="266" w:lineRule="auto"/>
        <w:tabs>
          <w:tab w:leader="none" w:pos="21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claim or proceeding pending or, to the knowledge of the Company, threatened against the Company or any of the Subsidiaries before any court or administrative agency or otherwise which if determined adversely to the Company or any of the Subsidiaries would have a Material Adverse Effect, except as set forth in the Pricing Disclosure Package and the Offering Memorandum.</w:t>
      </w:r>
    </w:p>
    <w:p>
      <w:pPr>
        <w:spacing w:after="0" w:line="176" w:lineRule="exact"/>
        <w:rPr>
          <w:rFonts w:ascii="Times New Roman" w:cs="Times New Roman" w:eastAsia="Times New Roman" w:hAnsi="Times New Roman"/>
          <w:sz w:val="18"/>
          <w:szCs w:val="18"/>
          <w:color w:val="auto"/>
        </w:rPr>
      </w:pPr>
    </w:p>
    <w:p>
      <w:pPr>
        <w:jc w:val="both"/>
        <w:ind w:left="-20" w:firstLine="1305"/>
        <w:spacing w:after="0" w:line="255" w:lineRule="auto"/>
        <w:tabs>
          <w:tab w:leader="none" w:pos="237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“environmental laws”), owns or operates any real property that is, to the knowledge of the Company, contaminated with any substance that is subject to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189" w:lineRule="exact"/>
        <w:rPr>
          <w:rFonts w:ascii="Times New Roman" w:cs="Times New Roman" w:eastAsia="Times New Roman" w:hAnsi="Times New Roman"/>
          <w:sz w:val="18"/>
          <w:szCs w:val="18"/>
          <w:color w:val="auto"/>
        </w:rPr>
      </w:pPr>
    </w:p>
    <w:p>
      <w:pPr>
        <w:jc w:val="both"/>
        <w:ind w:left="-20" w:firstLine="1305"/>
        <w:spacing w:after="0" w:line="255" w:lineRule="auto"/>
        <w:tabs>
          <w:tab w:leader="none" w:pos="245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filed all federal, state, local and foreign tax returns (or timely filed applicable extensions therefor) which have been required to be filed and have paid all taxes indicated by such returns and all assessments received by them to the extent that such taxes have become due, except for such taxes as are being contested in good faith and for which an adequate reserve or accrual has been established in accordance with GAAP or which would not, singularly or in the aggregate, have a Material Adverse Effect. The accruals and reserves on the books and records of the Company and the Subsidiaries in respect of tax liabilities for any taxable period are adequate to meet any assessments and related liabilities for any such period, and the Company has no knowledge of any actual or proposed additional material tax assessments with respect to the Company or its Subsidiaries for any such period. Since December 31, 2018, the Company and the Subsidiaries have not incurred any liability for taxes other than in the ordinary course of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20" w:name="page121"/>
    <w:bookmarkEnd w:id="120"/>
    <w:p>
      <w:pPr>
        <w:jc w:val="both"/>
        <w:ind w:left="-8" w:firstLine="1305"/>
        <w:spacing w:after="0" w:line="261" w:lineRule="auto"/>
        <w:tabs>
          <w:tab w:leader="none" w:pos="227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after giving effect to the offering and sale of the Notes contemplated hereunder and the application of the net proceeds from such sale as described under “Use of Proceeds” in each of the Pricing Disclosure Package and the Offering Memorandum, will not be required to register as an “investment company” within the meaning of such term under the Investment Company Act of 1940, as amended, and the rules and regulations of the Commission thereunder.</w:t>
      </w:r>
    </w:p>
    <w:p>
      <w:pPr>
        <w:spacing w:after="0" w:line="180" w:lineRule="exact"/>
        <w:rPr>
          <w:rFonts w:ascii="Times New Roman" w:cs="Times New Roman" w:eastAsia="Times New Roman" w:hAnsi="Times New Roman"/>
          <w:sz w:val="18"/>
          <w:szCs w:val="18"/>
          <w:color w:val="auto"/>
        </w:rPr>
      </w:pPr>
    </w:p>
    <w:p>
      <w:pPr>
        <w:jc w:val="both"/>
        <w:ind w:left="-8" w:firstLine="1305"/>
        <w:spacing w:after="0" w:line="266" w:lineRule="auto"/>
        <w:tabs>
          <w:tab w:leader="none" w:pos="225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Company’s knowledge, any of its affiliates, has taken or may take, directly or indirectly, any action designed to cause or result in, or which has constituted or which might reasonably be expected to constitute, the stabilization or manipulation of the price of any security of the Company in connection with the offering of the Notes in violation of Regulation M.</w:t>
      </w:r>
    </w:p>
    <w:p>
      <w:pPr>
        <w:spacing w:after="0" w:line="176" w:lineRule="exact"/>
        <w:rPr>
          <w:rFonts w:ascii="Times New Roman" w:cs="Times New Roman" w:eastAsia="Times New Roman" w:hAnsi="Times New Roman"/>
          <w:sz w:val="18"/>
          <w:szCs w:val="18"/>
          <w:color w:val="auto"/>
        </w:rPr>
      </w:pPr>
    </w:p>
    <w:p>
      <w:pPr>
        <w:jc w:val="both"/>
        <w:ind w:left="-8" w:firstLine="1305"/>
        <w:spacing w:after="0" w:line="254" w:lineRule="auto"/>
        <w:tabs>
          <w:tab w:leader="none" w:pos="231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nor any director or officer of the Company, nor, to the knowledge of the Company, any agent, employee or affiliate of the Company or any of the Subsidiaries, in each case, acting on behalf of the Company, has in the course of its actions for, or on behalf of, the Company or any of the Subsidiaries: (i) made any unlawful contribution, gift or other unlawful expense relating to political activity; (ii) made any direct or indirect bribe, kickback, rebate, payoff, influence payment, or otherwise unlawfully provided anything of value, to any “foreign official” (as defined in the U.S. Foreign Corrupt Practices Act of 1977, as amended (collectively, the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or domestic government official; or</w:t>
      </w:r>
    </w:p>
    <w:p>
      <w:pPr>
        <w:spacing w:after="0" w:line="3"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0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FCPA, the Bribery Act 2010 of the United Kingdom, as amended (the “</w:t>
      </w:r>
      <w:r>
        <w:rPr>
          <w:rFonts w:ascii="Times New Roman" w:cs="Times New Roman" w:eastAsia="Times New Roman" w:hAnsi="Times New Roman"/>
          <w:sz w:val="18"/>
          <w:szCs w:val="18"/>
          <w:b w:val="1"/>
          <w:bCs w:val="1"/>
          <w:i w:val="1"/>
          <w:iCs w:val="1"/>
          <w:color w:val="auto"/>
        </w:rPr>
        <w:t>Bribery Act 2010</w:t>
      </w:r>
      <w:r>
        <w:rPr>
          <w:rFonts w:ascii="Times New Roman" w:cs="Times New Roman" w:eastAsia="Times New Roman" w:hAnsi="Times New Roman"/>
          <w:sz w:val="18"/>
          <w:szCs w:val="18"/>
          <w:color w:val="auto"/>
        </w:rPr>
        <w:t>”), or any other applicable anti-corruption or anti-bribery statute or regulation. The Company and the Subsidiaries and, to the knowledge of the Company, the Company’s affiliates, have conducted their respective businesses in compliance with the FCPA, Bribery Act 2010, and all other applicable anti-corruption and anti-bribery statutes and regulations, and have instituted and maintain policies and procedures designed to ensure, and which are reasonably expected to ensure, continued compliance therewith.</w:t>
      </w:r>
    </w:p>
    <w:p>
      <w:pPr>
        <w:spacing w:after="0" w:line="187" w:lineRule="exact"/>
        <w:rPr>
          <w:rFonts w:ascii="Times New Roman" w:cs="Times New Roman" w:eastAsia="Times New Roman" w:hAnsi="Times New Roman"/>
          <w:sz w:val="18"/>
          <w:szCs w:val="18"/>
          <w:color w:val="auto"/>
        </w:rPr>
      </w:pPr>
    </w:p>
    <w:p>
      <w:pPr>
        <w:jc w:val="both"/>
        <w:ind w:left="-8" w:firstLine="1305"/>
        <w:spacing w:after="0" w:line="256" w:lineRule="auto"/>
        <w:tabs>
          <w:tab w:leader="none" w:pos="231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the rules and regulations thereunder and any related or similar rules, regulations or guidelines, that have been issued, administered or enforced by any governmental agency (collectively, the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or non-governmental authority involving the Company or any of its subsidiaries with respect to the Money Laundering Laws is pending or, to the knowledge of the Company, threatened</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21" w:name="page122"/>
    <w:bookmarkEnd w:id="121"/>
    <w:p>
      <w:pPr>
        <w:jc w:val="both"/>
        <w:ind w:left="-20" w:firstLine="1305"/>
        <w:spacing w:after="0" w:line="266" w:lineRule="auto"/>
        <w:tabs>
          <w:tab w:leader="none" w:pos="219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Subsidiaries, nor any of their directors, officers or employees, nor, to the Company’s knowledge, any agent, affiliate or representative of the Company or any Subsidiary, is an individual or entity that is, or is owned or controlled by an individual or entity that is:</w:t>
      </w:r>
    </w:p>
    <w:p>
      <w:pPr>
        <w:spacing w:after="0" w:line="176" w:lineRule="exact"/>
        <w:rPr>
          <w:rFonts w:ascii="Times New Roman" w:cs="Times New Roman" w:eastAsia="Times New Roman" w:hAnsi="Times New Roman"/>
          <w:sz w:val="18"/>
          <w:szCs w:val="18"/>
          <w:color w:val="auto"/>
        </w:rPr>
      </w:pPr>
    </w:p>
    <w:p>
      <w:pPr>
        <w:jc w:val="both"/>
        <w:ind w:left="2060" w:hanging="694"/>
        <w:spacing w:after="0" w:line="266" w:lineRule="auto"/>
        <w:tabs>
          <w:tab w:leader="none" w:pos="20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w:t>
      </w:r>
    </w:p>
    <w:p>
      <w:pPr>
        <w:spacing w:after="0" w:line="176" w:lineRule="exact"/>
        <w:rPr>
          <w:rFonts w:ascii="Times New Roman" w:cs="Times New Roman" w:eastAsia="Times New Roman" w:hAnsi="Times New Roman"/>
          <w:sz w:val="18"/>
          <w:szCs w:val="18"/>
          <w:color w:val="auto"/>
        </w:rPr>
      </w:pPr>
    </w:p>
    <w:p>
      <w:pPr>
        <w:ind w:left="2060" w:hanging="694"/>
        <w:spacing w:after="0" w:line="282" w:lineRule="auto"/>
        <w:tabs>
          <w:tab w:leader="none" w:pos="20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Cuba, Iran, North Korea and Syria).</w:t>
      </w:r>
    </w:p>
    <w:p>
      <w:pPr>
        <w:spacing w:after="0" w:line="161" w:lineRule="exact"/>
        <w:rPr>
          <w:rFonts w:ascii="Times New Roman" w:cs="Times New Roman" w:eastAsia="Times New Roman" w:hAnsi="Times New Roman"/>
          <w:sz w:val="18"/>
          <w:szCs w:val="18"/>
          <w:color w:val="auto"/>
        </w:rPr>
      </w:pPr>
    </w:p>
    <w:p>
      <w:pPr>
        <w:ind w:left="2060" w:right="20" w:hanging="694"/>
        <w:spacing w:after="0" w:line="282" w:lineRule="auto"/>
        <w:tabs>
          <w:tab w:leader="none" w:pos="20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will, directly or indirectly, use the proceeds of the offering, or lend, contribute or otherwise make available such proceeds to any subsidiary, joint venture partner or other individual or entity:</w:t>
      </w:r>
    </w:p>
    <w:p>
      <w:pPr>
        <w:spacing w:after="0" w:line="161" w:lineRule="exact"/>
        <w:rPr>
          <w:rFonts w:ascii="Times New Roman" w:cs="Times New Roman" w:eastAsia="Times New Roman" w:hAnsi="Times New Roman"/>
          <w:sz w:val="18"/>
          <w:szCs w:val="18"/>
          <w:color w:val="auto"/>
        </w:rPr>
      </w:pPr>
    </w:p>
    <w:p>
      <w:pPr>
        <w:ind w:left="2620" w:hanging="566"/>
        <w:spacing w:after="0" w:line="282" w:lineRule="auto"/>
        <w:tabs>
          <w:tab w:leader="none" w:pos="262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individual or entity or in any country or territory that, at the time of such funding or facilitation, is the subject of Sanctions; or</w:t>
      </w:r>
    </w:p>
    <w:p>
      <w:pPr>
        <w:spacing w:after="0" w:line="161" w:lineRule="exact"/>
        <w:rPr>
          <w:rFonts w:ascii="Times New Roman" w:cs="Times New Roman" w:eastAsia="Times New Roman" w:hAnsi="Times New Roman"/>
          <w:sz w:val="18"/>
          <w:szCs w:val="18"/>
          <w:color w:val="auto"/>
        </w:rPr>
      </w:pPr>
    </w:p>
    <w:p>
      <w:pPr>
        <w:ind w:left="2620" w:hanging="566"/>
        <w:spacing w:after="0" w:line="282" w:lineRule="auto"/>
        <w:tabs>
          <w:tab w:leader="none" w:pos="262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individual or entity (including any individual or entity participating in the offering, whether as underwriter, advisor, investor or otherwise).</w:t>
      </w:r>
    </w:p>
    <w:p>
      <w:pPr>
        <w:spacing w:after="0" w:line="161" w:lineRule="exact"/>
        <w:rPr>
          <w:rFonts w:ascii="Times New Roman" w:cs="Times New Roman" w:eastAsia="Times New Roman" w:hAnsi="Times New Roman"/>
          <w:sz w:val="18"/>
          <w:szCs w:val="18"/>
          <w:color w:val="auto"/>
        </w:rPr>
      </w:pPr>
    </w:p>
    <w:p>
      <w:pPr>
        <w:jc w:val="both"/>
        <w:ind w:left="2060" w:hanging="694"/>
        <w:spacing w:after="0" w:line="266" w:lineRule="auto"/>
        <w:tabs>
          <w:tab w:leader="none" w:pos="20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five years, neither the Company nor any Subsidiary has knowingly engaged in, and is not now knowingly engaged in, any dealings or transactions with any individual or entity, or in any country or territory, that at the time of the dealing or transaction is or was the subject of Sanctions.</w:t>
      </w:r>
    </w:p>
    <w:p>
      <w:pPr>
        <w:spacing w:after="0" w:line="176" w:lineRule="exact"/>
        <w:rPr>
          <w:rFonts w:ascii="Times New Roman" w:cs="Times New Roman" w:eastAsia="Times New Roman" w:hAnsi="Times New Roman"/>
          <w:sz w:val="18"/>
          <w:szCs w:val="18"/>
          <w:color w:val="auto"/>
        </w:rPr>
      </w:pPr>
    </w:p>
    <w:p>
      <w:pPr>
        <w:jc w:val="both"/>
        <w:ind w:left="-20" w:firstLine="1305"/>
        <w:spacing w:after="0" w:line="261" w:lineRule="auto"/>
        <w:tabs>
          <w:tab w:leader="none" w:pos="236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or any of the Subsidiaries exists, except as described in the Pricing Disclosure Package and the Offering Memorandum, or, to the knowledge of the Company, is imminent; and the Company is not aware of any existing, threatened or imminent labor disturbance by the employees of any of its principal suppliers, manufacturers or contractors that would be reasonably likely to have a Material Adverse Effect.</w:t>
      </w:r>
    </w:p>
    <w:p>
      <w:pPr>
        <w:spacing w:after="0" w:line="180" w:lineRule="exact"/>
        <w:rPr>
          <w:rFonts w:ascii="Times New Roman" w:cs="Times New Roman" w:eastAsia="Times New Roman" w:hAnsi="Times New Roman"/>
          <w:sz w:val="18"/>
          <w:szCs w:val="18"/>
          <w:color w:val="auto"/>
        </w:rPr>
      </w:pPr>
    </w:p>
    <w:p>
      <w:pPr>
        <w:jc w:val="both"/>
        <w:ind w:left="-20" w:firstLine="1305"/>
        <w:spacing w:after="0" w:line="266" w:lineRule="auto"/>
        <w:tabs>
          <w:tab w:leader="none" w:pos="225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transactions contemplated by this Agreement (including, without limitation, the use of the proceeds from the sale of the Notes), will violate or result in a violation of Section 7 of the Exchange Act, or any regulation promulgated thereunder, including, without limitation, Regulations T, U and X of the Board of Governors of the Federal Reserve System.</w:t>
      </w:r>
    </w:p>
    <w:p>
      <w:pPr>
        <w:spacing w:after="0" w:line="176" w:lineRule="exact"/>
        <w:rPr>
          <w:rFonts w:ascii="Times New Roman" w:cs="Times New Roman" w:eastAsia="Times New Roman" w:hAnsi="Times New Roman"/>
          <w:sz w:val="18"/>
          <w:szCs w:val="18"/>
          <w:color w:val="auto"/>
        </w:rPr>
      </w:pPr>
    </w:p>
    <w:p>
      <w:pPr>
        <w:jc w:val="both"/>
        <w:ind w:left="-20" w:firstLine="1305"/>
        <w:spacing w:after="0" w:line="266" w:lineRule="auto"/>
        <w:tabs>
          <w:tab w:leader="none" w:pos="219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carry, or are covered by, insurance in such amounts and covering such risks as is in the Company’s reasonable judgement adequate for the conduct of their respective businesses and the value of their respective properties and as is customary for companies engaged in similar businesses.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122" w:name="page123"/>
    <w:bookmarkEnd w:id="122"/>
    <w:p>
      <w:pPr>
        <w:jc w:val="both"/>
        <w:ind w:left="-20" w:firstLine="1305"/>
        <w:spacing w:after="0" w:line="255" w:lineRule="auto"/>
        <w:tabs>
          <w:tab w:leader="none" w:pos="23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is in compliance in all material respects with all presently applicable provisions of the Employee Retirement Income Security Act of 1974, as amended, including the regulations and published interpretations thereunder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no “reportable event” (as defined in ERISA) has occurred with respect to any “pension plan” (as defined in ERISA) for which the Company and each Subsidiary would have any material liability; the Company and each Subsidiary has not incurred and does not expect to incur liability under (i) Title IV of ERISA with respect to termination of, or withdrawal from, any “pension plan” or (ii) Sections 412 or 4971 of the Internal Revenue Code of 1986, as amended, including the regulations and published interpretations thereunder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each “pension plan” for which the Company or any Subsidiary would have any liability that is intended to be qualified under Section 401(a) of the Code is so qualified in all material respects and nothing has occurred, whether by action or by failure to act, which would cause the loss of such qualification.</w:t>
      </w:r>
    </w:p>
    <w:p>
      <w:pPr>
        <w:spacing w:after="0" w:line="185" w:lineRule="exact"/>
        <w:rPr>
          <w:rFonts w:ascii="Times New Roman" w:cs="Times New Roman" w:eastAsia="Times New Roman" w:hAnsi="Times New Roman"/>
          <w:sz w:val="18"/>
          <w:szCs w:val="18"/>
          <w:color w:val="auto"/>
        </w:rPr>
      </w:pPr>
    </w:p>
    <w:p>
      <w:pPr>
        <w:jc w:val="both"/>
        <w:ind w:left="-20" w:firstLine="1305"/>
        <w:spacing w:after="0" w:line="258" w:lineRule="auto"/>
        <w:tabs>
          <w:tab w:leader="none" w:pos="222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Pricing Disclosure Package and the Offering Memorandum or as described in the Company’s Loan and Security Agreement with Silicon Valley Bank effective August 2, 2018, as amended, 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83" w:lineRule="exact"/>
        <w:rPr>
          <w:rFonts w:ascii="Times New Roman" w:cs="Times New Roman" w:eastAsia="Times New Roman" w:hAnsi="Times New Roman"/>
          <w:sz w:val="18"/>
          <w:szCs w:val="18"/>
          <w:color w:val="auto"/>
        </w:rPr>
      </w:pPr>
    </w:p>
    <w:p>
      <w:pPr>
        <w:ind w:left="-20" w:firstLine="1305"/>
        <w:spacing w:after="0" w:line="282" w:lineRule="auto"/>
        <w:tabs>
          <w:tab w:leader="none" w:pos="21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and market-related data included or incorporated by reference in the Pricing Disclosure Package and the Offering Memorandum are based on or derived from sources that the Company in good faith believes to be reliable in all material respects.</w:t>
      </w:r>
    </w:p>
    <w:p>
      <w:pPr>
        <w:spacing w:after="0" w:line="161" w:lineRule="exact"/>
        <w:rPr>
          <w:rFonts w:ascii="Times New Roman" w:cs="Times New Roman" w:eastAsia="Times New Roman" w:hAnsi="Times New Roman"/>
          <w:sz w:val="18"/>
          <w:szCs w:val="18"/>
          <w:color w:val="auto"/>
        </w:rPr>
      </w:pPr>
    </w:p>
    <w:p>
      <w:pPr>
        <w:jc w:val="both"/>
        <w:ind w:left="-20" w:firstLine="1305"/>
        <w:spacing w:after="0" w:line="261" w:lineRule="auto"/>
        <w:tabs>
          <w:tab w:leader="none" w:pos="240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Pricing Disclosure Package,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in any securities being registered pursuant to any other registration statement filed by the Company under the Securities Act.</w:t>
      </w:r>
    </w:p>
    <w:p>
      <w:pPr>
        <w:spacing w:after="0" w:line="180" w:lineRule="exact"/>
        <w:rPr>
          <w:rFonts w:ascii="Times New Roman" w:cs="Times New Roman" w:eastAsia="Times New Roman" w:hAnsi="Times New Roman"/>
          <w:sz w:val="18"/>
          <w:szCs w:val="18"/>
          <w:color w:val="auto"/>
        </w:rPr>
      </w:pPr>
    </w:p>
    <w:p>
      <w:pPr>
        <w:jc w:val="both"/>
        <w:ind w:left="-20" w:firstLine="1305"/>
        <w:spacing w:after="0" w:line="266" w:lineRule="auto"/>
        <w:tabs>
          <w:tab w:leader="none" w:pos="22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is a party to any contract, agreement or understanding with any person (other than this Agreement) that would give rise to a valid claim against any of them or any Initial Purchaser for a brokerage commission, finder’s fee or like payment in connection with the offering and sale of the Notes.</w:t>
      </w:r>
    </w:p>
    <w:p>
      <w:pPr>
        <w:spacing w:after="0" w:line="176" w:lineRule="exact"/>
        <w:rPr>
          <w:rFonts w:ascii="Times New Roman" w:cs="Times New Roman" w:eastAsia="Times New Roman" w:hAnsi="Times New Roman"/>
          <w:sz w:val="18"/>
          <w:szCs w:val="18"/>
          <w:color w:val="auto"/>
        </w:rPr>
      </w:pPr>
    </w:p>
    <w:p>
      <w:pPr>
        <w:jc w:val="both"/>
        <w:ind w:left="-20" w:firstLine="1305"/>
        <w:spacing w:after="0" w:line="261" w:lineRule="auto"/>
        <w:tabs>
          <w:tab w:leader="none" w:pos="251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each of the Pricing Disclosure Package and the Offering Memorandum under the caption “Description of Notes,” insofar as they purport to constitute a summary of the terms of the Notes, under the caption “Description of Capital Stock,” insofar as they purport to constitute a summary of the Underlying Common Stock and under the caption “Certain U.S. Federal Income Tax Considerations,” insofar as they purport to summarize the provisions of the laws and documents referred to therein, are accurate summaries in all material respects.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23" w:name="page124"/>
    <w:bookmarkEnd w:id="123"/>
    <w:p>
      <w:pPr>
        <w:ind w:left="2140" w:hanging="855"/>
        <w:spacing w:after="0"/>
        <w:tabs>
          <w:tab w:leader="none" w:pos="2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“shell company” as described in Rule 144(i) under the Securities Act.</w:t>
      </w:r>
    </w:p>
    <w:p>
      <w:pPr>
        <w:spacing w:after="0" w:line="225" w:lineRule="exact"/>
        <w:rPr>
          <w:rFonts w:ascii="Times New Roman" w:cs="Times New Roman" w:eastAsia="Times New Roman" w:hAnsi="Times New Roman"/>
          <w:sz w:val="18"/>
          <w:szCs w:val="18"/>
          <w:color w:val="auto"/>
        </w:rPr>
      </w:pPr>
    </w:p>
    <w:p>
      <w:pPr>
        <w:jc w:val="both"/>
        <w:ind w:left="-20" w:firstLine="1305"/>
        <w:spacing w:after="0" w:line="253" w:lineRule="auto"/>
        <w:tabs>
          <w:tab w:leader="none" w:pos="232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the Company and each Subsidiary’s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i w:val="1"/>
          <w:iCs w:val="1"/>
          <w:color w:val="auto"/>
        </w:rPr>
        <w:t>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Subsidiaries as currently conducted, free and clear of all material bugs, errors, defects, Trojan horses, time bombs, malware and other corruptants. The Company and all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used in connection with their businesses, and except as described in the Pricing Disclosure Package,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individually or in the aggregate, have a Material Adverse Effect.</w:t>
      </w:r>
    </w:p>
    <w:p>
      <w:pPr>
        <w:spacing w:after="0" w:line="188" w:lineRule="exact"/>
        <w:rPr>
          <w:rFonts w:ascii="Times New Roman" w:cs="Times New Roman" w:eastAsia="Times New Roman" w:hAnsi="Times New Roman"/>
          <w:sz w:val="18"/>
          <w:szCs w:val="18"/>
          <w:color w:val="auto"/>
        </w:rPr>
      </w:pPr>
    </w:p>
    <w:p>
      <w:pPr>
        <w:jc w:val="both"/>
        <w:ind w:left="-20" w:firstLine="1305"/>
        <w:spacing w:after="0" w:line="266" w:lineRule="auto"/>
        <w:tabs>
          <w:tab w:leader="none" w:pos="217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forward looking statement (within the meaning of Section 27A of the Securities Act and Section 21E of the Exchange Act) included or incorporated by reference in any of the Pricing Disclosure Package or the Offering Memorandum has been made or reaffirmed without a reasonable basis or has been disclosed other than in good faith.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24" w:name="page125"/>
    <w:bookmarkEnd w:id="124"/>
    <w:p>
      <w:pPr>
        <w:jc w:val="both"/>
        <w:ind w:left="-20" w:firstLine="1305"/>
        <w:spacing w:after="0" w:line="251" w:lineRule="auto"/>
        <w:tabs>
          <w:tab w:leader="none" w:pos="215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Pricing Disclosure Package and the Offering Memorandum, and except as would not, singly or in the aggregate, have a Material Adverse Effect: (i) neither the Company nor any of the Subsidiaries has received any unresolved FDA Form 483, notice of adverse filing, warning letter, untitled letter or other correspondence or notice from the U.S. Food and Drug Administration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or any other court or arbitrator or federal, state, local or foreign governmental or regulatory authority, alleging or asserting noncompliance with the Federal Food, Drug and Cosmetic Act (21 U.S.C. § 301 et seq.) (the “</w:t>
      </w:r>
      <w:r>
        <w:rPr>
          <w:rFonts w:ascii="Times New Roman" w:cs="Times New Roman" w:eastAsia="Times New Roman" w:hAnsi="Times New Roman"/>
          <w:sz w:val="18"/>
          <w:szCs w:val="18"/>
          <w:b w:val="1"/>
          <w:bCs w:val="1"/>
          <w:i w:val="1"/>
          <w:iCs w:val="1"/>
          <w:color w:val="auto"/>
        </w:rPr>
        <w:t>FFDCA</w:t>
      </w:r>
      <w:r>
        <w:rPr>
          <w:rFonts w:ascii="Times New Roman" w:cs="Times New Roman" w:eastAsia="Times New Roman" w:hAnsi="Times New Roman"/>
          <w:sz w:val="18"/>
          <w:szCs w:val="18"/>
          <w:color w:val="auto"/>
        </w:rPr>
        <w:t>”); (ii) the Company and each of the Subsidiaries is and has been in compliance with applicable health care laws, including without limitation, the FFDCA, the federal Anti-Kickback Statute (42 U.S.C. § 1320a-7b(b)), the civil False Claims Act (31 U.S.C. §§ 3729 et seq.), the administrative False Claims Law (42 U.S.C. § 1320a-7b(a)), the Stark law (42 U.S.C. Section 1395nn), the Health Insurance Portability and Accountability Act of 1996 (42 U.S.C. Section 1320d et seq.) as amended by the Health Information Technology for Economic and Clinical Health Act (42 U.S.C. Section 17921 et seq.), the exclusion laws (42 U.S.C. Section 1320a-7),the Anti-Inducement Law (42 U.S.C. §1320a-7a(a)(5)), the exclusion laws, Social Security Act § 1128 (42 U.S.C. § 1320a-7), Medicare (Title XVIII of the Social Security Act), Medicaid (Title XIX of the Social Security Act), and the Patient Protection and Affordable Care Act of 2010 (Public Law 111-148), as amended by the Health Care and Education Affordability Reconciliation Act of 2010 (Public Law 111-152), and the regulations promulgated pursuant to such laws, and comparable state laws, and all other local, state, federal, national, supranational and foreign laws, manual provisions, policies and administrative guidance relating to the regulation of the Company (collectively, “</w:t>
      </w:r>
      <w:r>
        <w:rPr>
          <w:rFonts w:ascii="Times New Roman" w:cs="Times New Roman" w:eastAsia="Times New Roman" w:hAnsi="Times New Roman"/>
          <w:sz w:val="18"/>
          <w:szCs w:val="18"/>
          <w:b w:val="1"/>
          <w:bCs w:val="1"/>
          <w:i w:val="1"/>
          <w:iCs w:val="1"/>
          <w:color w:val="auto"/>
        </w:rPr>
        <w:t>Health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(iii) the Company and each of the Subsidiaries possesses all licenses, certificates, approvals, clearances, authorizations, permits and supplements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amendments thereto required by any such Health Care Laws and/or to carry on its businesses as now or proposed to be conducted (“</w:t>
      </w:r>
      <w:r>
        <w:rPr>
          <w:rFonts w:ascii="Times New Roman" w:cs="Times New Roman" w:eastAsia="Times New Roman" w:hAnsi="Times New Roman"/>
          <w:sz w:val="18"/>
          <w:szCs w:val="18"/>
          <w:b w:val="1"/>
          <w:bCs w:val="1"/>
          <w:i w:val="1"/>
          <w:iCs w:val="1"/>
          <w:color w:val="auto"/>
        </w:rPr>
        <w:t>Authorizations</w:t>
      </w:r>
      <w:r>
        <w:rPr>
          <w:rFonts w:ascii="Times New Roman" w:cs="Times New Roman" w:eastAsia="Times New Roman" w:hAnsi="Times New Roman"/>
          <w:sz w:val="18"/>
          <w:szCs w:val="18"/>
          <w:color w:val="auto"/>
        </w:rPr>
        <w:t>”) and such Authorizations are valid and in full force and effect and the Company is not in violation of any term of any such Authorizations; (iv) neither the Company nor any of the Subsidiaries has received notice of any ongoing claim, action, suit, proceeding, hearing, enforcement, investigation, arbitration or other action from any U.S. or non-U.S. federal, state, local or other governmental or regulatory authority, governmental or regulatory agency or body, court, arbitrator or self-regulatory organization (each, a “</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or third party alleging that any product operation or activity is in violation of any Health Care Laws or Authorizations or has any knowledge that any such Governmental Authority or third party is considering any such claim, litigation, arbitration, action, suit, investigation or proceeding; (v) neither the Company nor any of the Subsidiaries has received notice that any Governmental Authority has taken, is taking or intends to take action to limit, suspend, modify or revoke any Authorizations or has any knowledge that any such Governmental Authority is considering such action; (vi) the Company and each of the Subsidiaries has filed, obtained, maintained or submitted all reports, documents, forms, notices, applications, records, claims, submissions and supplements or amendments as required by any Health Care Laws or Authorizations and that all such reports, documents, forms, notices, applications, records, claims, submissions and supplements or amendments were complete, correct and not misleading on the date filed (or were corrected or supplemented by a subsequent submission); and (vii) neither the Company nor any of the Subsidiaries has, either voluntarily or involuntarily, initiated, conducted, or issued or caused to be initiated, conducted or issued, any recall, market withdrawal or replacement, safety alert, post sale warning, “dear doctor” letter, or other notice or action relating to the alleged lack of safety or efficacy of any product or any alleged product defect or violation and, to the Company’s knowledge, no third party has initiated or conducted any such notice or action.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25" w:name="page126"/>
    <w:bookmarkEnd w:id="125"/>
    <w:p>
      <w:pPr>
        <w:jc w:val="both"/>
        <w:ind w:firstLine="1305"/>
        <w:spacing w:after="0" w:line="254" w:lineRule="auto"/>
        <w:tabs>
          <w:tab w:leader="none" w:pos="255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research, studies and tests conducted by or on behalf of the Company and the Subsidiaries have been and, if still pending, are being conducted with reasonable care and in accordance with experimental protocols, procedures and controls pursuant to all Health Care Laws and Authorizations; the descriptions of the results of such research, studies and tests contained in the Pricing Disclosure Package and the Offering Memorandum are accurate and complete and fairly present the data derived from such research, studies and tests; except to the extent disclosed in the Pricing Disclosure Package and the Offering Memorandum, the Company is not aware of any research, studies or tests, the results of which the Company believes reasonably call into question the research, study or test results described or referred to in the Pricing Disclosure Package and the Offering Memorandum when viewed in the context in which such results are described; and neither the Company nor any of the Subsidiaries has received any notices or correspondence from any Governmental Authority requiring the termination, suspension or material modification of any research, study or test conducted by or on behalf of the Company or the Subsidiaries, as applicable. To the knowledge of the Company, there have been no adverse episodes or complications resulting from any research, study or test conducted by or on behalf of the Company or the Subsidiaries.</w:t>
      </w:r>
    </w:p>
    <w:p>
      <w:pPr>
        <w:spacing w:after="0" w:line="186"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Representative or counsel for the Initial Purchasers in connection with the offering of the Notes shall be deemed to be a representation and warranty by the Company, as to matters covered thereby, to each Initial Purchaser.</w:t>
      </w:r>
    </w:p>
    <w:p>
      <w:pPr>
        <w:spacing w:after="0" w:line="160" w:lineRule="exact"/>
        <w:rPr>
          <w:sz w:val="20"/>
          <w:szCs w:val="20"/>
          <w:color w:val="auto"/>
        </w:rPr>
      </w:pPr>
    </w:p>
    <w:p>
      <w:pPr>
        <w:ind w:left="1280" w:hanging="624"/>
        <w:spacing w:after="0"/>
        <w:tabs>
          <w:tab w:leader="none" w:pos="12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the Notes by the Initial Purchasers, Agreements to Sell, Purchase and Resell.</w:t>
      </w:r>
    </w:p>
    <w:p>
      <w:pPr>
        <w:spacing w:after="0" w:line="227" w:lineRule="exact"/>
        <w:rPr>
          <w:rFonts w:ascii="Times New Roman" w:cs="Times New Roman" w:eastAsia="Times New Roman" w:hAnsi="Times New Roman"/>
          <w:sz w:val="18"/>
          <w:szCs w:val="18"/>
          <w:color w:val="auto"/>
        </w:rPr>
      </w:pPr>
    </w:p>
    <w:p>
      <w:pPr>
        <w:jc w:val="both"/>
        <w:ind w:firstLine="1305"/>
        <w:spacing w:after="0" w:line="255" w:lineRule="auto"/>
        <w:tabs>
          <w:tab w:leader="none" w:pos="219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on the basis of the representations, warranties, covenants and agreements of the Initial Purchasers contained herein and subject to all the terms and conditions set forth herein, to issue and sell to the Initial Purchasers and, upon the basis of the representations, warranties and agreements of the Company herein contained and subject to all the terms and conditions set forth herein, each Initial Purchaser agrees, severally and not jointly, to purchase from the Company, at a purchase price of 97% of the principal amount thereof, plus accrued interest from the Closing Date to the date of payment, if any, the principal amount of Firm Notes set forth opposite the name of such Initial Purchaser in Schedule I hereto. The Company shall not be obligated to deliver any of the securities to be delivered hereunder except upon payment for all of the securities to be purchased as provided herein.</w:t>
      </w:r>
    </w:p>
    <w:p>
      <w:pPr>
        <w:spacing w:after="0" w:line="189" w:lineRule="exact"/>
        <w:rPr>
          <w:rFonts w:ascii="Times New Roman" w:cs="Times New Roman" w:eastAsia="Times New Roman" w:hAnsi="Times New Roman"/>
          <w:sz w:val="18"/>
          <w:szCs w:val="18"/>
          <w:color w:val="auto"/>
        </w:rPr>
      </w:pPr>
    </w:p>
    <w:p>
      <w:pPr>
        <w:jc w:val="both"/>
        <w:ind w:firstLine="1305"/>
        <w:spacing w:after="0" w:line="253" w:lineRule="auto"/>
        <w:tabs>
          <w:tab w:leader="none" w:pos="230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hereby agrees, on the basis of the representations and warranties, covenants and agreements of the Initial Purchasers contained herein and subject to all the terms and conditions set forth herein, to issue and sell to the Initial Purchasers the Additional Notes, and the Initial Purchasers shall have the right to purchase, severally and not jointly, up to $5,000,000 aggregate principal amount of Additional Notes at a purchase price referred to in the preceding paragraph, plus accrued and unpaid interest from the Closing Date to the date of payment, if any, solely for the purpose of covering sales of Notes in excess of the principal amount of the Firm Notes. The Representative may exercise this right on behalf of the Initial Purchasers in whole or from time to time in part by giving written notice not later than 13 days after the date of this Agreement. Any exercise notice shall specify the principal amount of Additional Notes to be purchased by the Initial Purchasers and the date on which such Additional Notes are to be purchased. Unless otherwise agreed to by the Company, each purchase date must be at least one business day after the written notice is given and may not be earlier than the closing date for the Firm Notes nor later than ten business days after the date of such notice. On each day, if any, that Additional Notes are to be purchased (an “</w:t>
      </w:r>
      <w:r>
        <w:rPr>
          <w:rFonts w:ascii="Times New Roman" w:cs="Times New Roman" w:eastAsia="Times New Roman" w:hAnsi="Times New Roman"/>
          <w:sz w:val="18"/>
          <w:szCs w:val="18"/>
          <w:b w:val="1"/>
          <w:bCs w:val="1"/>
          <w:i w:val="1"/>
          <w:iCs w:val="1"/>
          <w:color w:val="auto"/>
        </w:rPr>
        <w:t>Option Closing Date</w:t>
      </w:r>
      <w:r>
        <w:rPr>
          <w:rFonts w:ascii="Times New Roman" w:cs="Times New Roman" w:eastAsia="Times New Roman" w:hAnsi="Times New Roman"/>
          <w:sz w:val="18"/>
          <w:szCs w:val="18"/>
          <w:color w:val="auto"/>
        </w:rPr>
        <w:t>”), each Initial Purchaser agrees, severally and not jointly, to purchase the principal amount of Additional Notes (subject to such adjustments to eliminate fractional Notes as you may determine) that bears the same proportion to the total principal amount of Additional Notes to be purchased on such Option Closing Date as the principal amount of Firm Notes set forth in Schedule I opposite the name of such Initial Purchaser bears to the total principal amount of Firm Notes.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6" w:name="page127"/>
    <w:bookmarkEnd w:id="126"/>
    <w:p>
      <w:pPr>
        <w:jc w:val="both"/>
        <w:ind w:firstLine="1305"/>
        <w:spacing w:after="0" w:line="255" w:lineRule="auto"/>
        <w:tabs>
          <w:tab w:leader="none" w:pos="223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Initial Purchasers, severally and not jointly, hereby represents and warrants to the Company and agrees that it will offer the Notes for sale upon the terms and conditions set forth in this Agreement and in the Pricing Disclosure Package. Each of the Initial Purchasers, severally and not jointly, hereby represents and warrants to, and agrees with, the Company, on the basis of the representations, warranties and agreements of the Company, that such Initial Purchaser: (i) is a QIB with such knowledge and experience in financial and business matters as are necessary in order to evaluate the merits and risks of an investment in the Notes; (ii) is purchasing the Notes pursuant to a private sale exempt from registration under the Securities Act; and (iii) in connection with the Exempt Resales, will solicit offers to buy the Notes only from, and will offer to sell the Notes only to, the Eligible Purchasers in accordance with this Agreement and on the terms contemplated by the Pricing Disclosure Package) in connection with the offering of the Notes.</w:t>
      </w:r>
    </w:p>
    <w:p>
      <w:pPr>
        <w:spacing w:after="0" w:line="189" w:lineRule="exact"/>
        <w:rPr>
          <w:rFonts w:ascii="Times New Roman" w:cs="Times New Roman" w:eastAsia="Times New Roman" w:hAnsi="Times New Roman"/>
          <w:sz w:val="18"/>
          <w:szCs w:val="18"/>
          <w:color w:val="auto"/>
        </w:rPr>
      </w:pPr>
    </w:p>
    <w:p>
      <w:pPr>
        <w:jc w:val="both"/>
        <w:ind w:firstLine="1305"/>
        <w:spacing w:after="0" w:line="255" w:lineRule="auto"/>
        <w:tabs>
          <w:tab w:leader="none" w:pos="222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Purchasers have not nor, prior to the later to occur of (A) the Closing Date and (B) completion of the distribution of the Notes, will not, use, authorize use of, refer to or distribute any material in connection with the offering and sale of the Notes other than (i) the Preliminary Offering Memorandum, the Pricing Disclosure Package, the Offering Memorandum, (ii) any written communication that contains either (x) no “issuer information” (as defined in Rule 433(h)(2) under the Securities Act) or (y) “issuer information” that was included (including through incorporation by reference) in the Preliminary Offering Memorandum or any Free Writing Offering Document listed on Schedule III hereto, (iii) the Free Writing Offering Documents listed on Schedule III hereto, (iv) any written communication prepared by such Initial Purchaser and approved by the Company in writing, or (v) any written communication relating to or that contains the terms of the Notes and/or other information that was included (including through incorporation by reference) in the Preliminary Offering Memorandum, the Pricing Disclosure Package or the Offering Memorandum.</w:t>
      </w:r>
    </w:p>
    <w:p>
      <w:pPr>
        <w:spacing w:after="0" w:line="185" w:lineRule="exact"/>
        <w:rPr>
          <w:rFonts w:ascii="Times New Roman" w:cs="Times New Roman" w:eastAsia="Times New Roman" w:hAnsi="Times New Roman"/>
          <w:sz w:val="18"/>
          <w:szCs w:val="18"/>
          <w:color w:val="auto"/>
        </w:rPr>
      </w:pPr>
    </w:p>
    <w:p>
      <w:pPr>
        <w:jc w:val="both"/>
        <w:ind w:firstLine="1305"/>
        <w:spacing w:after="0" w:line="261" w:lineRule="auto"/>
        <w:tabs>
          <w:tab w:leader="none" w:pos="227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Initial Purchasers hereby acknowledges that upon original issuance thereof, and until such time as the same is no longer required under the applicable requirements of the Securities Act, the Notes (and all securities issued in exchange therefore or in substitution thereof) shall bear legends substantially in the forms as set forth in the “Transfer Restrictions” section of the Pricing Disclosure Package and Offering Memorandum (along with such other legends as the Company and its counsel deem necessary).</w:t>
      </w:r>
    </w:p>
    <w:p>
      <w:pPr>
        <w:spacing w:after="0" w:line="180"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Each of the Initial Purchasers understands that the Company and, for purposes of the opinions to be delivered to the Initial Purchasers pursuant to Sections 7(c), 7(d), and 7(e) hereof, counsel to the Company and counsel to the Initial Purchasers, will rely upon the accuracy and truth of the foregoing representations, warranties and agreements, and the Initial Purchasers hereby consent to such reliance.</w:t>
      </w:r>
    </w:p>
    <w:p>
      <w:pPr>
        <w:spacing w:after="0" w:line="174" w:lineRule="exact"/>
        <w:rPr>
          <w:sz w:val="20"/>
          <w:szCs w:val="20"/>
          <w:color w:val="auto"/>
        </w:rPr>
      </w:pPr>
    </w:p>
    <w:p>
      <w:pPr>
        <w:jc w:val="both"/>
        <w:ind w:firstLine="656"/>
        <w:spacing w:after="0" w:line="267" w:lineRule="auto"/>
        <w:tabs>
          <w:tab w:leader="none" w:pos="133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the Notes and Payment Therefor</w:t>
      </w:r>
      <w:r>
        <w:rPr>
          <w:rFonts w:ascii="Times New Roman" w:cs="Times New Roman" w:eastAsia="Times New Roman" w:hAnsi="Times New Roman"/>
          <w:sz w:val="18"/>
          <w:szCs w:val="18"/>
          <w:color w:val="auto"/>
        </w:rPr>
        <w:t>. Delivery to the Initial Purchasers of and payment for the Notes shall be made at the office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Fenwick &amp; West LLP, at 10:00 a.m., New York City time, on the Closing Date. The place of closing for the Notes and the Closing Date may be varied by agreement between the Initial Purchasers and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7" w:name="page128"/>
    <w:bookmarkEnd w:id="127"/>
    <w:p>
      <w:pPr>
        <w:jc w:val="both"/>
        <w:ind w:right="20" w:firstLine="1297"/>
        <w:spacing w:after="0" w:line="282" w:lineRule="auto"/>
        <w:rPr>
          <w:sz w:val="20"/>
          <w:szCs w:val="20"/>
          <w:color w:val="auto"/>
        </w:rPr>
      </w:pPr>
      <w:r>
        <w:rPr>
          <w:rFonts w:ascii="Times New Roman" w:cs="Times New Roman" w:eastAsia="Times New Roman" w:hAnsi="Times New Roman"/>
          <w:sz w:val="18"/>
          <w:szCs w:val="18"/>
          <w:color w:val="auto"/>
        </w:rPr>
        <w:t>Payment for any Additional Notes shall be made to the Company against delivery of such Additional Notes for the respective accounts of the several Initial Purchasers at 10:00 a.m., New York City time, on the Option Closing Date.</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color w:val="auto"/>
        </w:rPr>
        <w:t>The Notes will be delivered to the Initial Purchasers, or the Trustee as custodian for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against payment by or on behalf of the Initial Purchasers of the purchase price therefor by wire transfer in immediately available funds, by causing DTC to credit the Notes to the account of the Initial Purchasers at DTC. The Notes will be evidenced by one or more global securities in definitive form (the “</w:t>
      </w:r>
      <w:r>
        <w:rPr>
          <w:rFonts w:ascii="Times New Roman" w:cs="Times New Roman" w:eastAsia="Times New Roman" w:hAnsi="Times New Roman"/>
          <w:sz w:val="18"/>
          <w:szCs w:val="18"/>
          <w:b w:val="1"/>
          <w:bCs w:val="1"/>
          <w:i w:val="1"/>
          <w:iCs w:val="1"/>
          <w:color w:val="auto"/>
        </w:rPr>
        <w:t>Global Notes</w:t>
      </w:r>
      <w:r>
        <w:rPr>
          <w:rFonts w:ascii="Times New Roman" w:cs="Times New Roman" w:eastAsia="Times New Roman" w:hAnsi="Times New Roman"/>
          <w:sz w:val="18"/>
          <w:szCs w:val="18"/>
          <w:color w:val="auto"/>
        </w:rPr>
        <w:t>”) and will be registered in the name of Cede &amp; Co. as nominee of DTC. The Notes to be delivered to the Initial Purchasers shall be made available to the Initial Purchasers in New York City for inspection and packaging not later than 10:00 a.m., New York City time, on the business day next preceding the Closing Date or the Option Closing Date, as the case may be.</w:t>
      </w:r>
    </w:p>
    <w:p>
      <w:pPr>
        <w:spacing w:after="0" w:line="185" w:lineRule="exact"/>
        <w:rPr>
          <w:sz w:val="20"/>
          <w:szCs w:val="20"/>
          <w:color w:val="auto"/>
        </w:rPr>
      </w:pPr>
    </w:p>
    <w:p>
      <w:pPr>
        <w:ind w:left="1380" w:hanging="724"/>
        <w:spacing w:after="0"/>
        <w:tabs>
          <w:tab w:leader="none" w:pos="1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 of the Company</w:t>
      </w:r>
      <w:r>
        <w:rPr>
          <w:rFonts w:ascii="Times New Roman" w:cs="Times New Roman" w:eastAsia="Times New Roman" w:hAnsi="Times New Roman"/>
          <w:sz w:val="18"/>
          <w:szCs w:val="18"/>
          <w:color w:val="auto"/>
        </w:rPr>
        <w:t>. The Company agrees with each of the Initial Purchasers as follows:</w:t>
      </w:r>
    </w:p>
    <w:p>
      <w:pPr>
        <w:spacing w:after="0" w:line="227" w:lineRule="exact"/>
        <w:rPr>
          <w:rFonts w:ascii="Times New Roman" w:cs="Times New Roman" w:eastAsia="Times New Roman" w:hAnsi="Times New Roman"/>
          <w:sz w:val="18"/>
          <w:szCs w:val="18"/>
          <w:color w:val="auto"/>
        </w:rPr>
      </w:pPr>
    </w:p>
    <w:p>
      <w:pPr>
        <w:ind w:firstLine="1305"/>
        <w:spacing w:after="0" w:line="282" w:lineRule="auto"/>
        <w:tabs>
          <w:tab w:leader="none" w:pos="246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the Initial Purchasers, without charge, within one business day of the date of the Offering Memorandum, such number of copies of the Offering Memorandum as may then be amended or supplemented as they may reasonably request.</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237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prepare the Offering Memorandum in a form approved by the Initial Purchasers and will not make any amendment or supplement to the Pricing Disclosure Package or to the Offering Memorandum of which the Initial Purchasers shall not previously have been advised or to which they shall reasonably object after being so advised.</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230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consents to the use of the Pricing Disclosure Package and the Offering Memorandum in accordance with the securities or Blue Sky laws of the jurisdictions in which the Notes are offered by the Initial Purchasers and by all dealers to whom Notes may be sold, in connection with the offering and sale of the Notes.</w:t>
      </w:r>
    </w:p>
    <w:p>
      <w:pPr>
        <w:spacing w:after="0" w:line="176" w:lineRule="exact"/>
        <w:rPr>
          <w:rFonts w:ascii="Times New Roman" w:cs="Times New Roman" w:eastAsia="Times New Roman" w:hAnsi="Times New Roman"/>
          <w:sz w:val="18"/>
          <w:szCs w:val="18"/>
          <w:color w:val="auto"/>
        </w:rPr>
      </w:pPr>
    </w:p>
    <w:p>
      <w:pPr>
        <w:jc w:val="both"/>
        <w:ind w:firstLine="1305"/>
        <w:spacing w:after="0" w:line="255" w:lineRule="auto"/>
        <w:tabs>
          <w:tab w:leader="none" w:pos="231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completion of the distribution of the Notes by the Initial Purchasers to Eligible Purchasers, any event occurs or information becomes known that, in the judgment of the Company or in the opinion of counsel for the Initial Purchasers, should be set forth in the Pricing Disclosure Package or the Offering Memorandum so that the Pricing Disclosure Package or the Offering Memorandum, as then amended or supplemented, does not include any untrue statement of material fact or omit to state a material fact necessary in order to make the statements therein, in the light of the circumstances under which they were made, not misleading, or if it is necessary to supplement or amend the Pricing Disclosure Package or the Offering Memorandum in order to comply with any law, the Company will forthwith prepare an appropriate supplement or amendment thereto, and will as promptly as practicable furnish to the Initial Purchasers and dealers a reasonable number of copies thereof.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8" w:name="page129"/>
    <w:bookmarkEnd w:id="128"/>
    <w:p>
      <w:pPr>
        <w:jc w:val="both"/>
        <w:ind w:left="-20" w:firstLine="1305"/>
        <w:spacing w:after="0" w:line="254" w:lineRule="auto"/>
        <w:tabs>
          <w:tab w:leader="none" w:pos="225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make any offer to sell or solicitation of an offer to buy the Notes that would constitute a Free Writing Offering Document without the prior consent of the Representative, which consent shall not be unreasonably withheld or delayed. If at any time following issuance of a Free Writing Offering Document any event occurred or occurs as a result of which such Free Writing Offering Document conflicts with the information in the Preliminary Offering Memorandum, the Pricing Disclosure Package or the Offering Memorandum or, when taken together with the information in the Preliminary Offering Memorandum, the Pricing Disclosure Package or the Offering Memorandum, includes an untrue statement of a material fact or omits to state any material fact necessary in order to make the statements therein, in the light of the circumstances then prevailing, not misleading, as promptly as practicable after becoming aware thereof, the Company will give notice thereof to the Initial Purchasers through the Representative and, if requested by the Representative, will prepare and furnish without charge to each Initial Purchaser a Free Writing Offering Document or other document which will correct such conflict, statement or omission.</w:t>
      </w:r>
    </w:p>
    <w:p>
      <w:pPr>
        <w:spacing w:after="0" w:line="189" w:lineRule="exact"/>
        <w:rPr>
          <w:rFonts w:ascii="Times New Roman" w:cs="Times New Roman" w:eastAsia="Times New Roman" w:hAnsi="Times New Roman"/>
          <w:sz w:val="18"/>
          <w:szCs w:val="18"/>
          <w:color w:val="auto"/>
        </w:rPr>
      </w:pPr>
    </w:p>
    <w:p>
      <w:pPr>
        <w:jc w:val="both"/>
        <w:ind w:left="-20" w:firstLine="1305"/>
        <w:spacing w:after="0" w:line="256" w:lineRule="auto"/>
        <w:tabs>
          <w:tab w:leader="none" w:pos="226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from time to time to take such action as the Initial Purchasers may reasonably request to qualify the Notes and the Underlying Common Stock for offering and sale under the securities or Blue Sky laws of such jurisdictions as the Initial Purchasers may request and to comply with such laws so as to permit the continuance of sales and dealings therein in such jurisdictions for as long as may be necessary to complete the distribution of the Notes and the Underlying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187" w:lineRule="exact"/>
        <w:rPr>
          <w:rFonts w:ascii="Times New Roman" w:cs="Times New Roman" w:eastAsia="Times New Roman" w:hAnsi="Times New Roman"/>
          <w:sz w:val="18"/>
          <w:szCs w:val="18"/>
          <w:color w:val="auto"/>
        </w:rPr>
      </w:pPr>
    </w:p>
    <w:p>
      <w:pPr>
        <w:jc w:val="both"/>
        <w:ind w:left="-20" w:firstLine="1305"/>
        <w:spacing w:after="0" w:line="251" w:lineRule="auto"/>
        <w:tabs>
          <w:tab w:leader="none" w:pos="239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commencing on the date hereof and ending on the 75th day after the date of the Offering Memorandum, the Company agrees not to, directly or indirectly, (i) offer for sale, sell, or otherwise dispose of (or enter into any transaction or device that is designed to, or would be expected to, result in the disposition by any person at any time in the future of) any shares of Common Stock or securities convertible into or exchangeable for shares of Common Stock, or sell or grant options, rights or warrants with respect to any shares of Common Stock or securities convertible into or exchangeable for shares of Common Stock, (ii) enter into any swap or other derivatives transaction that transfers to another, in whole or in part, any of the economic benefits or risks of ownership of such shares of Common Stock, whether any such transaction described in clause (i) or (ii) above is to be settled by delivery of Common Stock or other securities, in cash or otherwise, (iii) file, or cause to be filed a registration statement, including any amendments, with respect to the registration of Common Stock or securities convertible, exercisable or exchangeable into Common Stock (other than any registration statement on Form S-8), or (iv) publicly disclose the intention to do any of the foregoing, in each case without the prior written consent of Barclays, on behalf of the Initial Purchasers, and to cause each officer and director of the Company set forth on Schedule IV hereto to furnish to the Representative, prior to the date of this Agreement, a letter or letters, substantially in the form of Exhibit A hereto (the “</w:t>
      </w:r>
      <w:r>
        <w:rPr>
          <w:rFonts w:ascii="Times New Roman" w:cs="Times New Roman" w:eastAsia="Times New Roman" w:hAnsi="Times New Roman"/>
          <w:sz w:val="18"/>
          <w:szCs w:val="18"/>
          <w:b w:val="1"/>
          <w:bCs w:val="1"/>
          <w:i w:val="1"/>
          <w:iCs w:val="1"/>
          <w:color w:val="auto"/>
        </w:rPr>
        <w:t>Lock-Up Agreements</w:t>
      </w:r>
      <w:r>
        <w:rPr>
          <w:rFonts w:ascii="Times New Roman" w:cs="Times New Roman" w:eastAsia="Times New Roman" w:hAnsi="Times New Roman"/>
          <w:sz w:val="18"/>
          <w:szCs w:val="18"/>
          <w:color w:val="auto"/>
        </w:rPr>
        <w:t>”). Notwithstanding the foregoing, the restrictions contained in this Section 5(g) shall not apply to, prohibit or in any way restrict, or be deemed to prohibit or in any way restrict, (i) the issuance by the Company of shares of Common Stock issued pursuant to employee benefit plans, qualified stock option plans, other employee compensation plans or non-employee director compensation programs (collectively, “</w:t>
      </w:r>
      <w:r>
        <w:rPr>
          <w:rFonts w:ascii="Times New Roman" w:cs="Times New Roman" w:eastAsia="Times New Roman" w:hAnsi="Times New Roman"/>
          <w:sz w:val="18"/>
          <w:szCs w:val="18"/>
          <w:b w:val="1"/>
          <w:bCs w:val="1"/>
          <w:i w:val="1"/>
          <w:iCs w:val="1"/>
          <w:color w:val="auto"/>
        </w:rPr>
        <w:t>Compensation Plans</w:t>
      </w:r>
      <w:r>
        <w:rPr>
          <w:rFonts w:ascii="Times New Roman" w:cs="Times New Roman" w:eastAsia="Times New Roman" w:hAnsi="Times New Roman"/>
          <w:sz w:val="18"/>
          <w:szCs w:val="18"/>
          <w:color w:val="auto"/>
        </w:rPr>
        <w:t>”) existing on the date hereof and disclosed in the Pricing Disclosure Package or pursuant to outstanding options, warrants or rights existing on the date hereof and disclosed in the Pricing Disclosure Package; (ii) the grant of options and other equity awards pursuant to Compensation Plans existing on the date hereof and disclosed in the Pricing Disclosure Package; (iii) the filing of any registration statement on Form S-8 to register shares of Common Stock reserved for issuance under Compensation Plans existing on the date hereof and disclosed in the Pricing Disclosure Package; (iv) the issuance of the Notes pursuant to this Agreement; (v) shares of Common Stock issued by the Company upon conversion of the Notes or any other outstanding convertible notes issued by the Company and outstanding on the date hereof and disclosed in the Pricing Disclosure Package; and (vi) the issuance by the Company of shares of Common Stock or securities convertible into, exchangeable for or that represent the right to receive Common Stock in connection with (1) the acquisition by the Company or any of its subsidiaries of the securities, business, technology, property or other assets of another person or entity or pursuant to an employee benefit plan assumed by the Company in connection with such acquisition and (2) the Company’s joint ventures, equipment leasing arrangements, licensing transactions, collaborations, debt financings and other strategic transactions; provided that the aggregate number of shares of Common Stock that the Company may sell or issue or agree to sell or issue pursuant to this clause (vi) shall not exceed 5% of the total number of shares of Common Stock outstanding immediately following the completion of the transactions contemplated by this Agreement and the Company shall cause each recipient of such securities to execute and deliver to Barclays, on behalf of the Initial Purchasers, on or prior to the issuance of such securities, a lock-up agreement substantially in the form of Exhibit A hereto to the extent and for the duration that such terms remain in effect at the time of the transfer.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29" w:name="page130"/>
    <w:bookmarkEnd w:id="129"/>
    <w:p>
      <w:pPr>
        <w:ind w:left="-20" w:right="20" w:firstLine="1305"/>
        <w:spacing w:after="0" w:line="282" w:lineRule="auto"/>
        <w:tabs>
          <w:tab w:leader="none" w:pos="224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date hereof and the Closing Date (both dates included), the Company will not do any act or thing which, had the Firm Notes then been in issue, would result in an adjustment to the conversion price of the Firm Notes.</w:t>
      </w:r>
    </w:p>
    <w:p>
      <w:pPr>
        <w:spacing w:after="0" w:line="161" w:lineRule="exact"/>
        <w:rPr>
          <w:rFonts w:ascii="Times New Roman" w:cs="Times New Roman" w:eastAsia="Times New Roman" w:hAnsi="Times New Roman"/>
          <w:sz w:val="18"/>
          <w:szCs w:val="18"/>
          <w:color w:val="auto"/>
        </w:rPr>
      </w:pPr>
    </w:p>
    <w:p>
      <w:pPr>
        <w:jc w:val="both"/>
        <w:ind w:left="-20" w:firstLine="1305"/>
        <w:spacing w:after="0" w:line="261" w:lineRule="auto"/>
        <w:tabs>
          <w:tab w:leader="none" w:pos="2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Notes or the Underlying Common Stock remain outstanding and are “restricted securities” within the meaning of Rule 144(a)(3) under the Securities Act, the Company will, during any period in which the Company is not subject to and in compliance with Section 13 or 15(d) of the Exchange Act, furnish or otherwise make available at its expense to the Initial Purchasers, and, upon request, to the holders of the Notes or the Underlying Common Stock and prospective purchasers of the Notes or the Underlying Common Stock the information required by Rule 144A(d)(4) (if any).</w:t>
      </w:r>
    </w:p>
    <w:p>
      <w:pPr>
        <w:spacing w:after="0" w:line="180" w:lineRule="exact"/>
        <w:rPr>
          <w:rFonts w:ascii="Times New Roman" w:cs="Times New Roman" w:eastAsia="Times New Roman" w:hAnsi="Times New Roman"/>
          <w:sz w:val="18"/>
          <w:szCs w:val="18"/>
          <w:color w:val="auto"/>
        </w:rPr>
      </w:pPr>
    </w:p>
    <w:p>
      <w:pPr>
        <w:ind w:left="-20" w:firstLine="1305"/>
        <w:spacing w:after="0" w:line="282" w:lineRule="auto"/>
        <w:tabs>
          <w:tab w:leader="none" w:pos="219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apply the net proceeds from the sale of the Notes to be sold by it hereunder substantially in accordance with the description set forth in the Pricing Disclosure Package and the Offering Memorandum under the caption “Use of Proceeds.”</w:t>
      </w:r>
    </w:p>
    <w:p>
      <w:pPr>
        <w:spacing w:after="0" w:line="161" w:lineRule="exact"/>
        <w:rPr>
          <w:rFonts w:ascii="Times New Roman" w:cs="Times New Roman" w:eastAsia="Times New Roman" w:hAnsi="Times New Roman"/>
          <w:sz w:val="18"/>
          <w:szCs w:val="18"/>
          <w:color w:val="auto"/>
        </w:rPr>
      </w:pPr>
    </w:p>
    <w:p>
      <w:pPr>
        <w:jc w:val="both"/>
        <w:ind w:left="-20" w:firstLine="1305"/>
        <w:spacing w:after="0" w:line="266" w:lineRule="auto"/>
        <w:tabs>
          <w:tab w:leader="none" w:pos="224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controlled affiliates will not take, directly or indirectly, any action designed to or that has constituted or that reasonably could be expected to cause or result in the stabilization or manipulation of the price of any security of the Company in connection with the offering of the Notes.</w:t>
      </w:r>
    </w:p>
    <w:p>
      <w:pPr>
        <w:spacing w:after="0" w:line="176" w:lineRule="exact"/>
        <w:rPr>
          <w:rFonts w:ascii="Times New Roman" w:cs="Times New Roman" w:eastAsia="Times New Roman" w:hAnsi="Times New Roman"/>
          <w:sz w:val="18"/>
          <w:szCs w:val="18"/>
          <w:color w:val="auto"/>
        </w:rPr>
      </w:pPr>
    </w:p>
    <w:p>
      <w:pPr>
        <w:ind w:left="2180" w:hanging="895"/>
        <w:spacing w:after="0"/>
        <w:tabs>
          <w:tab w:leader="none" w:pos="21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reasonable best efforts to permit the Notes to be eligible for clearance and settlement through DTC.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130" w:name="page131"/>
    <w:bookmarkEnd w:id="130"/>
    <w:p>
      <w:pPr>
        <w:jc w:val="both"/>
        <w:ind w:left="-20" w:firstLine="1305"/>
        <w:spacing w:after="0" w:line="266" w:lineRule="auto"/>
        <w:tabs>
          <w:tab w:leader="none" w:pos="223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and will not permit any of its controlled affiliates (as defined in Rule 144 under the Securities Act) to, resell any of the Notes that have been acquired by any of them, except for Notes purchased by the Company or any of its controlled affiliates and resold in a transaction registered under the Securities Act.</w:t>
      </w:r>
    </w:p>
    <w:p>
      <w:pPr>
        <w:spacing w:after="0" w:line="176" w:lineRule="exact"/>
        <w:rPr>
          <w:rFonts w:ascii="Times New Roman" w:cs="Times New Roman" w:eastAsia="Times New Roman" w:hAnsi="Times New Roman"/>
          <w:sz w:val="18"/>
          <w:szCs w:val="18"/>
          <w:color w:val="auto"/>
        </w:rPr>
      </w:pPr>
    </w:p>
    <w:p>
      <w:pPr>
        <w:jc w:val="both"/>
        <w:ind w:left="-20" w:firstLine="1305"/>
        <w:spacing w:after="0" w:line="255" w:lineRule="auto"/>
        <w:tabs>
          <w:tab w:leader="none" w:pos="237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not to sell, offer for sale or solicit offers to buy or otherwise negotiate in respect of any security (as defined in the Securities Act) that would be integrated with the sale of the Notes in a manner that would require the registration under the Securities Act of the sale to the Initial Purchasers or the Eligible Purchasers of the Notes. The Company will take reasonable precautions designed to insure that any offer or sale, direct or indirect, in the United States or to any U.S. person (as defined in Rule 902 under the Securities Act) of any Notes or any substantially similar security issued by the Company, within six months subsequent to the date on which the distribution of the Notes has been completed (as notified to the Company by the Initial Purchasers), is made under restrictions and other circumstances reasonably designed not to affect the status of the offer and sale of the Notes contemplated by this Agreement as transactions exempt from the registration provisions of the Securities Act, including any sales pursuant to Rule 144A or Regulation D.</w:t>
      </w:r>
    </w:p>
    <w:p>
      <w:pPr>
        <w:spacing w:after="0" w:line="185" w:lineRule="exact"/>
        <w:rPr>
          <w:rFonts w:ascii="Times New Roman" w:cs="Times New Roman" w:eastAsia="Times New Roman" w:hAnsi="Times New Roman"/>
          <w:sz w:val="18"/>
          <w:szCs w:val="18"/>
          <w:color w:val="auto"/>
        </w:rPr>
      </w:pPr>
    </w:p>
    <w:p>
      <w:pPr>
        <w:jc w:val="both"/>
        <w:ind w:left="-20" w:firstLine="1305"/>
        <w:spacing w:after="0" w:line="261" w:lineRule="auto"/>
        <w:tabs>
          <w:tab w:leader="none" w:pos="22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offer or sale of the Notes, the Company will not engage, and will cause its controlled affiliates and any person acting on its behalf (other than, in any case, the Initial Purchasers and any of their affiliates, as to whom the Company make no covenant) not to engage in any form of general solicitation or general advertising (within the meaning of Regulation D or any public offering within the meaning of Section 4(a)(2) of the Securities Act in connection with any offer or sale of the Notes.</w:t>
      </w:r>
    </w:p>
    <w:p>
      <w:pPr>
        <w:spacing w:after="0" w:line="180" w:lineRule="exact"/>
        <w:rPr>
          <w:rFonts w:ascii="Times New Roman" w:cs="Times New Roman" w:eastAsia="Times New Roman" w:hAnsi="Times New Roman"/>
          <w:sz w:val="18"/>
          <w:szCs w:val="18"/>
          <w:color w:val="auto"/>
        </w:rPr>
      </w:pPr>
    </w:p>
    <w:p>
      <w:pPr>
        <w:ind w:left="-20" w:firstLine="1305"/>
        <w:spacing w:after="0" w:line="282" w:lineRule="auto"/>
        <w:tabs>
          <w:tab w:leader="none" w:pos="247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comply in all material respects with all agreements set forth in the representation letters of the Company to DTC relating to the approval of the Notes by DTC for “book entry” transfer.</w:t>
      </w:r>
    </w:p>
    <w:p>
      <w:pPr>
        <w:spacing w:after="0" w:line="161" w:lineRule="exact"/>
        <w:rPr>
          <w:rFonts w:ascii="Times New Roman" w:cs="Times New Roman" w:eastAsia="Times New Roman" w:hAnsi="Times New Roman"/>
          <w:sz w:val="18"/>
          <w:szCs w:val="18"/>
          <w:color w:val="auto"/>
        </w:rPr>
      </w:pPr>
    </w:p>
    <w:p>
      <w:pPr>
        <w:ind w:left="-20" w:firstLine="1305"/>
        <w:spacing w:after="0" w:line="282" w:lineRule="auto"/>
        <w:tabs>
          <w:tab w:leader="none" w:pos="211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do and perform all things required or necessary to be done and performed under this Agreement by it prior to the Closing Date, and to satisfy all conditions precedent to the Initial Purchasers’ obligations hereunder to purchase the Notes.</w:t>
      </w:r>
    </w:p>
    <w:p>
      <w:pPr>
        <w:spacing w:after="0" w:line="161" w:lineRule="exact"/>
        <w:rPr>
          <w:rFonts w:ascii="Times New Roman" w:cs="Times New Roman" w:eastAsia="Times New Roman" w:hAnsi="Times New Roman"/>
          <w:sz w:val="18"/>
          <w:szCs w:val="18"/>
          <w:color w:val="auto"/>
        </w:rPr>
      </w:pPr>
    </w:p>
    <w:p>
      <w:pPr>
        <w:ind w:left="-20" w:firstLine="1305"/>
        <w:spacing w:after="0" w:line="282" w:lineRule="auto"/>
        <w:tabs>
          <w:tab w:leader="none" w:pos="231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reserve and keep available at all times, free of preemptive rights, a sufficient number of Underlying Common Stock to enable the Company to satisfy any obligations to issue Underlying Common Stock upon conversion of the Notes.</w:t>
      </w:r>
    </w:p>
    <w:p>
      <w:pPr>
        <w:spacing w:after="0" w:line="161" w:lineRule="exact"/>
        <w:rPr>
          <w:rFonts w:ascii="Times New Roman" w:cs="Times New Roman" w:eastAsia="Times New Roman" w:hAnsi="Times New Roman"/>
          <w:sz w:val="18"/>
          <w:szCs w:val="18"/>
          <w:color w:val="auto"/>
        </w:rPr>
      </w:pPr>
    </w:p>
    <w:p>
      <w:pPr>
        <w:ind w:left="-20" w:firstLine="1305"/>
        <w:spacing w:after="0" w:line="282" w:lineRule="auto"/>
        <w:tabs>
          <w:tab w:leader="none" w:pos="22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date hereof and the Closing Date, the Company will not do or authorize any act that would result in an adjustment of the conversion rate of the Notes.</w:t>
      </w:r>
    </w:p>
    <w:p>
      <w:pPr>
        <w:spacing w:after="0" w:line="161" w:lineRule="exact"/>
        <w:rPr>
          <w:rFonts w:ascii="Times New Roman" w:cs="Times New Roman" w:eastAsia="Times New Roman" w:hAnsi="Times New Roman"/>
          <w:sz w:val="18"/>
          <w:szCs w:val="18"/>
          <w:color w:val="auto"/>
        </w:rPr>
      </w:pPr>
    </w:p>
    <w:p>
      <w:pPr>
        <w:jc w:val="both"/>
        <w:ind w:left="-20" w:firstLine="1305"/>
        <w:spacing w:after="0" w:line="266" w:lineRule="auto"/>
        <w:tabs>
          <w:tab w:leader="none" w:pos="226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use its best efforts to list, subject to notice of issuance, the Underlying Common Stock issuable upon conversion of the Notes on the Nasdaq Global Select Market, and to maintain a transfer agent and, if necessary under the jurisdiction of incorporation of the Company, a register for the Underlying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31" w:name="page132"/>
    <w:bookmarkEnd w:id="131"/>
    <w:p>
      <w:pPr>
        <w:jc w:val="both"/>
        <w:ind w:left="-20" w:firstLine="656"/>
        <w:spacing w:after="0" w:line="252" w:lineRule="auto"/>
        <w:tabs>
          <w:tab w:leader="none" w:pos="127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Whether or not the transactions contemplated by this Agreement are consummated or this Agreement is terminated,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agrees to pay all expenses, costs, fees and taxes incident to and in connection with: (a) the preparation, printing, filing and distribution of the Preliminary Offering Memorandum, the Pricing Disclosure Package and the Offering Memorandum (including, without limitation, financial statements and exhibits and one or more versions of the Preliminary Offering Memorandum and the Offering Memorandum for distribution in Canada, including the form of a Canadian “wrapper” (but excluding reasonable legal fees and expenses of Canadian counsel to the Initial Purchasers)) and all amendments and supplements thereto (including the fees, disbursements and expenses of the Company’s accountants and counsel, but not, however, legal fees and expenses of the Initial Purchasers’ counsel incurred in connection therewith); (b) the preparation, printing (including, without limitation, word processing and duplication costs) and delivery of this Agreement, the Indenture, all Blue Sky memoranda and all other agreements, memoranda, correspondence and other documents printed and delivered in connection therewith and with the Exempt Resales (but not, however, legal fees and expenses of the Initial Purchasers’ counsel incurred in connection with any of the foregoing); (c) the issuance and delivery by the Company of the Notes and any taxes payable in connection therewith; (d) the qualification of the Notes for offer and sale under the securities or Blue Sky laws of the several states, and any foreign jurisdictions as the Initial Purchasers may designate (including, without limitation, the reasonable fees and disbursements of the Initial Purchasers’ counsel relating to such registration or qualification in an amount not to exceed $10,000); (e) the furnishing of such copies of the Preliminary Offering Memorandum, the Pricing Disclosure Package and the Offering Memorandum, and all amendments and supplements thereto, as may be reasonably requested for use in connection with the Exempt Resales; (f) the preparation of certificates for the Notes (including, without limitation, printing and engraving thereof); (g) the approval of the Notes by DTC for “book-entry” transfer (including fees and expenses of counsel for the Initial Purchasers); (h) the rating of the Notes; (i) the obligations of the Trustee, any agent of the Trustee and the counsel for the Trustee in connection with the Indenture and the Notes; (j) the performance by the Company of their other obligations under this Agreement; (k) all expenses incurred by the Company (for avoidance of doubt, excluding expenses incurred by the Initial Purchasers) in connection with any “road show” presentation to potential investors, and (l) and expenses associated with any electronic road show.</w:t>
      </w:r>
    </w:p>
    <w:p>
      <w:pPr>
        <w:spacing w:after="0" w:line="192" w:lineRule="exact"/>
        <w:rPr>
          <w:rFonts w:ascii="Times New Roman" w:cs="Times New Roman" w:eastAsia="Times New Roman" w:hAnsi="Times New Roman"/>
          <w:sz w:val="18"/>
          <w:szCs w:val="18"/>
          <w:color w:val="auto"/>
        </w:rPr>
      </w:pPr>
    </w:p>
    <w:p>
      <w:pPr>
        <w:jc w:val="both"/>
        <w:ind w:left="-20" w:firstLine="656"/>
        <w:spacing w:after="0" w:line="267" w:lineRule="auto"/>
        <w:tabs>
          <w:tab w:leader="none" w:pos="139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Initial Purchasers’ Obligations</w:t>
      </w:r>
      <w:r>
        <w:rPr>
          <w:rFonts w:ascii="Times New Roman" w:cs="Times New Roman" w:eastAsia="Times New Roman" w:hAnsi="Times New Roman"/>
          <w:sz w:val="18"/>
          <w:szCs w:val="18"/>
          <w:color w:val="auto"/>
        </w:rPr>
        <w:t>. The respective obligations of the Initial Purchasers hereunder are subject to the accuracy,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made and on and as of the Closing Date, of the representations and warranties of the Company contained herein, to the performance by the Company of its obligations hereunder, and to each of the following additional terms and conditions:</w:t>
      </w:r>
    </w:p>
    <w:p>
      <w:pPr>
        <w:spacing w:after="0" w:line="175" w:lineRule="exact"/>
        <w:rPr>
          <w:rFonts w:ascii="Times New Roman" w:cs="Times New Roman" w:eastAsia="Times New Roman" w:hAnsi="Times New Roman"/>
          <w:sz w:val="18"/>
          <w:szCs w:val="18"/>
          <w:color w:val="auto"/>
        </w:rPr>
      </w:pPr>
    </w:p>
    <w:p>
      <w:pPr>
        <w:jc w:val="both"/>
        <w:ind w:left="-20" w:firstLine="1305"/>
        <w:spacing w:after="0" w:line="261" w:lineRule="auto"/>
        <w:tabs>
          <w:tab w:leader="none" w:pos="221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Purchasers shall not have discovered and disclosed to the Company on or prior to the Closing Date that the Pricing Disclosure Package, any Free Writing Offering Document or the Offering Memorandum, or any amendment or supplement thereto, contains an untrue statement of a fact which, in the opinion of Fenwick &amp; West LLP, counsel to the Initial Purchasers, is material or omits to state a fact which, in the opinion of such counsel, is material and is necessary in order to make the statements therein, in the light of the circumstances then prevailing, not misleading.</w:t>
      </w:r>
    </w:p>
    <w:p>
      <w:pPr>
        <w:spacing w:after="0" w:line="180" w:lineRule="exact"/>
        <w:rPr>
          <w:rFonts w:ascii="Times New Roman" w:cs="Times New Roman" w:eastAsia="Times New Roman" w:hAnsi="Times New Roman"/>
          <w:sz w:val="18"/>
          <w:szCs w:val="18"/>
          <w:color w:val="auto"/>
        </w:rPr>
      </w:pPr>
    </w:p>
    <w:p>
      <w:pPr>
        <w:jc w:val="both"/>
        <w:ind w:left="-20" w:firstLine="1305"/>
        <w:spacing w:after="0" w:line="261" w:lineRule="auto"/>
        <w:tabs>
          <w:tab w:leader="none" w:pos="220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proceedings and other legal matters incident to the authorization, form and validity of this Agreement, the Notes, the Indenture, the Pricing Disclosure Package and the Offering Memorandum, and all other legal matters relating to this Agreement and the transactions contemplated hereby shall be reasonably satisfactory in all material respects to counsel for the Initial Purchasers, and the Company shall have furnished to such counsel all documents and information that they may reasonably request to enable them to pass upon such matters.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2" w:right="239" w:bottom="1440" w:gutter="0" w:footer="0" w:header="0"/>
        </w:sectPr>
      </w:pPr>
    </w:p>
    <w:bookmarkStart w:id="132" w:name="page133"/>
    <w:bookmarkEnd w:id="132"/>
    <w:p>
      <w:pPr>
        <w:ind w:left="-20" w:firstLine="1305"/>
        <w:spacing w:after="0" w:line="282" w:lineRule="auto"/>
        <w:tabs>
          <w:tab w:leader="none" w:pos="216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Wilson Sonsini Goodrich &amp; Rosati, P.C. shall have furnished to the Initial Purchasers its written opinion and negative assurance letter, as counsel to the Company, addressed to the Initial Purchasers and dated the Closing Date, in form and substance satisfactory to the Initial Purchasers.</w:t>
      </w:r>
    </w:p>
    <w:p>
      <w:pPr>
        <w:spacing w:after="0" w:line="161" w:lineRule="exact"/>
        <w:rPr>
          <w:rFonts w:ascii="Times New Roman" w:cs="Times New Roman" w:eastAsia="Times New Roman" w:hAnsi="Times New Roman"/>
          <w:sz w:val="18"/>
          <w:szCs w:val="18"/>
          <w:color w:val="auto"/>
        </w:rPr>
      </w:pPr>
    </w:p>
    <w:p>
      <w:pPr>
        <w:ind w:left="-20" w:firstLine="1305"/>
        <w:spacing w:after="0" w:line="282" w:lineRule="auto"/>
        <w:tabs>
          <w:tab w:leader="none" w:pos="220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Kilpatrick Townsend &amp; Stockton LLP, shall have furnished to the Initial Purchasers its written opinion, as intellectual property counsel to the Company, addressed to the Initial Purchasers and dated the Closing Date, in form and substance satisfactory to the Initial Purchasers.</w:t>
      </w:r>
    </w:p>
    <w:p>
      <w:pPr>
        <w:spacing w:after="0" w:line="161" w:lineRule="exact"/>
        <w:rPr>
          <w:rFonts w:ascii="Times New Roman" w:cs="Times New Roman" w:eastAsia="Times New Roman" w:hAnsi="Times New Roman"/>
          <w:sz w:val="18"/>
          <w:szCs w:val="18"/>
          <w:color w:val="auto"/>
        </w:rPr>
      </w:pPr>
    </w:p>
    <w:p>
      <w:pPr>
        <w:jc w:val="both"/>
        <w:ind w:left="-20" w:firstLine="1305"/>
        <w:spacing w:after="0" w:line="261" w:lineRule="auto"/>
        <w:tabs>
          <w:tab w:leader="none" w:pos="237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Purchasers shall have received from Fenwick &amp; West LLP, counsel for the Initial Purchasers, such opinion or opinions and negative assurance letter, dated the Closing Date, with respect to the issuance and sale of the Notes, the Pricing Disclosure Package, the Offering Memorandum and other related matters as the Initial Purchasers may reasonably require, and the Company shall have furnished to such counsel such documents and information as such counsel reasonably requests for the purpose of enabling them to pass upon such matters.</w:t>
      </w:r>
    </w:p>
    <w:p>
      <w:pPr>
        <w:spacing w:after="0" w:line="180" w:lineRule="exact"/>
        <w:rPr>
          <w:rFonts w:ascii="Times New Roman" w:cs="Times New Roman" w:eastAsia="Times New Roman" w:hAnsi="Times New Roman"/>
          <w:sz w:val="18"/>
          <w:szCs w:val="18"/>
          <w:color w:val="auto"/>
        </w:rPr>
      </w:pPr>
    </w:p>
    <w:p>
      <w:pPr>
        <w:jc w:val="both"/>
        <w:ind w:left="-20" w:firstLine="1305"/>
        <w:spacing w:after="0" w:line="255" w:lineRule="auto"/>
        <w:tabs>
          <w:tab w:leader="none" w:pos="235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execution of this Agreement, the Initial Purchasers shall have received from PricewaterhouseCoopers LLP a letter, in form and substance satisfactory to the Initial Purchasers, addressed to the Initial Purchasers and dated the date hereof (i) confirming that they are independent public accountants with respect to the Company and the Subsidiaries within the meaning of the Securities Act and the applicable rules and regulations adopted by the Commission and the PCAOB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Pricing Disclosure Package, as of a date not more than three days prior to the date hereof), the conclusions and findings of such firm with respect to the financial information and (iii) covering such other matters as are ordinarily covered by accountants’ “comfort letters” to underwriters in connection with registered public offerings.</w:t>
      </w:r>
    </w:p>
    <w:p>
      <w:pPr>
        <w:spacing w:after="0" w:line="185" w:lineRule="exact"/>
        <w:rPr>
          <w:rFonts w:ascii="Times New Roman" w:cs="Times New Roman" w:eastAsia="Times New Roman" w:hAnsi="Times New Roman"/>
          <w:sz w:val="18"/>
          <w:szCs w:val="18"/>
          <w:color w:val="auto"/>
        </w:rPr>
      </w:pPr>
    </w:p>
    <w:p>
      <w:pPr>
        <w:jc w:val="both"/>
        <w:ind w:left="-20" w:firstLine="1305"/>
        <w:spacing w:after="0" w:line="254" w:lineRule="auto"/>
        <w:tabs>
          <w:tab w:leader="none" w:pos="231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letter of PricewaterhouseCoopers LLP referred to in the preceding paragraph and delivered to the Initial Purchasers concurrently with the execution of this Agreement (the “</w:t>
      </w:r>
      <w:r>
        <w:rPr>
          <w:rFonts w:ascii="Times New Roman" w:cs="Times New Roman" w:eastAsia="Times New Roman" w:hAnsi="Times New Roman"/>
          <w:sz w:val="18"/>
          <w:szCs w:val="18"/>
          <w:b w:val="1"/>
          <w:bCs w:val="1"/>
          <w:i w:val="1"/>
          <w:iCs w:val="1"/>
          <w:color w:val="auto"/>
        </w:rPr>
        <w:t>initial letter</w:t>
      </w:r>
      <w:r>
        <w:rPr>
          <w:rFonts w:ascii="Times New Roman" w:cs="Times New Roman" w:eastAsia="Times New Roman" w:hAnsi="Times New Roman"/>
          <w:sz w:val="18"/>
          <w:szCs w:val="18"/>
          <w:color w:val="auto"/>
        </w:rPr>
        <w:t>”), the Company shall have furnished to the Initial Purchasers a “bring-down letter” of such accountants, addressed to the Initial Purchasers and dated the Closing Date (i) confirming that it is an independent public accountant with respect to the Company and the Subsidiaries within the meaning of the Securities Act and the applicable rules and regulations adopted by the Commission and the PCAOB and is in compliance with the applicable requirements relating to the qualification of accountants under Rule 2-01 of Regulation S-X of the Commission, (ii) stating, as of the Closing Date (or, with respect to matters involving changes or developments since the respective dates as of which specified financial information is given in each of the Pricing Disclosure Package or the Offering Memorandum, as of a date not more than three days prior to the date of the Closing Date), the conclusions and findings of such firm with respect to the financial information and other matters covered by the initial letter, and (iii) confirming in all material respects the conclusions and findings set forth in the initial letter.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33" w:name="page134"/>
    <w:bookmarkEnd w:id="133"/>
    <w:p>
      <w:pPr>
        <w:jc w:val="both"/>
        <w:ind w:left="-20" w:firstLine="1305"/>
        <w:spacing w:after="0" w:line="266" w:lineRule="auto"/>
        <w:tabs>
          <w:tab w:leader="none" w:pos="245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have received on the Closing Date a certificate of the Chief Financial Officer of the Company providing “management comfort” on certain specified financial and statistical information contained in the Pricing Disclosure Package and the Offering Memorandum.</w:t>
      </w:r>
    </w:p>
    <w:p>
      <w:pPr>
        <w:spacing w:after="0" w:line="176" w:lineRule="exact"/>
        <w:rPr>
          <w:rFonts w:ascii="Times New Roman" w:cs="Times New Roman" w:eastAsia="Times New Roman" w:hAnsi="Times New Roman"/>
          <w:sz w:val="18"/>
          <w:szCs w:val="18"/>
          <w:color w:val="auto"/>
        </w:rPr>
      </w:pPr>
    </w:p>
    <w:p>
      <w:pPr>
        <w:jc w:val="both"/>
        <w:ind w:left="-20" w:firstLine="1305"/>
        <w:spacing w:after="0" w:line="254" w:lineRule="auto"/>
        <w:tabs>
          <w:tab w:leader="none" w:pos="252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Pricing Disclosure Package and the Offering Memorandum (exclusive of any amendment or supplement thereto), (i) neither the Company nor any of the Subsidiaries shall have sustained, since the date of the latest audited financial statements included or incorporated by reference in the Pricing Disclosure Package and the Offering Memorandum, any loss or interference with its business from fire, explosion, flood or other calamity, whether or not covered by insurance, or from any labor dispute or court or governmental action, order or decree, or (ii) since such date, there shall not have been any change in the capital stock or long-term debt of the Company or any of the Subsidiaries or any change, or any development involving a prospective change, in or affecting the condition (financial or otherwise), results of operations, stockholders’ equity, properties, management, business or prospects of the Company and the Subsidiaries, taken as a whole, the effect of which, in any such case described in clause (i) or (ii), is, individually or in the aggregate, in the judgment of Barclays, so material and adverse as to make it impracticable or inadvisable to proceed with the offering, sale or the delivery of the Notes being delivered on the Closing Date on the terms and in the manner contemplated in the Pricing Disclosure Package and the Offering Memorandum.</w:t>
      </w:r>
    </w:p>
    <w:p>
      <w:pPr>
        <w:spacing w:after="0" w:line="186" w:lineRule="exact"/>
        <w:rPr>
          <w:rFonts w:ascii="Times New Roman" w:cs="Times New Roman" w:eastAsia="Times New Roman" w:hAnsi="Times New Roman"/>
          <w:sz w:val="18"/>
          <w:szCs w:val="18"/>
          <w:color w:val="auto"/>
        </w:rPr>
      </w:pPr>
    </w:p>
    <w:p>
      <w:pPr>
        <w:ind w:left="-20" w:firstLine="1305"/>
        <w:spacing w:after="0" w:line="282" w:lineRule="auto"/>
        <w:tabs>
          <w:tab w:leader="none" w:pos="223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the Initial Purchasers dated as of the Closing Date a certificate of the Chief Executive Officer and Chief Financial Officer of the Company stating:</w:t>
      </w:r>
    </w:p>
    <w:p>
      <w:pPr>
        <w:spacing w:after="0" w:line="161" w:lineRule="exact"/>
        <w:rPr>
          <w:rFonts w:ascii="Times New Roman" w:cs="Times New Roman" w:eastAsia="Times New Roman" w:hAnsi="Times New Roman"/>
          <w:sz w:val="18"/>
          <w:szCs w:val="18"/>
          <w:color w:val="auto"/>
        </w:rPr>
      </w:pPr>
    </w:p>
    <w:p>
      <w:pPr>
        <w:jc w:val="both"/>
        <w:ind w:left="1280" w:firstLine="782"/>
        <w:spacing w:after="0" w:line="266" w:lineRule="auto"/>
        <w:tabs>
          <w:tab w:leader="none" w:pos="290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representations, warranties and agreements of the Company in Section 2 are true and correct on and as of the Closing Date, and the Company has complied with all its agreements contained herein and satisfied all the conditions on its part to be performed or satisfied hereunder at or prior to the Closing Date;</w:t>
      </w:r>
    </w:p>
    <w:p>
      <w:pPr>
        <w:spacing w:after="0" w:line="176" w:lineRule="exact"/>
        <w:rPr>
          <w:rFonts w:ascii="Times New Roman" w:cs="Times New Roman" w:eastAsia="Times New Roman" w:hAnsi="Times New Roman"/>
          <w:sz w:val="18"/>
          <w:szCs w:val="18"/>
          <w:color w:val="auto"/>
        </w:rPr>
      </w:pPr>
    </w:p>
    <w:p>
      <w:pPr>
        <w:jc w:val="both"/>
        <w:ind w:left="1280" w:firstLine="782"/>
        <w:spacing w:after="0" w:line="256" w:lineRule="auto"/>
        <w:tabs>
          <w:tab w:leader="none" w:pos="298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they have examined the Pricing Disclosure Package and the Offering Memorandum, and, in their opinion, (A) the Pricing Disclosure Package, as of the Applicable Time, and the Offering Memorandum, as of its date and as of the Closing Date, did not and do not contain any untrue statement of a material fact and did not and do not omit to state a material fact necessary to make the statements therein, in the light of the circumstances under which they were made, not misleading and (B) since the date of the Pricing Disclosure Package and the Offering Memorandum, no event has occurred which should have been set forth in a supplement or amendment to the Pricing Disclosure Package and the Offering Memorandum;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34" w:name="page135"/>
    <w:bookmarkEnd w:id="134"/>
    <w:p>
      <w:pPr>
        <w:ind w:left="3072" w:hanging="998"/>
        <w:spacing w:after="0"/>
        <w:tabs>
          <w:tab w:leader="none" w:pos="3072"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of Section 7(i) (provided that no representation with respect to the judgment of Barclays need to be</w:t>
      </w:r>
    </w:p>
    <w:p>
      <w:pPr>
        <w:spacing w:after="0" w:line="27"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and Section 7(k).</w:t>
      </w:r>
    </w:p>
    <w:p>
      <w:pPr>
        <w:spacing w:after="0" w:line="206" w:lineRule="exact"/>
        <w:rPr>
          <w:rFonts w:ascii="Times New Roman" w:cs="Times New Roman" w:eastAsia="Times New Roman" w:hAnsi="Times New Roman"/>
          <w:sz w:val="18"/>
          <w:szCs w:val="18"/>
          <w:color w:val="auto"/>
        </w:rPr>
      </w:pPr>
    </w:p>
    <w:p>
      <w:pPr>
        <w:jc w:val="both"/>
        <w:ind w:left="-8" w:firstLine="1305"/>
        <w:spacing w:after="0" w:line="261" w:lineRule="auto"/>
        <w:tabs>
          <w:tab w:leader="none" w:pos="217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earlier of the Applicable Time and the execution and delivery of this Agreement there shall not have occurred any of the following: (i) downgrading shall have occurred in the rating accorded the Company’s debt securities by any “nationally recognized statistical rating organization,” as that term is used by the Commission in Section 15E under the Exchange Act, or (ii) such organization shall have publicly announced that it has under surveillance or review, with possible negative implications, its rating of any of the Company’s debt securities.</w:t>
      </w:r>
    </w:p>
    <w:p>
      <w:pPr>
        <w:spacing w:after="0" w:line="180" w:lineRule="exact"/>
        <w:rPr>
          <w:rFonts w:ascii="Times New Roman" w:cs="Times New Roman" w:eastAsia="Times New Roman" w:hAnsi="Times New Roman"/>
          <w:sz w:val="18"/>
          <w:szCs w:val="18"/>
          <w:color w:val="auto"/>
        </w:rPr>
      </w:pPr>
    </w:p>
    <w:p>
      <w:pPr>
        <w:ind w:left="2232" w:hanging="935"/>
        <w:spacing w:after="0"/>
        <w:tabs>
          <w:tab w:leader="none" w:pos="223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eligible for clearance and settlement through DTC.</w:t>
      </w:r>
    </w:p>
    <w:p>
      <w:pPr>
        <w:spacing w:after="0" w:line="225" w:lineRule="exact"/>
        <w:rPr>
          <w:rFonts w:ascii="Times New Roman" w:cs="Times New Roman" w:eastAsia="Times New Roman" w:hAnsi="Times New Roman"/>
          <w:sz w:val="18"/>
          <w:szCs w:val="18"/>
          <w:color w:val="auto"/>
        </w:rPr>
      </w:pPr>
    </w:p>
    <w:p>
      <w:pPr>
        <w:ind w:left="-8" w:firstLine="1305"/>
        <w:spacing w:after="0" w:line="282" w:lineRule="auto"/>
        <w:tabs>
          <w:tab w:leader="none" w:pos="230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Trustee shall have executed and delivered the Indenture, and the Initial Purchasers shall have received an original copy thereof, duly executed by the Company and the Trustee.</w:t>
      </w:r>
    </w:p>
    <w:p>
      <w:pPr>
        <w:spacing w:after="0" w:line="161" w:lineRule="exact"/>
        <w:rPr>
          <w:rFonts w:ascii="Times New Roman" w:cs="Times New Roman" w:eastAsia="Times New Roman" w:hAnsi="Times New Roman"/>
          <w:sz w:val="18"/>
          <w:szCs w:val="18"/>
          <w:color w:val="auto"/>
        </w:rPr>
      </w:pPr>
    </w:p>
    <w:p>
      <w:pPr>
        <w:jc w:val="both"/>
        <w:ind w:left="-8" w:firstLine="1305"/>
        <w:spacing w:after="0" w:line="257" w:lineRule="auto"/>
        <w:tabs>
          <w:tab w:leader="none" w:pos="250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earlier of the Applicable Time and the execution and delivery of this Agreement there shall not have occurred any of the following: (i)(A) trading in securities generally on any securities exchange that has registered with the Commission under Section 6 of the Exchange Act (including the New York Stock Exchange, The Nasdaq Global Select Market, The Nasdaq Global Market or The Nasdaq Capital Market) or</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any securities of the Company on any exchange or in the over-the-counter market in the United States,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as to make it, in the judgment of Barclays, impracticable or inadvisable to proceed with the offering or delivery of the Notes being delivered on the Closing Date on the terms and in the manner contemplated in the Offering Memorandum or that, in the judgment of Barclays, could materially and adversely affect the financial markets or the markets for the Notes and other debt or equity securities.</w:t>
      </w:r>
    </w:p>
    <w:p>
      <w:pPr>
        <w:spacing w:after="0" w:line="193" w:lineRule="exact"/>
        <w:rPr>
          <w:rFonts w:ascii="Times New Roman" w:cs="Times New Roman" w:eastAsia="Times New Roman" w:hAnsi="Times New Roman"/>
          <w:sz w:val="18"/>
          <w:szCs w:val="18"/>
          <w:color w:val="auto"/>
        </w:rPr>
      </w:pPr>
    </w:p>
    <w:p>
      <w:pPr>
        <w:ind w:left="-8" w:firstLine="1305"/>
        <w:spacing w:after="0" w:line="282" w:lineRule="auto"/>
        <w:tabs>
          <w:tab w:leader="none" w:pos="217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Common Stock issuable upon conversion of the Notes shall have been duly listed, subject to notice of issuance, on the Nasdaq Global Select Market.</w:t>
      </w:r>
    </w:p>
    <w:p>
      <w:pPr>
        <w:spacing w:after="0" w:line="161" w:lineRule="exact"/>
        <w:rPr>
          <w:rFonts w:ascii="Times New Roman" w:cs="Times New Roman" w:eastAsia="Times New Roman" w:hAnsi="Times New Roman"/>
          <w:sz w:val="18"/>
          <w:szCs w:val="18"/>
          <w:color w:val="auto"/>
        </w:rPr>
      </w:pPr>
    </w:p>
    <w:p>
      <w:pPr>
        <w:jc w:val="both"/>
        <w:ind w:left="-8" w:firstLine="1305"/>
        <w:spacing w:after="0" w:line="266" w:lineRule="auto"/>
        <w:tabs>
          <w:tab w:leader="none" w:pos="222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between the Representative and the officers and directors of the Company set forth on Schedule IV, delivered to the Representative on or before the date of this Agreement, shall be in full force and effect on the Closing Date and the Option Closing Date, as the case may be.</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35" w:name="page136"/>
    <w:bookmarkEnd w:id="135"/>
    <w:p>
      <w:pPr>
        <w:ind w:right="20" w:firstLine="1305"/>
        <w:spacing w:after="0" w:line="282" w:lineRule="auto"/>
        <w:tabs>
          <w:tab w:leader="none" w:pos="245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have furnished to the Initial Purchasers such further certificates and documents as the Initial Purchasers may reasonably request.</w:t>
      </w:r>
    </w:p>
    <w:p>
      <w:pPr>
        <w:spacing w:after="0" w:line="162"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The several obligations of the Initial Purchasers to purchase Additional Notes hereunder are subject to the delivery to the Representative on the applicable Option Closing Date of such documents as the Representative may reasonably request with respect to the good standing of the Company, the due authorization and issuance of the Additional Notes to be sold on such Option Closing Date and other matters related to the issuance of such Additional Notes.</w:t>
      </w:r>
    </w:p>
    <w:p>
      <w:pPr>
        <w:spacing w:after="0" w:line="180"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Initial Purchasers.</w:t>
      </w:r>
    </w:p>
    <w:p>
      <w:pPr>
        <w:spacing w:after="0" w:line="160" w:lineRule="exact"/>
        <w:rPr>
          <w:sz w:val="20"/>
          <w:szCs w:val="20"/>
          <w:color w:val="auto"/>
        </w:rPr>
      </w:pPr>
    </w:p>
    <w:p>
      <w:pPr>
        <w:ind w:left="1340" w:hanging="684"/>
        <w:spacing w:after="0"/>
        <w:tabs>
          <w:tab w:leader="none" w:pos="1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5"/>
        <w:spacing w:after="0" w:line="252" w:lineRule="auto"/>
        <w:tabs>
          <w:tab w:leader="none" w:pos="248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indemnify and hold harmless each Initial Purchaser, its affiliates, directors, officers and employees and each person, if any, who controls such Initial Purchaser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Notes) to which that Initial Purchaser,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any (A) Free Writing Offering Document, the Preliminary Offering Memorandum, the Pricing Disclosure Package or the Offering Memorandum or in any amendment or supplement thereto, or (B) any road show or investor presentations made to investors by the Company (whether in person or electronically) (the “</w:t>
      </w:r>
      <w:r>
        <w:rPr>
          <w:rFonts w:ascii="Times New Roman" w:cs="Times New Roman" w:eastAsia="Times New Roman" w:hAnsi="Times New Roman"/>
          <w:sz w:val="18"/>
          <w:szCs w:val="18"/>
          <w:b w:val="1"/>
          <w:bCs w:val="1"/>
          <w:i w:val="1"/>
          <w:iCs w:val="1"/>
          <w:color w:val="auto"/>
        </w:rPr>
        <w:t>Road Show</w:t>
      </w:r>
      <w:r>
        <w:rPr>
          <w:rFonts w:ascii="Times New Roman" w:cs="Times New Roman" w:eastAsia="Times New Roman" w:hAnsi="Times New Roman"/>
          <w:sz w:val="18"/>
          <w:szCs w:val="18"/>
          <w:color w:val="auto"/>
        </w:rPr>
        <w:t xml:space="preserve">”) or (ii) the omission or alleged omission to state in any Free Writing Offering Document, the Preliminary Offering Memorandum, the Pricing Disclosure Package or the Offering Memorandum, or in any amendment or supplement thereto, or in any Road Show, any material fact necessary in order to make the statements therein, in the light of the circumstances under which they were made, not misleading, and shall reimburse each Initial Purchaser and each such affiliate, director, officer, employee or controlling person promptly upon demand for any legal or other out-of-pocket expenses reasonably incurred by that Initial Purchaser, affiliate,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liable in any such case to the extent that any such loss, claim, damage, liability or action arises out of, or is based upon, any untrue statement or alleged untrue statement or omission or alleged omission made in any Free Writing Offering Document, Preliminary Offering Memorandum, the Pricing Disclosure Package or Offering Memorandum, or in any such amendment or supplement thereto, or in any Road Show, in reliance upon and in conformity with written information concerning such Initial Purchaser furnished to the Company through the Representative by or on behalf of any Initial Purchaser specifically for inclusion therein, which information consists solely of the information specified in Section 8(e). In the event that it is finally judicially determined that the Initial Purchasers were not entitled to receive payments for legal and other expenses pursuant to this subparagraph, the Initial Purchasers will promptly return all sums that had been advanced pursuant hereto. The foregoing indemnity agreement is in addition to any liability that the Company may otherwise have to any Initial Purchaser or to any affiliate, director, officer, employee or controlling person of that Initial Purchaser.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6" w:name="page137"/>
    <w:bookmarkEnd w:id="136"/>
    <w:p>
      <w:pPr>
        <w:jc w:val="both"/>
        <w:ind w:left="-20" w:firstLine="1305"/>
        <w:spacing w:after="0" w:line="253" w:lineRule="auto"/>
        <w:tabs>
          <w:tab w:leader="none" w:pos="226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Initial Purchaser, severally and not jointly, hereby agrees to indemnify and hold harmless the Company, its officers and employees, each of its directors, and each person, if any, who controls the Company within the meaning of Section 15 of the Securities Act or Section 20 of the Exchange Act, from and against any loss, claim, damage or liability, joint or several, or any action in respect thereof, to which the Company or any such director, officer, employee or controlling person may become subject, under the Securities Act or otherwise, insofar as such loss, claim, damage, liability or action arises out of or is based upon (i) any untrue statement or alleged untrue statement of a material fact contained in any Free Writing Offering Document, Preliminary Offering Memorandum, the Pricing Disclosure Package or the Offering Memorandum or in any amendment or supplement thereto, or in any Road Show, or (ii) the omission or alleged omission to state in any Free Writing Offering Document, Preliminary Offering Memorandum, the Pricing Disclosure Package or the Offering Memorandum, or in any amendment or supplement thereto, or in any Road Show, any material fact necessary in order to make the statements therein, in the light of the circumstances under which they were made, not misleading, but in each case only to the extent, that the untrue statement or alleged untrue statement or omission or alleged omission was made in reliance upon and in conformity with written information concerning such Initial Purchaser furnished to the Company through the Representative by or on behalf of that Initial Purchaser specifically for inclusion therein, which information is limited to the information set forth in Section 8(e). The foregoing indemnity agreement is in addition to any liability that any Initial Purchaser may otherwise have to the Company or any such director, officer, employee or controlling person.</w:t>
      </w:r>
    </w:p>
    <w:p>
      <w:pPr>
        <w:spacing w:after="0" w:line="188" w:lineRule="exact"/>
        <w:rPr>
          <w:rFonts w:ascii="Times New Roman" w:cs="Times New Roman" w:eastAsia="Times New Roman" w:hAnsi="Times New Roman"/>
          <w:sz w:val="18"/>
          <w:szCs w:val="18"/>
          <w:color w:val="auto"/>
        </w:rPr>
      </w:pPr>
    </w:p>
    <w:p>
      <w:pPr>
        <w:jc w:val="both"/>
        <w:ind w:left="-20" w:firstLine="1305"/>
        <w:spacing w:after="0" w:line="251" w:lineRule="auto"/>
        <w:tabs>
          <w:tab w:leader="none" w:pos="219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8 of notice of any claim or the commencement of any action, the indemnified party shall, if a claim in respect thereof is to be made against the indemnifying party under this Section 8, notify the indemnifying party in writing of the claim or the commencement of that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to notify the indemnifying party shall not relieve it from any liability that it may have under paragraphs (a) or (b) above except to the extent it has been materially prejudiced (through the forfeiture of substantive rights or defenses) by such failure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failure to notify the indemnifying party shall not relieve the indemnifying party from any liability that it may have to an indemnified party otherwise than under paragraphs (a) or (b) above.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8 for any legal or other expenses subsequently incurred by the indemnified party in connection with the defense thereof other than reasonable costs of investigation;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8,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(based on the advice of counsel) that there may be legal defenses available to them that are different from or in addition to those available to the indemnified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present a conflict due to actual or potential differing interests between them, and in any such event the fees and expenses of such separate counsel shall be paid by the indemnifying party. No indemnifying party shall (x) without the prior written consent of the indemnified parties (which consent shall not be unreasonably withheld, delayed, or conditioned),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delayed, or conditioned), but if settled with the consent of the indemnifying party or if there be a final judgment of the plaintiff in any such action, the indemnifying party agrees to indemnify and hold harmless any indemnified party from and against any loss or liability by reason of such settlement or judgment.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1121" w:right="239" w:bottom="1440" w:gutter="0" w:footer="0" w:header="0"/>
        </w:sectPr>
      </w:pPr>
    </w:p>
    <w:bookmarkStart w:id="137" w:name="page138"/>
    <w:bookmarkEnd w:id="137"/>
    <w:p>
      <w:pPr>
        <w:jc w:val="both"/>
        <w:ind w:left="-20" w:firstLine="1305"/>
        <w:spacing w:after="0" w:line="251" w:lineRule="auto"/>
        <w:tabs>
          <w:tab w:leader="none" w:pos="226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8 shall for any reason be unavailable to or insufficient to hold harmless an indemnified party under Section 8(a) or 8(b)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Initial Purchasers, on the other, from the offering of the Notes, or (ii) if the allocation provided by clause (i) above is not permitted by applicable law, in such proportion as is appropriate to reflect not only the relative benefits referred to in clause (i) above but also the relative fault of the Company, on the one hand, and the Initial Purchasers, on the other, with respect to the statements or omissions that resulted in such loss, claim, damage or liability or action in respect thereof, as well as any other relevant equitable considerations. The relative benefits received by the Company, on the one hand, and the Initial Purchasers, on the other hand, with respect to such offering shall be deemed to be in the same proportion as the total net proceeds from the offering of the Notes purchased under this Agreement (before deducting expenses) received by the Company, on the one hand, and the total discounts and commissions received by the Initial Purchasers with respect to the Notes purchased under this Agreement, on the other hand, bear to the total gross proceeds from the offering of the Notes under this Agreement as set forth on the cover page of the Offering Memorandum. The relative fault shall be determined by reference to whether the untrue or alleged untrue statement of a material fact or omission or alleged omission to state a material fact relates to information supplied by the Company, or the Initial Purchasers, the intent of the parties and their relative knowledge, access to information and opportunity to correct or prevent such statement or omission. The Company and the Initial Purchasers agree that it would not be just and equitable if contributions pursuant to this Section 8(d) were to be determined by pro rata allocation (even if the Initial Purchasers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8(d) shall be deemed to include, for purposes of this Section 8(d), any legal or other expenses reasonably incurred by such indemnified party in connection with investigating or defending any such action or claim. Notwithstanding the provisions of this Section 8(d), no Initial Purchaser shall be required to contribute any amount in excess of the amount by which the total underwriting discounts and commissions received by such Initial Purchaser with respect to the offering of the Notes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Initial Purchasers’ obligations to contribute as provided in this Section 8(d) are several in proportion to their respective purchase obligations and not joint.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38" w:name="page139"/>
    <w:bookmarkEnd w:id="138"/>
    <w:p>
      <w:pPr>
        <w:jc w:val="both"/>
        <w:ind w:left="-20" w:firstLine="1305"/>
        <w:spacing w:after="0" w:line="258" w:lineRule="auto"/>
        <w:tabs>
          <w:tab w:leader="none" w:pos="23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Purchasers severally confirm and the Company acknowledges and agrees that the statements with respect to the offering of the Notes by the Initial Purchasers set forth in the second sentence of the third paragraph and the eighth paragraph of the section entitled “Plan of Distribution” in the Pricing Disclosure Package and the Offering Memorandum are correct and constitute the only information concerning such Initial Purchasers furnished in writing to the Company by or on behalf of the Initial Purchasers specifically for inclusion in the Preliminary Offering Memorandum, the Pricing Disclosure Package and the Offering Memorandum or in any amendment or supplement thereto.</w:t>
      </w:r>
    </w:p>
    <w:p>
      <w:pPr>
        <w:spacing w:after="0" w:line="181"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Initial Purchasers.</w:t>
      </w:r>
    </w:p>
    <w:p>
      <w:pPr>
        <w:spacing w:after="0" w:line="227" w:lineRule="exact"/>
        <w:rPr>
          <w:rFonts w:ascii="Times New Roman" w:cs="Times New Roman" w:eastAsia="Times New Roman" w:hAnsi="Times New Roman"/>
          <w:sz w:val="18"/>
          <w:szCs w:val="18"/>
          <w:color w:val="auto"/>
        </w:rPr>
      </w:pPr>
    </w:p>
    <w:p>
      <w:pPr>
        <w:jc w:val="both"/>
        <w:ind w:left="-20" w:firstLine="1305"/>
        <w:spacing w:after="0" w:line="253" w:lineRule="auto"/>
        <w:tabs>
          <w:tab w:leader="none" w:pos="236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or the Option Closing Date, as the case may be, any Initial Purchaser defaults in its obligations to purchase the Notes that it has agreed to purchase under this Agreement, the remaining non-defaulting Initial Purchasers may in their discretion arrange for the purchase of such Notes by the non-defaulting Initial Purchasers or other persons satisfactory to the Company on the terms contained in this Agreement. If, within 36 hours after any such default by any Initial Purchaser, the non-defaulting Initial Purchasers do not arrange for the purchase of such Notes, then the Company shall be entitled to a further period of 36 hours within which to procure other persons satisfactory to the non-defaulting Initial Purchasers to purchase such Notes on such terms. In the event that within the respective prescribed periods, the non-defaulting Initial Purchasers notify the Company that they have so arranged for the purchase of such Notes, or the Company notifies the non-defaulting Initial Purchasers that it has so arranged for the purchase of such Notes, either the non-defaulting Initial Purchasers or the Company may postpone the Closing Date or the Option Closing Date, as the case may be, for up to seven full business days in order to effect any changes that in the opinion of counsel for the Company or counsel for the Initial Purchasers may be necessary in the Pricing Disclosure Package, the Offering Memorandum or in any other document or arrangement, and the Company agrees to promptly prepare any amendment or supplement to the Pricing Disclosure Package or the Offering Memorandum that effects any such changes. As used in this Agreement, the term “Initial Purchaser” includes, for all purposes of this Agreement unless the context requires otherwise, any party not listed in Schedule I hereto that, pursuant to this Section 9, purchases Notes that a defaulting Initial Purchaser agreed but failed to purchase.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39" w:name="page140"/>
    <w:bookmarkEnd w:id="139"/>
    <w:p>
      <w:pPr>
        <w:jc w:val="both"/>
        <w:ind w:left="-20" w:firstLine="1305"/>
        <w:spacing w:after="0" w:line="254" w:lineRule="auto"/>
        <w:tabs>
          <w:tab w:leader="none" w:pos="217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Notes of a defaulting Initial Purchaser or Initial Purchasers by the non-defaulting Initial Purchasers and the Company as provided in paragraph (a) above, the aggregate principal amount of such Notes that remains unpurchased on the Closing Date or the Option Closing Date, as the case may be, does not exceed one-eleventh of the aggregate principal amount of all the Notes to be purchased on such date, then the Company shall have the right to require each non-defaulting Initial Purchaser to purchase the principal amount of Notes that such Initial Purchaser agreed to purchase hereunder on such date plus such Initial Purchaser's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principal amount of Notes that such Initial Purchaser agreed to purchase hereunder on such date) of the Notes of such defaulting Initial Purchaser or Initial Purchasers for which such arrangements have not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non-defaulting Initial Purchasers shall not be obligated to purchase more than 110% of the aggregate principal amount of Notes that it agreed to purchase on the Closing Date or the Option Closing Date, as the case may be, pursuant to the terms of Section 3.</w:t>
      </w:r>
    </w:p>
    <w:p>
      <w:pPr>
        <w:spacing w:after="0" w:line="189" w:lineRule="exact"/>
        <w:rPr>
          <w:rFonts w:ascii="Times New Roman" w:cs="Times New Roman" w:eastAsia="Times New Roman" w:hAnsi="Times New Roman"/>
          <w:sz w:val="18"/>
          <w:szCs w:val="18"/>
          <w:color w:val="auto"/>
        </w:rPr>
      </w:pPr>
    </w:p>
    <w:p>
      <w:pPr>
        <w:jc w:val="both"/>
        <w:ind w:left="-20" w:firstLine="1305"/>
        <w:spacing w:after="0" w:line="255" w:lineRule="auto"/>
        <w:tabs>
          <w:tab w:leader="none" w:pos="217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Notes of a defaulting Initial Purchaser or Initial Purchasers by the non-defaulting Initial Purchasers and the Company as provided in paragraph (a) above, the aggregate principal amount of such Notes that remains unpurchased on the Closing Date or the Option Closing Date, as the case may be, exceeds one-eleventh of the aggregate principal amount of all the Notes to be purchased on such date, or if the Company shall not exercise the right described in paragraph (b) above, then this Agreement or, with respect to the Option Closing Date, the obligation of the Initial Purchasers to purchase Additional Notes on the Option Closing Date, as the case may be, shall terminate without liability on the part of the non-defaulting Initial Purchasers. Any termination of this Agreement pursuant to this Section 9 shall be without liability on the part of the Company, except that the Company will continue to be liable for the payment of expenses as set forth in Sections 6 and 11 and except that the provisions of Section 8 shall not terminate and shall remain in effect.</w:t>
      </w:r>
    </w:p>
    <w:p>
      <w:pPr>
        <w:spacing w:after="0" w:line="185" w:lineRule="exact"/>
        <w:rPr>
          <w:rFonts w:ascii="Times New Roman" w:cs="Times New Roman" w:eastAsia="Times New Roman" w:hAnsi="Times New Roman"/>
          <w:sz w:val="18"/>
          <w:szCs w:val="18"/>
          <w:color w:val="auto"/>
        </w:rPr>
      </w:pPr>
    </w:p>
    <w:p>
      <w:pPr>
        <w:ind w:left="-20" w:firstLine="1305"/>
        <w:spacing w:after="0" w:line="282" w:lineRule="auto"/>
        <w:tabs>
          <w:tab w:leader="none" w:pos="228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Initial Purchaser of any liability it may have to the Company or any non-defaulting Initial Purchaser for damages caused by its default.</w:t>
      </w:r>
    </w:p>
    <w:p>
      <w:pPr>
        <w:spacing w:after="0" w:line="159" w:lineRule="exact"/>
        <w:rPr>
          <w:rFonts w:ascii="Times New Roman" w:cs="Times New Roman" w:eastAsia="Times New Roman" w:hAnsi="Times New Roman"/>
          <w:sz w:val="18"/>
          <w:szCs w:val="18"/>
          <w:color w:val="auto"/>
        </w:rPr>
      </w:pPr>
    </w:p>
    <w:p>
      <w:pPr>
        <w:jc w:val="both"/>
        <w:ind w:left="-20" w:right="20" w:firstLine="656"/>
        <w:spacing w:after="0" w:line="267" w:lineRule="auto"/>
        <w:tabs>
          <w:tab w:leader="none" w:pos="127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obligations of the Initial Purchasers hereunder may be terminated by the Initial Purchasers by notice given to and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Company prior to delivery of and payment for the Notes if, prior to that time, any of the events described in Sections 7(i), (k) or (n) shall have occurred or if the Initial Purchasers shall decline to purchase the Notes for any reason permitted under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40" w:name="page141"/>
    <w:bookmarkEnd w:id="140"/>
    <w:p>
      <w:pPr>
        <w:jc w:val="both"/>
        <w:ind w:firstLine="656"/>
        <w:spacing w:after="0" w:line="257" w:lineRule="auto"/>
        <w:tabs>
          <w:tab w:leader="none" w:pos="144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Reimbursement of Initial Purchasers’ Expenses</w:t>
      </w:r>
      <w:r>
        <w:rPr>
          <w:rFonts w:ascii="Times New Roman" w:cs="Times New Roman" w:eastAsia="Times New Roman" w:hAnsi="Times New Roman"/>
          <w:sz w:val="18"/>
          <w:szCs w:val="18"/>
          <w:color w:val="auto"/>
        </w:rPr>
        <w:t>. If (a) the Company for any reason fails to tender the Notes for delivery to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or (b) the Initial Purchasers decline to purchase the Notes for any reason permitted under this Agreement, the Company shall reimburse the Initial Purchasers for all reasonable out-of-pocket expenses (including fees and disbursements of counsel for the Initial Purchasers) incurred by the Initial Purchasers in connection with this Agreement and the proposed purchase of the Notes, and upon demand the Company shall pay the full amount thereof to the Initial Purchasers. If this Agreement is terminated pursuant to Section 9 by reason of the default of one or more Initial Purchasers, the Company shall not be obligated to reimburse any defaulting Initial Purchaser on account of those expenses.</w:t>
      </w:r>
    </w:p>
    <w:p>
      <w:pPr>
        <w:spacing w:after="0" w:line="182"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 etc</w:t>
      </w:r>
      <w:r>
        <w:rPr>
          <w:rFonts w:ascii="Times New Roman" w:cs="Times New Roman" w:eastAsia="Times New Roman" w:hAnsi="Times New Roman"/>
          <w:sz w:val="18"/>
          <w:szCs w:val="18"/>
          <w:color w:val="auto"/>
        </w:rPr>
        <w:t>. All statements, requests, notices and agreements hereunder shall be in writing, and:</w:t>
      </w:r>
    </w:p>
    <w:p>
      <w:pPr>
        <w:spacing w:after="0" w:line="227" w:lineRule="exact"/>
        <w:rPr>
          <w:rFonts w:ascii="Times New Roman" w:cs="Times New Roman" w:eastAsia="Times New Roman" w:hAnsi="Times New Roman"/>
          <w:sz w:val="18"/>
          <w:szCs w:val="18"/>
          <w:color w:val="auto"/>
        </w:rPr>
      </w:pPr>
    </w:p>
    <w:p>
      <w:pPr>
        <w:jc w:val="both"/>
        <w:ind w:firstLine="1305"/>
        <w:spacing w:after="0" w:line="261" w:lineRule="auto"/>
        <w:tabs>
          <w:tab w:leader="none" w:pos="2347"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Initial Purchasers, shall be delivered or sent by hand delivery, mail, overnight courier or facsimile transmission to Barclays Capital Inc., 745 Seventh Avenue, New York, New York 10019, Attention: Syndicate Registration (Fax: (646) 834-8133) with a copy to Fenwick &amp; West LLP, 801 California Street, Mountain View, California 94041, Attention: David Michaels, and with a copy, in the case of any notice pursuant to Section 8(c), to the Director of Litigation, Office of the General Counsel, Barclays Capital Inc., 745 Seventh Ave., New York, New York 10019;</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260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shall be delivered or sent by mail, telex, overnight courier or facsimile transmission to Fluidigm Corporation, 7000 Shoreline Court, Suite 100, South San Francisco, California 94080, Attention: General Counsel, with a copy to Wilson, Sonsini, Goodrich</w:t>
      </w:r>
    </w:p>
    <w:p>
      <w:pPr>
        <w:ind w:left="200" w:hanging="192"/>
        <w:spacing w:after="0"/>
        <w:tabs>
          <w:tab w:leader="none" w:pos="2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Rosati, P.C., 950 Page Mill Road, Palo Alto, California 94304, Attention: Robert Kornegay and Michael Occhiolini;</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such statements, requests, notices or agreements shall take effect at the time of receipt thereof. The Company shall be entitled to act and rely upon any request, consent, notice or agreement given or made on behalf of the Initial Purchasers by Barclays Capital Inc.</w:t>
      </w:r>
    </w:p>
    <w:p>
      <w:pPr>
        <w:spacing w:after="0" w:line="160" w:lineRule="exact"/>
        <w:rPr>
          <w:sz w:val="20"/>
          <w:szCs w:val="20"/>
          <w:color w:val="auto"/>
        </w:rPr>
      </w:pPr>
    </w:p>
    <w:p>
      <w:pPr>
        <w:jc w:val="both"/>
        <w:ind w:firstLine="656"/>
        <w:spacing w:after="0" w:line="257" w:lineRule="auto"/>
        <w:tabs>
          <w:tab w:leader="none" w:pos="14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Initial Purchasers,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their respective successors. This Agreement and the terms and provisions hereof are for the sole benefit of only those persons, except that the representations, warranties, indemnities and agreements of the Company contained in this Agreement shall also be deemed to be for the benefit of affiliates, directors, officers and employees of the Initial Purchasers and each person or persons, if any, controlling any Initial Purchaser within the meaning of Section 15 of the Securities Act. Nothing in this Agreement is intended or shall be construed to give any person, other than the persons referred to in this Section 13, any legal or equitable right, remedy or claim under or in respect of this Agreement or any provision contained herein.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41" w:name="page142"/>
    <w:bookmarkEnd w:id="141"/>
    <w:p>
      <w:pPr>
        <w:jc w:val="both"/>
        <w:ind w:left="-20" w:firstLine="656"/>
        <w:spacing w:after="0" w:line="261" w:lineRule="auto"/>
        <w:tabs>
          <w:tab w:leader="none" w:pos="140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contained in this Agreement or made by or on behalf of them, respectively, pursuant to this Agreement, shall survive the delivery of and payment for the Notes and shall remain in full force and effect, regardless of any termination of this Agreement or any investigation made by or on behalf of any of them or any person controlling any of them</w:t>
      </w:r>
    </w:p>
    <w:p>
      <w:pPr>
        <w:spacing w:after="0" w:line="180" w:lineRule="exact"/>
        <w:rPr>
          <w:rFonts w:ascii="Times New Roman" w:cs="Times New Roman" w:eastAsia="Times New Roman" w:hAnsi="Times New Roman"/>
          <w:sz w:val="18"/>
          <w:szCs w:val="18"/>
          <w:color w:val="auto"/>
        </w:rPr>
      </w:pPr>
    </w:p>
    <w:p>
      <w:pPr>
        <w:ind w:left="-20" w:firstLine="656"/>
        <w:spacing w:after="0" w:line="284" w:lineRule="auto"/>
        <w:tabs>
          <w:tab w:leader="none" w:pos="132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 of the Terms “Business Day” and “Affiliate”. </w:t>
      </w:r>
      <w:r>
        <w:rPr>
          <w:rFonts w:ascii="Times New Roman" w:cs="Times New Roman" w:eastAsia="Times New Roman" w:hAnsi="Times New Roman"/>
          <w:sz w:val="18"/>
          <w:szCs w:val="18"/>
          <w:color w:val="auto"/>
        </w:rPr>
        <w:t>For purposes of this Agreement, (a) “business day” means any day on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Stock Exchange, Inc. is open for trading, and (b) “affiliate” has the meaning set forth in Rule 405 under the Securities Act.</w:t>
      </w:r>
    </w:p>
    <w:p>
      <w:pPr>
        <w:spacing w:after="0" w:line="156" w:lineRule="exact"/>
        <w:rPr>
          <w:rFonts w:ascii="Times New Roman" w:cs="Times New Roman" w:eastAsia="Times New Roman" w:hAnsi="Times New Roman"/>
          <w:sz w:val="18"/>
          <w:szCs w:val="18"/>
          <w:color w:val="auto"/>
        </w:rPr>
      </w:pPr>
    </w:p>
    <w:p>
      <w:pPr>
        <w:jc w:val="both"/>
        <w:ind w:left="-20" w:firstLine="656"/>
        <w:spacing w:after="0" w:line="259" w:lineRule="auto"/>
        <w:tabs>
          <w:tab w:leader="none" w:pos="129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&amp; Venue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This Agreement and any claim, controversy or dispute arising under or related to this Agreement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governed by and construed in accordance with the laws of the State of New York. </w:t>
      </w:r>
      <w:r>
        <w:rPr>
          <w:rFonts w:ascii="Times New Roman" w:cs="Times New Roman" w:eastAsia="Times New Roman" w:hAnsi="Times New Roman"/>
          <w:sz w:val="18"/>
          <w:szCs w:val="18"/>
          <w:color w:val="auto"/>
        </w:rPr>
        <w:t>The Company and each of the Initial Purchasers agree that any suit,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or proceeding arising out of or based upon this Agreement or the transactions contemplated hereby may be instituted in any State or U.S. federal court in The City of New York and County of New York, and waives any objection that such party may now or hereafter have to the laying of venue of any such proceeding, and irrevocably submits to the exclusive jurisdiction of such courts in any suit, action or proceeding.</w:t>
      </w:r>
    </w:p>
    <w:p>
      <w:pPr>
        <w:spacing w:after="0" w:line="181" w:lineRule="exact"/>
        <w:rPr>
          <w:rFonts w:ascii="Times New Roman" w:cs="Times New Roman" w:eastAsia="Times New Roman" w:hAnsi="Times New Roman"/>
          <w:sz w:val="18"/>
          <w:szCs w:val="18"/>
          <w:color w:val="auto"/>
        </w:rPr>
      </w:pPr>
    </w:p>
    <w:p>
      <w:pPr>
        <w:ind w:left="-20" w:right="20" w:firstLine="656"/>
        <w:spacing w:after="0" w:line="284" w:lineRule="auto"/>
        <w:tabs>
          <w:tab w:leader="none" w:pos="148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The Company and each of the Initial Purchasers hereby irrevocably waives, to the fullest extent permitted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 any and all right to trial by jury in any legal proceeding arising out of or relating to this Agreement or the transactions contemplated hereby.</w:t>
      </w:r>
    </w:p>
    <w:p>
      <w:pPr>
        <w:spacing w:after="0" w:line="158"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125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Fiduciary Duty. </w:t>
      </w:r>
      <w:r>
        <w:rPr>
          <w:rFonts w:ascii="Times New Roman" w:cs="Times New Roman" w:eastAsia="Times New Roman" w:hAnsi="Times New Roman"/>
          <w:sz w:val="18"/>
          <w:szCs w:val="18"/>
          <w:color w:val="auto"/>
        </w:rPr>
        <w:t>The Company acknowledges and agrees that in connection with this offering, or any other services the Initial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deemed to be providing hereunder, notwithstanding any preexisting relationship, advisory or otherwise, between the parties or any oral representations or assurances previously or subsequently made by the Initial Purchasers: (a) no fiduciary or agency relationship exists between the Company and any other person, on the one hand, and the Initial Purchasers, on the other hand; (b) the Initial Purchasers are not acting as advisors, expert or otherwise, to the Company, including, without limitation, with respect to the determination of the purchase price of the Notes, and such relationship between the Company, on the one hand, and the Initial Purchasers, on the other hand, is entirely and solely commercial, based on arms-length negotiations; (c) any duties and obligations that the Initial Purchasers may have to the Company shall be limited to those duties and obligations specifically stated herein; (d) the Initial Purchasers and their respective affiliates may have interests that differ from those of the Company; and (e) the Company has consulted its own legal and financial advisors to the extent they deemed appropriate. The Company hereby waives any claims that the Company may have against the Initial Purchasers with respect to any breach of fiduciary duty in connection with the Notes.</w:t>
      </w:r>
    </w:p>
    <w:p>
      <w:pPr>
        <w:spacing w:after="0" w:line="186" w:lineRule="exact"/>
        <w:rPr>
          <w:rFonts w:ascii="Times New Roman" w:cs="Times New Roman" w:eastAsia="Times New Roman" w:hAnsi="Times New Roman"/>
          <w:sz w:val="18"/>
          <w:szCs w:val="18"/>
          <w:color w:val="auto"/>
        </w:rPr>
      </w:pPr>
    </w:p>
    <w:p>
      <w:pPr>
        <w:ind w:left="-20" w:firstLine="656"/>
        <w:spacing w:after="0" w:line="284" w:lineRule="auto"/>
        <w:tabs>
          <w:tab w:leader="none" w:pos="135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one or more counterparts and, if executed in more than one counterpart, the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counterparts shall each be deemed to be an original but all such counterparts shall together constitute one and the same instrument.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3" w:right="239" w:bottom="1440" w:gutter="0" w:footer="0" w:header="0"/>
        </w:sectPr>
      </w:pPr>
    </w:p>
    <w:bookmarkStart w:id="142" w:name="page143"/>
    <w:bookmarkEnd w:id="142"/>
    <w:p>
      <w:pPr>
        <w:ind w:firstLine="656"/>
        <w:spacing w:after="0" w:line="284" w:lineRule="auto"/>
        <w:tabs>
          <w:tab w:leader="none" w:pos="130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herein are inserted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p>
    <w:p>
      <w:pPr>
        <w:spacing w:after="0" w:line="227" w:lineRule="exact"/>
        <w:rPr>
          <w:sz w:val="20"/>
          <w:szCs w:val="20"/>
          <w:color w:val="auto"/>
        </w:rPr>
      </w:pPr>
    </w:p>
    <w:p>
      <w:pPr>
        <w:jc w:val="both"/>
        <w:ind w:firstLine="656"/>
        <w:spacing w:after="0" w:line="261" w:lineRule="auto"/>
        <w:tabs>
          <w:tab w:leader="none" w:pos="126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Initial Purchasers that are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Initial Purchasers that are a Covered Entity or a BHC Act Affiliate of such Initial Purchaser becomes subject to a proceeding under a U.S. Special Resolution Regime, Default Rights under this Agreement that may be exercised against such Initial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w:t>
      </w:r>
    </w:p>
    <w:p>
      <w:pPr>
        <w:spacing w:after="0" w:line="221" w:lineRule="exact"/>
        <w:rPr>
          <w:rFonts w:ascii="Times New Roman" w:cs="Times New Roman" w:eastAsia="Times New Roman" w:hAnsi="Times New Roman"/>
          <w:sz w:val="18"/>
          <w:szCs w:val="18"/>
          <w:color w:val="auto"/>
        </w:rPr>
      </w:pPr>
    </w:p>
    <w:p>
      <w:pPr>
        <w:ind w:left="1840" w:hanging="535"/>
        <w:spacing w:after="0"/>
        <w:tabs>
          <w:tab w:leader="none" w:pos="18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1841(k).</w:t>
      </w:r>
    </w:p>
    <w:p>
      <w:pPr>
        <w:spacing w:after="0" w:line="202" w:lineRule="exact"/>
        <w:rPr>
          <w:rFonts w:ascii="Times New Roman" w:cs="Times New Roman" w:eastAsia="Times New Roman" w:hAnsi="Times New Roman"/>
          <w:sz w:val="18"/>
          <w:szCs w:val="18"/>
          <w:color w:val="auto"/>
        </w:rPr>
      </w:pPr>
    </w:p>
    <w:p>
      <w:pPr>
        <w:ind w:left="1880" w:hanging="575"/>
        <w:spacing w:after="0"/>
        <w:tabs>
          <w:tab w:leader="none" w:pos="18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Entity</w:t>
      </w:r>
      <w:r>
        <w:rPr>
          <w:rFonts w:ascii="Times New Roman" w:cs="Times New Roman" w:eastAsia="Times New Roman" w:hAnsi="Times New Roman"/>
          <w:sz w:val="18"/>
          <w:szCs w:val="18"/>
          <w:color w:val="auto"/>
        </w:rPr>
        <w:t>” means any of the following:</w:t>
      </w:r>
    </w:p>
    <w:p>
      <w:pPr>
        <w:spacing w:after="0" w:line="229" w:lineRule="exact"/>
        <w:rPr>
          <w:rFonts w:ascii="Times New Roman" w:cs="Times New Roman" w:eastAsia="Times New Roman" w:hAnsi="Times New Roman"/>
          <w:sz w:val="18"/>
          <w:szCs w:val="18"/>
          <w:color w:val="auto"/>
        </w:rPr>
      </w:pPr>
    </w:p>
    <w:p>
      <w:pPr>
        <w:ind w:left="2480" w:hanging="527"/>
        <w:spacing w:after="0"/>
        <w:tabs>
          <w:tab w:leader="none" w:pos="248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2480" w:hanging="527"/>
        <w:spacing w:after="0"/>
        <w:tabs>
          <w:tab w:leader="none" w:pos="248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2460" w:hanging="507"/>
        <w:spacing w:after="0"/>
        <w:tabs>
          <w:tab w:leader="none" w:pos="246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1" w:lineRule="exact"/>
        <w:rPr>
          <w:rFonts w:ascii="Times New Roman" w:cs="Times New Roman" w:eastAsia="Times New Roman" w:hAnsi="Times New Roman"/>
          <w:sz w:val="18"/>
          <w:szCs w:val="18"/>
          <w:color w:val="auto"/>
        </w:rPr>
      </w:pPr>
    </w:p>
    <w:p>
      <w:pPr>
        <w:ind w:left="1880" w:hanging="575"/>
        <w:spacing w:after="0"/>
        <w:tabs>
          <w:tab w:leader="none" w:pos="18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382.1, as applicable.</w:t>
      </w:r>
    </w:p>
    <w:p>
      <w:pPr>
        <w:spacing w:after="0" w:line="202" w:lineRule="exact"/>
        <w:rPr>
          <w:rFonts w:ascii="Times New Roman" w:cs="Times New Roman" w:eastAsia="Times New Roman" w:hAnsi="Times New Roman"/>
          <w:sz w:val="18"/>
          <w:szCs w:val="18"/>
          <w:color w:val="auto"/>
        </w:rPr>
      </w:pPr>
    </w:p>
    <w:p>
      <w:pPr>
        <w:ind w:firstLine="1305"/>
        <w:spacing w:after="0" w:line="286" w:lineRule="auto"/>
        <w:tabs>
          <w:tab w:leader="none" w:pos="1885"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43" w:name="page144"/>
    <w:bookmarkEnd w:id="143"/>
    <w:p>
      <w:pPr>
        <w:ind w:firstLine="1297"/>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agreement among the Company and the Initial Purchasers, please indicate your acceptance in the space provided for that purpose below.</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LUIDIGM</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Vikram Jog</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R. Halperin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Steven R. Halperin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8"/>
        </w:trPr>
        <w:tc>
          <w:tcPr>
            <w:tcW w:w="9600" w:type="dxa"/>
            <w:vAlign w:val="bottom"/>
            <w:gridSpan w:val="2"/>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Firm Notes</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0" w:type="dxa"/>
            <w:vAlign w:val="bottom"/>
          </w:tcPr>
          <w:p>
            <w:pPr>
              <w:spacing w:after="0"/>
              <w:rPr>
                <w:sz w:val="1"/>
                <w:szCs w:val="1"/>
                <w:color w:val="auto"/>
              </w:rPr>
            </w:pPr>
          </w:p>
        </w:tc>
      </w:tr>
      <w:tr>
        <w:trPr>
          <w:trHeight w:val="238"/>
        </w:trPr>
        <w:tc>
          <w:tcPr>
            <w:tcW w:w="960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Initial Purchasers</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210"/>
        </w:trPr>
        <w:tc>
          <w:tcPr>
            <w:tcW w:w="9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jc w:val="center"/>
              <w:ind w:left="1750"/>
              <w:spacing w:after="0"/>
              <w:rPr>
                <w:sz w:val="20"/>
                <w:szCs w:val="20"/>
                <w:color w:val="auto"/>
              </w:rPr>
            </w:pPr>
            <w:r>
              <w:rPr>
                <w:rFonts w:ascii="Times New Roman" w:cs="Times New Roman" w:eastAsia="Times New Roman" w:hAnsi="Times New Roman"/>
                <w:sz w:val="18"/>
                <w:szCs w:val="18"/>
                <w:color w:val="auto"/>
                <w:w w:val="99"/>
              </w:rPr>
              <w:t>Schedule I - 1</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600" w:type="dxa"/>
            <w:vAlign w:val="bottom"/>
            <w:tcBorders>
              <w:bottom w:val="single" w:sz="8" w:color="auto"/>
            </w:tcBorders>
            <w:gridSpan w:val="2"/>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PRICING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441960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6" w:name="page147"/>
    <w:bookmarkEnd w:id="146"/>
    <w:p>
      <w:pPr>
        <w:ind w:left="140"/>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DATED November 20,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-5698490</wp:posOffset>
            </wp:positionH>
            <wp:positionV relativeFrom="paragraph">
              <wp:posOffset>-257175</wp:posOffset>
            </wp:positionV>
            <wp:extent cx="7276465" cy="67278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6465" cy="6727825"/>
                    </a:xfrm>
                    <a:prstGeom prst="rect">
                      <a:avLst/>
                    </a:prstGeom>
                    <a:noFill/>
                  </pic:spPr>
                </pic:pic>
              </a:graphicData>
            </a:graphic>
          </wp:anchor>
        </w:drawing>
      </w:r>
    </w:p>
    <w:p>
      <w:pPr>
        <w:spacing w:after="0" w:line="438" w:lineRule="exact"/>
        <w:rPr>
          <w:sz w:val="20"/>
          <w:szCs w:val="20"/>
          <w:color w:val="auto"/>
        </w:rPr>
      </w:pPr>
    </w:p>
    <w:p>
      <w:pPr>
        <w:sectPr>
          <w:pgSz w:w="11900" w:h="16838" w:orient="portrait"/>
          <w:cols w:equalWidth="0" w:num="2">
            <w:col w:w="8260" w:space="720"/>
            <w:col w:w="2440"/>
          </w:cols>
          <w:pgMar w:left="240" w:top="1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225"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$50,000,000 PRINCIPAL AMOUNT OF</w:t>
      </w:r>
    </w:p>
    <w:p>
      <w:pPr>
        <w:spacing w:after="0" w:line="225"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5.25% CONVERTIBLE SENIOR NOTES DUE 2024</w:t>
      </w:r>
    </w:p>
    <w:p>
      <w:pPr>
        <w:spacing w:after="0" w:line="227" w:lineRule="exact"/>
        <w:rPr>
          <w:sz w:val="20"/>
          <w:szCs w:val="20"/>
          <w:color w:val="auto"/>
        </w:rPr>
      </w:pPr>
    </w:p>
    <w:p>
      <w:pPr>
        <w:jc w:val="both"/>
        <w:ind w:left="140" w:right="1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information in this pricing term sheet supplements Fluidigm’s preliminary offering memorandum, dated November 20, 2019 (the “Preliminary Offering Memorandum”), and supersedes the information in the Preliminary Offering Memorandum to the extent inconsistent with the information in the Preliminary Offering Memorandum. In all other respects, this term sheet is qualified in its entirety by reference to the Preliminary Offering Memorandum, including all other documents incorporated by reference therein. References to “we,” “our” and “us” refer to Fluidigm Corporation and not to its consolidated subsidiaries. Terms used herein but not defined herein shall have the respective meanings as set forth in the Preliminary Offering Memorandum. All references to dollar amounts are references to U.S. dollars.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Fluidigm Corporation</w:t>
            </w:r>
          </w:p>
        </w:tc>
      </w:tr>
      <w:tr>
        <w:trPr>
          <w:trHeight w:val="432"/>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Ticker/Exchange for Common Stock:</w:t>
            </w:r>
          </w:p>
        </w:tc>
        <w:tc>
          <w:tcPr>
            <w:tcW w:w="7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“FLDM”/The Nasdaq Global Select Market.</w:t>
            </w:r>
          </w:p>
        </w:tc>
      </w:tr>
      <w:tr>
        <w:trPr>
          <w:trHeight w:val="432"/>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7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5.25% Convertible Senior Notes due 2024 (the “notes”).</w:t>
            </w:r>
          </w:p>
        </w:tc>
      </w:tr>
      <w:tr>
        <w:trPr>
          <w:trHeight w:val="432"/>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7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$50,000,000</w:t>
            </w:r>
          </w:p>
        </w:tc>
      </w:tr>
      <w:tr>
        <w:trPr>
          <w:trHeight w:val="432"/>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Option to Purchase Additional Notes:</w:t>
            </w:r>
          </w:p>
        </w:tc>
        <w:tc>
          <w:tcPr>
            <w:tcW w:w="7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$5,000,000</w:t>
            </w:r>
          </w:p>
        </w:tc>
      </w:tr>
      <w:tr>
        <w:trPr>
          <w:trHeight w:val="414"/>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7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December 1, 2024, unless earlier converted by the holder, converted by us pursuant to our</w:t>
            </w:r>
          </w:p>
        </w:tc>
      </w:tr>
      <w:tr>
        <w:trPr>
          <w:trHeight w:val="234"/>
        </w:trPr>
        <w:tc>
          <w:tcPr>
            <w:tcW w:w="3880" w:type="dxa"/>
            <w:vAlign w:val="bottom"/>
          </w:tcPr>
          <w:p>
            <w:pPr>
              <w:spacing w:after="0"/>
              <w:rPr>
                <w:sz w:val="20"/>
                <w:szCs w:val="20"/>
                <w:color w:val="auto"/>
              </w:rPr>
            </w:pPr>
          </w:p>
        </w:tc>
        <w:tc>
          <w:tcPr>
            <w:tcW w:w="7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company conversion option, or repurchased in accordance with their terms.</w:t>
            </w:r>
          </w:p>
        </w:tc>
      </w:tr>
      <w:tr>
        <w:trPr>
          <w:trHeight w:val="432"/>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7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5.25% per year.</w:t>
            </w:r>
          </w:p>
        </w:tc>
      </w:tr>
      <w:tr>
        <w:trPr>
          <w:trHeight w:val="414"/>
        </w:trPr>
        <w:tc>
          <w:tcPr>
            <w:tcW w:w="3880" w:type="dxa"/>
            <w:vAlign w:val="bottom"/>
          </w:tcPr>
          <w:p>
            <w:pPr>
              <w:spacing w:after="0"/>
              <w:rPr>
                <w:sz w:val="24"/>
                <w:szCs w:val="24"/>
                <w:color w:val="auto"/>
              </w:rPr>
            </w:pPr>
          </w:p>
        </w:tc>
        <w:tc>
          <w:tcPr>
            <w:tcW w:w="7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Interest will accrue from November 22, 2019 and will be payable semiannually in arrears</w:t>
            </w:r>
          </w:p>
        </w:tc>
      </w:tr>
      <w:tr>
        <w:trPr>
          <w:trHeight w:val="216"/>
        </w:trPr>
        <w:tc>
          <w:tcPr>
            <w:tcW w:w="388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on June 1 and December 1 of each year, beginning on June 1, 2020. We will pay additional</w:t>
            </w:r>
          </w:p>
        </w:tc>
      </w:tr>
      <w:tr>
        <w:trPr>
          <w:trHeight w:val="216"/>
        </w:trPr>
        <w:tc>
          <w:tcPr>
            <w:tcW w:w="388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interest, if any, at our election as the sole remedy relating to the failure to comply with our</w:t>
            </w:r>
          </w:p>
        </w:tc>
      </w:tr>
      <w:tr>
        <w:trPr>
          <w:trHeight w:val="216"/>
        </w:trPr>
        <w:tc>
          <w:tcPr>
            <w:tcW w:w="388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reporting obligations as described under “Description of Notes — Events of Default” and</w:t>
            </w:r>
          </w:p>
        </w:tc>
      </w:tr>
      <w:tr>
        <w:trPr>
          <w:trHeight w:val="216"/>
        </w:trPr>
        <w:tc>
          <w:tcPr>
            <w:tcW w:w="388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under the circumstances described under “Description of Notes — No Registration Rights;</w:t>
            </w:r>
          </w:p>
        </w:tc>
      </w:tr>
      <w:tr>
        <w:trPr>
          <w:trHeight w:val="234"/>
        </w:trPr>
        <w:tc>
          <w:tcPr>
            <w:tcW w:w="3880" w:type="dxa"/>
            <w:vAlign w:val="bottom"/>
          </w:tcPr>
          <w:p>
            <w:pPr>
              <w:spacing w:after="0"/>
              <w:rPr>
                <w:sz w:val="20"/>
                <w:szCs w:val="20"/>
                <w:color w:val="auto"/>
              </w:rPr>
            </w:pPr>
          </w:p>
        </w:tc>
        <w:tc>
          <w:tcPr>
            <w:tcW w:w="7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Additional Interest” in the Preliminary Offering Memorandum.</w:t>
            </w:r>
          </w:p>
        </w:tc>
      </w:tr>
      <w:tr>
        <w:trPr>
          <w:trHeight w:val="918"/>
        </w:trPr>
        <w:tc>
          <w:tcPr>
            <w:tcW w:w="388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30" w:right="239" w:bottom="1440" w:gutter="0" w:footer="0" w:header="0"/>
          <w:type w:val="continuous"/>
        </w:sectPr>
      </w:pPr>
    </w:p>
    <w:bookmarkStart w:id="147" w:name="page148"/>
    <w:bookmarkEnd w:id="1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384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Conversion Rights by the Holder:</w:t>
            </w:r>
          </w:p>
        </w:tc>
        <w:tc>
          <w:tcPr>
            <w:tcW w:w="7620" w:type="dxa"/>
            <w:vAlign w:val="bottom"/>
            <w:tcBorders>
              <w:top w:val="single" w:sz="8" w:color="auto"/>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Holders may convert their notes, in integral multiples $1,000 principal amount into shares</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of common stock at the then-applicable conversion rate at any point prior to the close of</w:t>
            </w:r>
          </w:p>
        </w:tc>
      </w:tr>
      <w:tr>
        <w:trPr>
          <w:trHeight w:val="234"/>
        </w:trPr>
        <w:tc>
          <w:tcPr>
            <w:tcW w:w="384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business on the second scheduled trading day immediately preceding the maturity date.</w:t>
            </w:r>
          </w:p>
        </w:tc>
      </w:tr>
      <w:tr>
        <w:trPr>
          <w:trHeight w:val="414"/>
        </w:trPr>
        <w:tc>
          <w:tcPr>
            <w:tcW w:w="384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Upon conversion of the notes, we will deliver on the second scheduled trading day</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following the relevant conversion date, a number of shares of common stock equal to (i)</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the aggregate principal amount of notes to be converted, divided by $1,000 multiplied by</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(ii) the then-applicable conversion rate for each $1,000 principal amount of notes;</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provided, however, that for any conversion that occurs on or after the record date for the</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payment of interest on the notes at maturity, we will deliver such shares on the maturity</w:t>
            </w:r>
          </w:p>
        </w:tc>
      </w:tr>
      <w:tr>
        <w:trPr>
          <w:trHeight w:val="234"/>
        </w:trPr>
        <w:tc>
          <w:tcPr>
            <w:tcW w:w="384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date</w:t>
            </w:r>
          </w:p>
        </w:tc>
      </w:tr>
      <w:tr>
        <w:trPr>
          <w:trHeight w:val="432"/>
        </w:trPr>
        <w:tc>
          <w:tcPr>
            <w:tcW w:w="38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Conversion Rights by the Company:</w:t>
            </w: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We may not convert the notes prior to December 1, 2021.</w:t>
            </w:r>
          </w:p>
        </w:tc>
      </w:tr>
      <w:tr>
        <w:trPr>
          <w:trHeight w:val="414"/>
        </w:trPr>
        <w:tc>
          <w:tcPr>
            <w:tcW w:w="384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On or after December 1, 2021 to December 1, 2022, we may convert all but not less than</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all the notes, at our option, if the VWAP of our common stock has been at least 150% of</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the conversion price then in effect for at least 20 trading days (whether or not consecutive)</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during any 30 consecutive trading-day period (including the last trading day of such</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period) ending on and including, the trading day immediately preceding the date on which</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we provide a notice of conversion (an “early company conversion”). If we convert the</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notes pursuant to an early company conversion prior to December 1, 2022, we will</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increase the conversion rate as described in “Description of Notes—Conversion Rights—</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Increase in Conversion Rate upon Conversion upon a Make-Whole Fundamental Change</w:t>
            </w:r>
          </w:p>
        </w:tc>
      </w:tr>
      <w:tr>
        <w:trPr>
          <w:trHeight w:val="234"/>
        </w:trPr>
        <w:tc>
          <w:tcPr>
            <w:tcW w:w="384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or Notice of Early Company Conversion” in the Preliminary Offering Memorandum.</w:t>
            </w:r>
          </w:p>
        </w:tc>
      </w:tr>
      <w:tr>
        <w:trPr>
          <w:trHeight w:val="414"/>
        </w:trPr>
        <w:tc>
          <w:tcPr>
            <w:tcW w:w="384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On or after December 1, 2022, we may convert all but not less than all the notes, at our</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option, if the VWAP of our common stock has been at least 130% of the conversion price</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then in effect for at least 20 trading days (whether or not consecutive) during any 30</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consecutive trading-day period (including the last trading day of such period) ending on</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and including, the trading day immediately preceding the date on which we provide a</w:t>
            </w:r>
          </w:p>
        </w:tc>
      </w:tr>
      <w:tr>
        <w:trPr>
          <w:trHeight w:val="234"/>
        </w:trPr>
        <w:tc>
          <w:tcPr>
            <w:tcW w:w="384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notice of conversion.</w:t>
            </w:r>
          </w:p>
        </w:tc>
      </w:tr>
      <w:tr>
        <w:trPr>
          <w:trHeight w:val="432"/>
        </w:trPr>
        <w:tc>
          <w:tcPr>
            <w:tcW w:w="38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We may not redeem the notes prior to maturity. No sinking fund is provided for the notes.</w:t>
            </w:r>
          </w:p>
        </w:tc>
      </w:tr>
      <w:tr>
        <w:trPr>
          <w:trHeight w:val="414"/>
        </w:trPr>
        <w:tc>
          <w:tcPr>
            <w:tcW w:w="38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Fundamental Change:</w:t>
            </w: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If a “fundamental change” (as defined under “Description of Notes—Fundamental Change</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Permits Holders to Require Us to Repurchase Notes” in the Preliminary Offering</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Memorandum) occurs at any time prior to the maturity date of the notes, holders will have</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the right, at their option, to require us to repurchase for cash all of their notes, or any</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portion of the principal amount thereof that is equal to $1,000 or an integral multiple of</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$1,000. The fundamental change repurchase price we are required to pay will be equal to</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100% of the principal amount of the notes to be repurchased, plus accrued and unpaid</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interest to, but excluding, the fundamental change repurchase date.  See “Description of</w:t>
            </w:r>
          </w:p>
        </w:tc>
      </w:tr>
      <w:tr>
        <w:trPr>
          <w:trHeight w:val="216"/>
        </w:trPr>
        <w:tc>
          <w:tcPr>
            <w:tcW w:w="384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Notes—Fundamental Change Permits Holders to Require Us to Repurchase Notes” in the</w:t>
            </w:r>
          </w:p>
        </w:tc>
      </w:tr>
      <w:tr>
        <w:trPr>
          <w:trHeight w:val="234"/>
        </w:trPr>
        <w:tc>
          <w:tcPr>
            <w:tcW w:w="384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Preliminary Offering Memorandum.</w:t>
            </w:r>
          </w:p>
        </w:tc>
      </w:tr>
      <w:tr>
        <w:trPr>
          <w:trHeight w:val="226"/>
        </w:trPr>
        <w:tc>
          <w:tcPr>
            <w:tcW w:w="3840" w:type="dxa"/>
            <w:vAlign w:val="bottom"/>
            <w:tcBorders>
              <w:left w:val="single" w:sz="8" w:color="auto"/>
              <w:bottom w:val="single" w:sz="8" w:color="auto"/>
            </w:tcBorders>
          </w:tcPr>
          <w:p>
            <w:pPr>
              <w:spacing w:after="0"/>
              <w:rPr>
                <w:sz w:val="19"/>
                <w:szCs w:val="19"/>
                <w:color w:val="auto"/>
              </w:rPr>
            </w:pPr>
          </w:p>
        </w:tc>
        <w:tc>
          <w:tcPr>
            <w:tcW w:w="758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r>
      <w:tr>
        <w:trPr>
          <w:trHeight w:val="672"/>
        </w:trPr>
        <w:tc>
          <w:tcPr>
            <w:tcW w:w="384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60"/>
          </w:cols>
          <w:pgMar w:left="240" w:top="899" w:right="1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Regular Record Dates: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Price:</w:t>
      </w:r>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Last Reported Sale Price of our Common Stock on The Nasdaq Global Select Market on November 19,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Conversion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Conversion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Premium: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Method: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Sole Book-Running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Settlement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number (144A):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ISIN (144A):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Times New Roman" w:cs="Times New Roman" w:eastAsia="Times New Roman" w:hAnsi="Times New Roman"/>
          <w:sz w:val="18"/>
          <w:szCs w:val="18"/>
          <w:color w:val="auto"/>
        </w:rPr>
        <w:t>May 15 and November 15 of each year (whether or not a business day), immediately preceding the relevant June 1 or December 1 interest payment date,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-444500</wp:posOffset>
            </wp:positionV>
            <wp:extent cx="7276465" cy="79883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6465" cy="7988300"/>
                    </a:xfrm>
                    <a:prstGeom prst="rect">
                      <a:avLst/>
                    </a:prstGeom>
                    <a:noFill/>
                  </pic:spPr>
                </pic:pic>
              </a:graphicData>
            </a:graphic>
          </wp:anchor>
        </w:drawing>
      </w:r>
    </w:p>
    <w:p>
      <w:pPr>
        <w:spacing w:after="0" w:line="14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100% of the principal,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interest, if any, from November 22, 2019 if settlement occurs after that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$2.32 per share.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344.8276 shares of our common stock per $1,000 principal amount of notes, subject to adjustment.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$2.90 per share of our common stock, subject to adjustment.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25% above the last reported sale price of our common stock on The Nasdaq Global Select Market on November 19,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as described in the Preliminary Offering Memorandum.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2019 (T+2).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34385P AE8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US34385PAE88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$47.8 million (or $52.6 million if the initial purchasers exercise their option to purchase additional notes in full), after deducting the initial purchasers’ discounts and estimated offering expenses payable by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cash on hand, if required, to repurchase up to approximately $50 million aggregate principal amount of the 2.75% Senior Convertible Notes due 2034 (the “2014 Notes”) in negotiated transactions with institutional investors concurrently with this offering.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use the remaining net proceeds from this offering after repurchase of the 2014 Notes, if any, for working capital and other general corporate purposes, which may include capital expenditures, the repurchase or retirement of any remaining 2014 Notes, potential acquisitions and strategic transactions. However, we have not designated any specific uses and have no current agreements with respect to any material acquisition or strategic transaction.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initial purchasers exercise their option to purchase additional notes, we expect to use the net proceeds from the sale of additional notes for working capital and other general corporate purposes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“Use of proceeds” in the Preliminary Offering 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600710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220" w:space="380"/>
            <w:col w:w="6580"/>
          </w:cols>
          <w:pgMar w:left="380" w:top="1130"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76465" cy="57759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t>Description of Notes—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Increase in Conversion Rate upon Conversion upon a Make-Whole Fundamental Change or Notice of Early Company Conversion</w:t>
      </w:r>
    </w:p>
    <w:p>
      <w:pPr>
        <w:spacing w:after="0" w:line="20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Holders who convert their notes in connection with a make-whole fundamental change occurring prior to the maturity date or in connection with a notice of an early company conversion prior to December 1, 2022 with respect to any or all of the notes as provided for in the Preliminary Offering Memorandum under “Description of Notes—Conversion Right by Fluidigm” are entitled to an increase in the conversion rate for the notes so surrendered for conversion.</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additional shares by which the conversion rate for the notes will be increased per $1,000 principal amount of notes for each stock price and effective date set forth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Stock Price</w:t>
            </w:r>
          </w:p>
        </w:tc>
        <w:tc>
          <w:tcPr>
            <w:tcW w:w="8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64"/>
        </w:trPr>
        <w:tc>
          <w:tcPr>
            <w:tcW w:w="22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$2.32</w:t>
            </w: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$2.50</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$2.90</w:t>
            </w: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$3.25</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$3.77</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$4.35</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$6.00</w:t>
            </w: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$8.00</w:t>
            </w: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22, 2019</w:t>
            </w: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86.2068</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86.2068</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79.9253</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64.7524</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49.1535</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44.0383</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37.7087</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21.0180</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12.6349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8.4890</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December 1, 2020</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86.2068</w:t>
            </w: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86.2068</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70.7638</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55.3632</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40.0858</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35.2498</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29.4229</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15.2146</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8.9333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6.0307</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2021</w:t>
            </w: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86.2068</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85.8330</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57.9014</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41.9691</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27.1517</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22.7920</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17.8439</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7.8069</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3.1507</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December 1, 2022</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86.2068</w:t>
            </w: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76.9837</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42.6056</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21.3888</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0.0000</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0.0000</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2023</w:t>
            </w: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86.2068</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73.1674</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39.0515</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19.2050</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0.0000</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0.0000</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0.0000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1, 2024</w:t>
            </w: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86.2068</w:t>
            </w: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55.1724</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0.0000</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0.0000</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0.0000</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0.0000</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0.0000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exact stock prices and effective dates may not be set forth in the table above, in which case:</w:t>
      </w:r>
    </w:p>
    <w:p>
      <w:pPr>
        <w:spacing w:after="0" w:line="225" w:lineRule="exact"/>
        <w:rPr>
          <w:sz w:val="20"/>
          <w:szCs w:val="20"/>
          <w:color w:val="auto"/>
        </w:rPr>
      </w:pPr>
    </w:p>
    <w:p>
      <w:pPr>
        <w:jc w:val="both"/>
        <w:ind w:left="980" w:hanging="332"/>
        <w:spacing w:after="0" w:line="261" w:lineRule="auto"/>
        <w:tabs>
          <w:tab w:leader="none" w:pos="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between two stock prices in the table or the effective date is between two effective dates in the table, the number of additional shares by which the conversion rate for the notes will be increased will be determined by a straight-line interpolation between the number of additional shares set forth for the higher and lower stock prices and the earlier and later effective dates, as applicable, based on a 365-day year.</w:t>
      </w:r>
    </w:p>
    <w:p>
      <w:pPr>
        <w:spacing w:after="0" w:line="180" w:lineRule="exact"/>
        <w:rPr>
          <w:rFonts w:ascii="Times New Roman" w:cs="Times New Roman" w:eastAsia="Times New Roman" w:hAnsi="Times New Roman"/>
          <w:sz w:val="18"/>
          <w:szCs w:val="18"/>
          <w:color w:val="auto"/>
        </w:rPr>
      </w:pPr>
    </w:p>
    <w:p>
      <w:pPr>
        <w:ind w:left="980" w:hanging="332"/>
        <w:spacing w:after="0" w:line="282" w:lineRule="auto"/>
        <w:tabs>
          <w:tab w:leader="none" w:pos="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greater than $10.00 per share (subject to adjustment in the same manner as the stock prices set forth in the column headings of the table above), no additional shares will be added to the conversion rate for the notes.</w:t>
      </w:r>
    </w:p>
    <w:p>
      <w:pPr>
        <w:spacing w:after="0" w:line="161" w:lineRule="exact"/>
        <w:rPr>
          <w:rFonts w:ascii="Times New Roman" w:cs="Times New Roman" w:eastAsia="Times New Roman" w:hAnsi="Times New Roman"/>
          <w:sz w:val="18"/>
          <w:szCs w:val="18"/>
          <w:color w:val="auto"/>
        </w:rPr>
      </w:pPr>
    </w:p>
    <w:p>
      <w:pPr>
        <w:ind w:left="980" w:right="20" w:hanging="332"/>
        <w:spacing w:after="0" w:line="282" w:lineRule="auto"/>
        <w:tabs>
          <w:tab w:leader="none" w:pos="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less than $2.32 per share (subject to adjustment in the same manner as the stock prices set forth in the column headings of the table above), no additional shares will be added to the conversion rate for the notes.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no event will the conversion rate per $1,000 principal amount of notes exceed 431.0344 shares of common stock, subject to adjustment in the same manner as the conversion rate as set forth under “Description of Notes—Conversion Rate Adjustments” in the Preliminary Offering Memorandum.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 to increase the conversion rate for notes converted in connection with a make-whole fundamental change or notice of early company conversion could be considered a penalty, in which case the enforceability thereof would be subject to general principles of reasonableness and equitable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569595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80" w:top="1130" w:right="339" w:bottom="1440" w:gutter="0" w:footer="0" w:header="0"/>
        </w:sectPr>
      </w:pPr>
    </w:p>
    <w:bookmarkStart w:id="150" w:name="page151"/>
    <w:bookmarkEnd w:id="150"/>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721360</wp:posOffset>
            </wp:positionV>
            <wp:extent cx="7276465" cy="37344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6465" cy="3734435"/>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This communication is intended for the sole use of the person to whom it is provided by the sender. This material is confidential and is for your information only and is not intended to be used by anyone other than you. This information does not purport to be a complete description of either series of notes or the offering. This communication does not constitute an offer to sell or the solicitation of an offer to buy any notes in any jurisdiction to any person to whom it is unlawful to make such offer or solicitation in such jurisdiction.</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The notes and any shares of common stock issuable upon conversion of the notes have not been and will not be registered under the U.S. Securities Act of 1933, as amended (the “Securities Act”), or any other securities laws, and may not be offered or sold within the United States or any other jurisdiction, except pursuant to an exemption from, or in a transaction not subject to, the registration requirements of the Securities Act and any other applicable securities laws. The initial purchasers are initially offering the notes only to qualified institutional buyers as defined in, and in reliance on, Rule 144A under the Securities Act.</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notes and any shares of common stock issuable upon conversion of the notes are not transferable except in accordance with the restrictions described under the captions “Notice to Investors” and “Transfer Restrictions” in the Preliminary Offering Memorandum.</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copy of the Preliminary Offering Memorandum for the offering of the notes may be obtained by contacting Barclays Capital Inc., </w:t>
      </w:r>
      <w:r>
        <w:rPr>
          <w:rFonts w:ascii="Times New Roman" w:cs="Times New Roman" w:eastAsia="Times New Roman" w:hAnsi="Times New Roman"/>
          <w:sz w:val="18"/>
          <w:szCs w:val="18"/>
          <w:b w:val="1"/>
          <w:bCs w:val="1"/>
          <w:color w:val="auto"/>
          <w:highlight w:val="white"/>
        </w:rPr>
        <w:t>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highlight w:val="white"/>
        </w:rPr>
        <w:t xml:space="preserve">Broadridge Financial Solutions, 1155 Long Island Avenue, Edgewood, NY 11717, by calling (888) 603-5847, or by email at </w:t>
      </w:r>
      <w:r>
        <w:rPr>
          <w:rFonts w:ascii="Times New Roman" w:cs="Times New Roman" w:eastAsia="Times New Roman" w:hAnsi="Times New Roman"/>
          <w:sz w:val="18"/>
          <w:szCs w:val="18"/>
          <w:b w:val="1"/>
          <w:bCs w:val="1"/>
          <w:color w:val="auto"/>
        </w:rPr>
        <w:t>barclaysprospectus@broadridge.com.</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843280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80" w:top="1440" w:right="339" w:bottom="1440" w:gutter="0" w:footer="0" w:header="0"/>
        </w:sectPr>
      </w:pPr>
    </w:p>
    <w:bookmarkStart w:id="151" w:name="page152"/>
    <w:bookmarkEnd w:id="151"/>
    <w:p>
      <w:pPr>
        <w:ind w:left="5092"/>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9" w:lineRule="exact"/>
        <w:rPr>
          <w:sz w:val="20"/>
          <w:szCs w:val="20"/>
          <w:color w:val="auto"/>
        </w:rPr>
      </w:pPr>
    </w:p>
    <w:p>
      <w:pPr>
        <w:ind w:left="492" w:hanging="492"/>
        <w:spacing w:after="0"/>
        <w:tabs>
          <w:tab w:leader="none" w:pos="492"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Insert list of each document provided as an amendment or supplement to the Preliminary Offering Memorandum.</w:t>
      </w:r>
    </w:p>
    <w:p>
      <w:pPr>
        <w:spacing w:after="0" w:line="236" w:lineRule="exact"/>
        <w:rPr>
          <w:rFonts w:ascii="Times New Roman" w:cs="Times New Roman" w:eastAsia="Times New Roman" w:hAnsi="Times New Roman"/>
          <w:sz w:val="17"/>
          <w:szCs w:val="17"/>
          <w:color w:val="auto"/>
        </w:rPr>
      </w:pPr>
    </w:p>
    <w:p>
      <w:pPr>
        <w:ind w:left="472" w:hanging="472"/>
        <w:spacing w:after="0"/>
        <w:tabs>
          <w:tab w:leader="none" w:pos="47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list of any “road show” materials that are Free Writing Offering Documents.</w:t>
      </w:r>
    </w:p>
    <w:p>
      <w:pPr>
        <w:spacing w:after="0" w:line="200" w:lineRule="exact"/>
        <w:rPr>
          <w:sz w:val="20"/>
          <w:szCs w:val="20"/>
          <w:color w:val="auto"/>
        </w:rPr>
      </w:pPr>
    </w:p>
    <w:p>
      <w:pPr>
        <w:spacing w:after="0" w:line="241" w:lineRule="exact"/>
        <w:rPr>
          <w:sz w:val="20"/>
          <w:szCs w:val="20"/>
          <w:color w:val="auto"/>
        </w:rPr>
      </w:pPr>
    </w:p>
    <w:p>
      <w:pPr>
        <w:ind w:left="5152"/>
        <w:spacing w:after="0"/>
        <w:rPr>
          <w:sz w:val="20"/>
          <w:szCs w:val="20"/>
          <w:color w:val="auto"/>
        </w:rPr>
      </w:pPr>
      <w:r>
        <w:rPr>
          <w:rFonts w:ascii="Times New Roman" w:cs="Times New Roman" w:eastAsia="Times New Roman" w:hAnsi="Times New Roman"/>
          <w:sz w:val="18"/>
          <w:szCs w:val="18"/>
          <w:color w:val="auto"/>
        </w:rPr>
        <w:t>Schedule III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1"/>
          </w:cols>
          <w:pgMar w:left="248" w:top="900" w:right="1440" w:bottom="1440" w:gutter="0" w:footer="0" w:header="0"/>
        </w:sectPr>
      </w:pPr>
    </w:p>
    <w:bookmarkStart w:id="152" w:name="page153"/>
    <w:bookmarkEnd w:id="152"/>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Schedule IV</w:t>
      </w:r>
    </w:p>
    <w:p>
      <w:pPr>
        <w:spacing w:after="0" w:line="229"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8"/>
          <w:szCs w:val="18"/>
          <w:color w:val="auto"/>
        </w:rPr>
        <w:t>LIST OF PERSONS SUBJECT TO LOCK-UP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Gerhard F. Burbach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Barthelemy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M. Clague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D. Colella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Colston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S.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Christopher Linthwaite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Carlos Paya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Vikram Jog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Nicholas Khadder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Kreger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McCracken</w:t>
      </w:r>
    </w:p>
    <w:p>
      <w:pPr>
        <w:spacing w:after="0" w:line="200" w:lineRule="exact"/>
        <w:rPr>
          <w:sz w:val="20"/>
          <w:szCs w:val="20"/>
          <w:color w:val="auto"/>
        </w:rPr>
      </w:pPr>
    </w:p>
    <w:p>
      <w:pPr>
        <w:spacing w:after="0" w:line="2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Schedule IV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0" w:right="1440" w:bottom="1440" w:gutter="0" w:footer="0" w:header="0"/>
        </w:sectPr>
      </w:pPr>
    </w:p>
    <w:bookmarkStart w:id="153" w:name="page154"/>
    <w:bookmarkEnd w:id="153"/>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Schedule V</w:t>
      </w:r>
    </w:p>
    <w:p>
      <w:pPr>
        <w:spacing w:after="0" w:line="229" w:lineRule="exact"/>
        <w:rPr>
          <w:sz w:val="20"/>
          <w:szCs w:val="20"/>
          <w:color w:val="auto"/>
        </w:rPr>
      </w:pPr>
    </w:p>
    <w:p>
      <w:pPr>
        <w:jc w:val="right"/>
        <w:ind w:right="3899"/>
        <w:spacing w:after="0"/>
        <w:rPr>
          <w:sz w:val="20"/>
          <w:szCs w:val="20"/>
          <w:color w:val="auto"/>
        </w:rPr>
      </w:pPr>
      <w:r>
        <w:rPr>
          <w:rFonts w:ascii="Times New Roman" w:cs="Times New Roman" w:eastAsia="Times New Roman" w:hAnsi="Times New Roman"/>
          <w:sz w:val="18"/>
          <w:szCs w:val="18"/>
          <w:color w:val="auto"/>
        </w:rPr>
        <w:t>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FLUIDIGM CANADA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FLUIDIGM (SHANGHAI) INSTRUMENT TECHNOLOGY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FLUIDIGM FRANCE SARL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FLUIDIGM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FLUIDIGM K.K.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FLUIDIGM EUROPE B.V.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FLUIDIGM SINGAPORE PTE.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FLUIDIGM UK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FLUIDIGM SCIENCES INC.</w:t>
      </w:r>
    </w:p>
    <w:p>
      <w:pPr>
        <w:spacing w:after="0" w:line="200" w:lineRule="exact"/>
        <w:rPr>
          <w:sz w:val="20"/>
          <w:szCs w:val="20"/>
          <w:color w:val="auto"/>
        </w:rPr>
      </w:pPr>
    </w:p>
    <w:p>
      <w:pPr>
        <w:spacing w:after="0" w:line="2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Schedule V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1" w:right="1440"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ind w:left="740" w:hanging="732"/>
        <w:spacing w:after="0"/>
        <w:tabs>
          <w:tab w:leader="none" w:pos="7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initial purchasers named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Schedule I to the Purchase Agreement 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an inducement to the initial purchasers (the “</w:t>
      </w:r>
      <w:r>
        <w:rPr>
          <w:rFonts w:ascii="Times New Roman" w:cs="Times New Roman" w:eastAsia="Times New Roman" w:hAnsi="Times New Roman"/>
          <w:sz w:val="18"/>
          <w:szCs w:val="18"/>
          <w:b w:val="1"/>
          <w:bCs w:val="1"/>
          <w:i w:val="1"/>
          <w:iCs w:val="1"/>
          <w:color w:val="auto"/>
        </w:rPr>
        <w:t>Initial Purchasers</w:t>
      </w:r>
      <w:r>
        <w:rPr>
          <w:rFonts w:ascii="Times New Roman" w:cs="Times New Roman" w:eastAsia="Times New Roman" w:hAnsi="Times New Roman"/>
          <w:sz w:val="18"/>
          <w:szCs w:val="18"/>
          <w:color w:val="auto"/>
        </w:rPr>
        <w:t>”) to execute a purchase agreement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providing for an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of convertible senior notes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which will be convertible into shares of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Fluidigm Corporation, a Delaware corporation, and any successor (by merger or otherwise) thereto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agrees that without, in each case, the prior written consent of Barclays Capital Inc. (“</w:t>
      </w:r>
      <w:r>
        <w:rPr>
          <w:rFonts w:ascii="Times New Roman" w:cs="Times New Roman" w:eastAsia="Times New Roman" w:hAnsi="Times New Roman"/>
          <w:sz w:val="18"/>
          <w:szCs w:val="18"/>
          <w:b w:val="1"/>
          <w:bCs w:val="1"/>
          <w:i w:val="1"/>
          <w:iCs w:val="1"/>
          <w:color w:val="auto"/>
        </w:rPr>
        <w:t>Barclays</w:t>
      </w:r>
      <w:r>
        <w:rPr>
          <w:rFonts w:ascii="Times New Roman" w:cs="Times New Roman" w:eastAsia="Times New Roman" w:hAnsi="Times New Roman"/>
          <w:sz w:val="18"/>
          <w:szCs w:val="18"/>
          <w:color w:val="auto"/>
        </w:rPr>
        <w:t>”), as representative of the Initial Purchasers, during the period specified in the second succeeding paragraph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the undersigned will not: (1) offer, pledge, announce the intention to sell, sell, contract to sell, sell any option or contract to purchase, purchase any option or contract to sell, grant any option, right or warrant to purchase, make any short sale or otherwise transfer or dispose of, directly or indirectly, any shares of Common Stock or any securities convertible into, exercisable or exchangeable for or that represent the right to receive Common Stock (including without limitation, Common Stock which may be deemed to be beneficially owned by the undersigned in accordance with the rules and regulations of the Securities and Exchange Commission and securities which may be issued upon exercise of a stock option or warrant) whether now owned or hereafter acquired (the “</w:t>
      </w:r>
      <w:r>
        <w:rPr>
          <w:rFonts w:ascii="Times New Roman" w:cs="Times New Roman" w:eastAsia="Times New Roman" w:hAnsi="Times New Roman"/>
          <w:sz w:val="18"/>
          <w:szCs w:val="18"/>
          <w:b w:val="1"/>
          <w:bCs w:val="1"/>
          <w:i w:val="1"/>
          <w:iCs w:val="1"/>
          <w:color w:val="auto"/>
        </w:rPr>
        <w:t>Undersigned’s Securities</w:t>
      </w:r>
      <w:r>
        <w:rPr>
          <w:rFonts w:ascii="Times New Roman" w:cs="Times New Roman" w:eastAsia="Times New Roman" w:hAnsi="Times New Roman"/>
          <w:sz w:val="18"/>
          <w:szCs w:val="18"/>
          <w:color w:val="auto"/>
        </w:rPr>
        <w:t>”); (2) enter into any swap or other agreement that transfers, in whole or in part, any of the economic consequences of ownership of the Undersigned’s Securities, whether any such transaction described in clause (1) or (2) above is to be settled by delivery of Common Stock or such other securities, in cash or otherwise; (3) make any demand for or exercise any right with respect to, the registration of any Common Stock or any security convertible into or exercisable or exchangeable for Common Stock; or (4) publicly disclose the intention to do any of the foregoing.</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agrees that the foregoing restrictions preclude the undersigned from engaging in any hedging or other transaction which is designed to or which reasonably could be expected to lead to or result in a sale or disposition of the Undersigned’s Securities even if such securities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Securities or with respect to any security that includes, relates to, or derives any significant part of its value from the Undersigned’s Securities.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55" w:name="page156"/>
    <w:bookmarkEnd w:id="15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Lock-Up Period will commence on the date of this Agreement and continue and include the date seventy-five (75) days after the date of the final offering memorandum used to sell Notes in the Offering pursuant to the Purchase Agreement.</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the undersigned may transfer the Undersigned’s Securities (i)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(ii) to any trust for the direct or indirect benefit of the undersigned or the immediate family of the undersigned, (iii) to any corporation, partnership, limited liability company or other entity, all of the beneficial ownership interests of which, in each case, are held by the undersigned or any immediate family of the undersigned, (iv) if the undersigned is a corporation, partnership, limited liability company, trust or other business entity (1) transfers to another corporation, partnership, limited liability company, trust or other business entity that is a direct or indirect affiliate (as defined in Rule 405 promulgated under the Securities Act of 1933, as amended) of the undersigned or (2) distributions of shares of Common Stock or any security convertible into or exercisable for Common Stock to limited partners, limited liability company members or stockholders or trust beneficiaries of the undersigned, (v) if the undersigned is a trust, transfers to the beneficiary of such trust, (vi) transfers by testate succession or intestate succession, (vii) transfers by operation of law, including pursuant to a qualified domestic relations order or in connection with a divorce settlement, (viii) any transfers in connection with a bona fide third party tender offer, merger, consolidation or other similar transaction made to all common stockholders and resulting in a Change of Control of the Company, provided that in the event the tender offer, merger, consolidation or other such transaction is not completed, the Undersigned’s Securities shall remain subject to the restrictions contained herein, (ix) pursuant to a 10b5-1 Plan established prior to the date hereof; or (x) pursuant to the Purchase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the case of clauses (i)-(vi), that (x) such transfer shall not involve a disposition for value, (y) the transferee agrees in writing with Barclays on behalf of the Initial Purchasers to be bound by the terms of this Lock-Up Agreement, and (z) no filing by any party under Section 16(a)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be required or shall be made voluntarily in connection with such transfer (other than a Form 5 required to be filed under the Exchange Act if the undersigned is subject to Section 16 reporting with respect to the Company under the Exchange Act for which the deadline falls during the Lock-Up Period, and indicating by footnote disclosure or otherwise the nature of the transfer or disposition). For purposes of this Agreement, (i) “</w:t>
      </w:r>
      <w:r>
        <w:rPr>
          <w:rFonts w:ascii="Times New Roman" w:cs="Times New Roman" w:eastAsia="Times New Roman" w:hAnsi="Times New Roman"/>
          <w:sz w:val="18"/>
          <w:szCs w:val="18"/>
          <w:b w:val="1"/>
          <w:bCs w:val="1"/>
          <w:i w:val="1"/>
          <w:iCs w:val="1"/>
          <w:color w:val="auto"/>
        </w:rPr>
        <w:t>immediate family</w:t>
      </w:r>
      <w:r>
        <w:rPr>
          <w:rFonts w:ascii="Times New Roman" w:cs="Times New Roman" w:eastAsia="Times New Roman" w:hAnsi="Times New Roman"/>
          <w:sz w:val="18"/>
          <w:szCs w:val="18"/>
          <w:color w:val="auto"/>
        </w:rPr>
        <w:t>” shall mean any relationship by blood, marriage or adoption, not more remote than first cousin and (ii)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shall mean the transfer (whether by tender offer, merger, consolidation or other similar transaction), in one transaction or a series of related transactions, to a person or group of affiliated persons, of the Company’s voting securities if, after such transfer, such person or group of affiliated persons would hold more than 50% of the outstanding voting securities of the Company (or the surviving entity).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6" w:name="page157"/>
    <w:bookmarkEnd w:id="15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foregoing restrictions shall not apply to (i) the exercise, conversion or exchange of any options, warrants, rights or convertible securities outstanding on the date hereof as described in the offering memorandum (including the documents incorporated by reference therein), including any exercise effected by the delivery or sale of the Undersigned’s Securities to the Company (including, without limitation, to finance a “cashless exercise”); provided that it shall apply to any of the Undersigned’s Securities issued upon such exercise, conversion or exchange, except to the extent such securities are withheld by the Company to cover tax liabilities; or (ii) the establishment of any contract, instruction or plan (a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that satisfies all of the requirements of Rule 10b5-1(c)(1)(i)(B)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sales of the Undersigned’s Securities shall be made pursuant to such a Plan prior to the expiration of the Lock-Up Period (as such may have been extended pursuant to the provisions hereof), and such a Plan may only be established if no public announcement of the establishment or existence thereof and no filing with the Securities and Exchange Commission or other regulatory authority in respect thereof or transactions thereunder or contemplated thereby, by the undersigned, the Company or any other person, shall be required, and no such announcement or filing is made voluntarily, by the undersigned, the Company or any other person, prior to the expiration of the Lock-Up Period (as such may have been extended pursuant to the provisions hereof); or (iii) the transfer of shares of Common Stock or any securities to the Company as forfeitures to satisfy tax withholding obligations of the undersigned or the employer of the undersigned in connection with the vesting of restricted stock (including restricted stock units) or exercise of options held by the undersigned and granted pursuant to the Company’s equity incentive plans that are described in the offering memorandum (including the documents incorporated by reference therein); provided that if the undersigned is required to file a report under Section 16(a) of the Exchange Act reporting a reduction in beneficial ownership of shares of Common Stock during the Lock-Up Period, the undersigned shall include a statement in such report to the effect that the purpose of such transfer was to cover tax withholding obligations of the undersigned in connection with such vesting or exercise; or (iv) transfers to a nominee, broker, or custodian of the undersigned or a person or entity to whom a disposition or transfer would be permissible under this Agreement (provided, however, that, for the avoidance of doubt, any such Securities so transferred shall remain subject to the restrictions provided for in this Agreement for the remainder of the Lock-Up Period and the transferor shall continue to be responsible for ensuring compliance with the terms of this Agreement).</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furtherance of the foregoing, the Company and its transfer agent and registrar are hereby authorized to decline to make any transfer of shares of Common Stock if such transfer would constitute a violation or breach of this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represents and warrants that it: (i) has full power and authority to enter into this Agreement and that upon request, the undersigned will execute and additional documents necessary to ensure the validity or enforcement of this Agreement, and (ii) now has, and except as contemplated by this Agreement, for the duration of this Agreement will have, good and marketable title to the Undersigned’s Securities, free and clear of all liens, encumbrances, and claims whatsoever. All authority herein conferred or agreed to be conferred and any obligations of the undersigned shall be binding upon the successors, assigns, heirs or personal representatives of the undersigned.</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the undersigned shall be released from all obligations under this Agreement if (i) the Company notifies the Initial Purchasers that it does not intend to proceed with the Offering, (ii) the Purchase Agreement does not become effective, or if the Purchase Agreement (other than the provisions thereof which survive termination) shall terminate or be terminated prior to payment for and delivery of the Notes to be sold thereunder, or (iii) the Offering is not completed by December 31, 2019.</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7" w:name="page158"/>
    <w:bookmarkEnd w:id="157"/>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understands that the Initial Purchasers are entering into the Purchase Agreement and proceeding with the Offering in reliance upon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[Printed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309245</wp:posOffset>
            </wp:positionV>
            <wp:extent cx="361886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This Second Amendment to Loan and Security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is entered into this 20th day of November, 2019, by and among </w:t>
      </w:r>
      <w:r>
        <w:rPr>
          <w:rFonts w:ascii="Times New Roman" w:cs="Times New Roman" w:eastAsia="Times New Roman" w:hAnsi="Times New Roman"/>
          <w:sz w:val="18"/>
          <w:szCs w:val="18"/>
          <w:b w:val="1"/>
          <w:bCs w:val="1"/>
          <w:color w:val="auto"/>
        </w:rPr>
        <w:t xml:space="preserve">SILICON VALLEY BANK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FLUIDIGM CORPORATION</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229" w:lineRule="exact"/>
        <w:rPr>
          <w:sz w:val="20"/>
          <w:szCs w:val="20"/>
          <w:color w:val="auto"/>
        </w:rPr>
      </w:pPr>
    </w:p>
    <w:p>
      <w:pPr>
        <w:jc w:val="both"/>
        <w:ind w:firstLine="656"/>
        <w:spacing w:after="0" w:line="266" w:lineRule="auto"/>
        <w:tabs>
          <w:tab w:leader="none" w:pos="1387"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Bank and Borrower have entered into that certain Loan and Security Agreement dated as of August 2, 2018 (as amended by that certain Default Waiver and First Amendment to Loan and Security Agreement dated as of September 7, 2018 and as may be further amended, modified, supplemented or restated,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Bank has extended credit to Borrower for the purposes permitted in the Loan Agreement.</w:t>
      </w:r>
    </w:p>
    <w:p>
      <w:pPr>
        <w:spacing w:after="0" w:line="225" w:lineRule="exact"/>
        <w:rPr>
          <w:rFonts w:ascii="Times New Roman" w:cs="Times New Roman" w:eastAsia="Times New Roman" w:hAnsi="Times New Roman"/>
          <w:sz w:val="18"/>
          <w:szCs w:val="18"/>
          <w:b w:val="1"/>
          <w:bCs w:val="1"/>
          <w:color w:val="auto"/>
        </w:rPr>
      </w:pPr>
    </w:p>
    <w:p>
      <w:pPr>
        <w:ind w:left="1460" w:hanging="804"/>
        <w:spacing w:after="0"/>
        <w:tabs>
          <w:tab w:leader="none" w:pos="14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has requested that Bank amend the Loan Agreement to make certain revisions to the Loan Agreement as more fully set forth</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herein.</w:t>
      </w:r>
    </w:p>
    <w:p>
      <w:pPr>
        <w:spacing w:after="0" w:line="206"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352"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foregoing recitals and other good and valuable consideration, the receipt and adequacy of which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and intending to be legally bound, the parties hereto agree as follows:</w:t>
      </w:r>
    </w:p>
    <w:p>
      <w:pPr>
        <w:spacing w:after="0" w:line="155" w:lineRule="exact"/>
        <w:rPr>
          <w:sz w:val="20"/>
          <w:szCs w:val="20"/>
          <w:color w:val="auto"/>
        </w:rPr>
      </w:pPr>
    </w:p>
    <w:p>
      <w:pPr>
        <w:ind w:left="1280" w:hanging="624"/>
        <w:spacing w:after="0"/>
        <w:tabs>
          <w:tab w:leader="none" w:pos="128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Capitalized terms used but not defined in this Amendment shall have the meanings given to them in the Loan Agreement.</w:t>
      </w:r>
    </w:p>
    <w:p>
      <w:pPr>
        <w:spacing w:after="0" w:line="225" w:lineRule="exact"/>
        <w:rPr>
          <w:rFonts w:ascii="Times New Roman" w:cs="Times New Roman" w:eastAsia="Times New Roman" w:hAnsi="Times New Roman"/>
          <w:sz w:val="18"/>
          <w:szCs w:val="18"/>
          <w:b w:val="1"/>
          <w:bCs w:val="1"/>
          <w:color w:val="auto"/>
        </w:rPr>
      </w:pPr>
    </w:p>
    <w:p>
      <w:pPr>
        <w:ind w:left="1280" w:hanging="624"/>
        <w:spacing w:after="0"/>
        <w:tabs>
          <w:tab w:leader="none" w:pos="128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Loan Agreement.</w:t>
      </w:r>
    </w:p>
    <w:p>
      <w:pPr>
        <w:spacing w:after="0" w:line="22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7"/>
          <w:szCs w:val="17"/>
          <w:b w:val="1"/>
          <w:bCs w:val="1"/>
          <w:color w:val="auto"/>
        </w:rPr>
        <w:t>Section 6.15 (Permitted Convertible Indebtedness)</w:t>
      </w:r>
      <w:r>
        <w:rPr>
          <w:rFonts w:ascii="Times New Roman" w:cs="Times New Roman" w:eastAsia="Times New Roman" w:hAnsi="Times New Roman"/>
          <w:sz w:val="17"/>
          <w:szCs w:val="17"/>
          <w:color w:val="auto"/>
        </w:rPr>
        <w:t>. New Section 6.15 is hereby added to the Loan Agreement as follows:</w:t>
      </w:r>
    </w:p>
    <w:p>
      <w:pPr>
        <w:spacing w:after="0" w:line="225" w:lineRule="exact"/>
        <w:rPr>
          <w:sz w:val="20"/>
          <w:szCs w:val="20"/>
          <w:color w:val="auto"/>
        </w:rPr>
      </w:pPr>
    </w:p>
    <w:p>
      <w:pPr>
        <w:jc w:val="both"/>
        <w:ind w:left="660" w:righ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“6.15 Permitted Convertible Indebtedness. </w:t>
      </w:r>
      <w:r>
        <w:rPr>
          <w:rFonts w:ascii="Times New Roman" w:cs="Times New Roman" w:eastAsia="Times New Roman" w:hAnsi="Times New Roman"/>
          <w:sz w:val="18"/>
          <w:szCs w:val="18"/>
          <w:color w:val="auto"/>
        </w:rPr>
        <w:t>Promptly after Borrower’s receipt of notice of any election or request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Permitted Convertible Indebtedness to redeem, provide Bank with written notice of such election or request.”</w:t>
      </w:r>
    </w:p>
    <w:p>
      <w:pPr>
        <w:spacing w:after="0" w:line="155"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 xml:space="preserve">Section 7.7 (Distribution; Investments). </w:t>
      </w:r>
      <w:r>
        <w:rPr>
          <w:rFonts w:ascii="Times New Roman" w:cs="Times New Roman" w:eastAsia="Times New Roman" w:hAnsi="Times New Roman"/>
          <w:sz w:val="18"/>
          <w:szCs w:val="18"/>
          <w:color w:val="auto"/>
        </w:rPr>
        <w:t>Section 7.7 of the Loan Agreement is hereby amended and restated in its entirety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both"/>
        <w:ind w:left="660" w:right="6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“7.7 Distributions; Investments. </w:t>
      </w:r>
      <w:r>
        <w:rPr>
          <w:rFonts w:ascii="Times New Roman" w:cs="Times New Roman" w:eastAsia="Times New Roman" w:hAnsi="Times New Roman"/>
          <w:sz w:val="18"/>
          <w:szCs w:val="18"/>
          <w:color w:val="auto"/>
        </w:rPr>
        <w:t>(a) Pay any dividends or make any distribution or payment or redeem, retire or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capital stock of Borrower provided that Borrower may (i) convert any of its convertible securities into other securities pursuant to the terms of such convertible securities or otherwise in exchange thereof, (ii) pay dividends solely in common stock; (iii) pay cash in lieu of fractional shares in connection with any distribution, payment or redemption permitted pursuant to this Section 7.7; (iv) make non-cash purchases or withholding of capital stock in connection with the exercise of stock options or stock appreciation rights by way of cashless exercise or the vesting of restricted stock units or in connection with the satisfaction of withholding tax obligations; and (v) make other payments, distributions, redemptions, retirements or purchases in an aggregate amount not to exceed Five Hundred Thousand Dollars ($500,000) in any fiscal year so long as an Event of Default does not exist at the time of any such payment, distribution, redemption, retirement or purchase and would not exist after giving effect thereto; or (b) directly or indirectly make any Investment (including, without limitation, by the formation of any Subsidiary) other than Permitted Investments, or permit any of its Subsidiaries to do so. For the avoidance of doubt, the term "capital stock" shall not include any convertible debt security and clause (a) shall not apply to the redemption, repurchase or conversion of any convertible debt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9" w:name="page160"/>
    <w:bookmarkEnd w:id="159"/>
    <w:p>
      <w:pPr>
        <w:ind w:left="130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Section 7.9 (Subordinated Debt</w:t>
      </w:r>
      <w:r>
        <w:rPr>
          <w:rFonts w:ascii="Times New Roman" w:cs="Times New Roman" w:eastAsia="Times New Roman" w:hAnsi="Times New Roman"/>
          <w:sz w:val="17"/>
          <w:szCs w:val="17"/>
          <w:color w:val="auto"/>
        </w:rPr>
        <w:t>). Section 7.9 of the Loan Agreement is hereby amended and restated in its entirety as follows:</w:t>
      </w:r>
    </w:p>
    <w:p>
      <w:pPr>
        <w:spacing w:after="0" w:line="225"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“7.9</w:t>
      </w:r>
      <w:r>
        <w:rPr>
          <w:sz w:val="20"/>
          <w:szCs w:val="20"/>
          <w:color w:val="auto"/>
        </w:rPr>
        <w:tab/>
      </w:r>
      <w:r>
        <w:rPr>
          <w:rFonts w:ascii="Times New Roman" w:cs="Times New Roman" w:eastAsia="Times New Roman" w:hAnsi="Times New Roman"/>
          <w:sz w:val="18"/>
          <w:szCs w:val="18"/>
          <w:b w:val="1"/>
          <w:bCs w:val="1"/>
          <w:color w:val="auto"/>
        </w:rPr>
        <w:t>Subordinated Debt; Permitted Convertible Indebtedness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right="640" w:firstLine="1507"/>
        <w:spacing w:after="0" w:line="261" w:lineRule="auto"/>
        <w:tabs>
          <w:tab w:leader="none" w:pos="284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Subordinated Debt</w:t>
      </w:r>
      <w:r>
        <w:rPr>
          <w:rFonts w:ascii="Times New Roman" w:cs="Times New Roman" w:eastAsia="Times New Roman" w:hAnsi="Times New Roman"/>
          <w:sz w:val="18"/>
          <w:szCs w:val="18"/>
          <w:color w:val="auto"/>
        </w:rPr>
        <w:t>. (i) Make or permit any payment on any Subordinated Debt, except under the terms of the subordination, intercreditor, or other similar agreement to which such Subordinated Debt is subject, or (ii)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80" w:lineRule="exact"/>
        <w:rPr>
          <w:rFonts w:ascii="Times New Roman" w:cs="Times New Roman" w:eastAsia="Times New Roman" w:hAnsi="Times New Roman"/>
          <w:sz w:val="18"/>
          <w:szCs w:val="18"/>
          <w:color w:val="auto"/>
        </w:rPr>
      </w:pPr>
    </w:p>
    <w:p>
      <w:pPr>
        <w:jc w:val="both"/>
        <w:ind w:left="660" w:right="620" w:firstLine="1518"/>
        <w:spacing w:after="0" w:line="254" w:lineRule="auto"/>
        <w:tabs>
          <w:tab w:leader="none" w:pos="2805"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Convertible Indebtedness</w:t>
      </w:r>
      <w:r>
        <w:rPr>
          <w:rFonts w:ascii="Times New Roman" w:cs="Times New Roman" w:eastAsia="Times New Roman" w:hAnsi="Times New Roman"/>
          <w:sz w:val="18"/>
          <w:szCs w:val="18"/>
          <w:color w:val="auto"/>
        </w:rPr>
        <w:t>. Except for redemptions or repurchases of the Existing Convertible Notes, make any payment or prepayment of principal of, premium, if any, or interest on, or redemption, purchase, retirement, defeasance (including in-substance or legal defeasance), sinking fund, settlement, conversion, or similar payment with respect to, any Permitted Convertible Indebtedness, except that Borrower may make any required payments of cash or deliveries in shares of common stock of Borrower or any combination thereof (or other securities or property following a merger event, reclassification or other change of the common stock) (and cash in lieu of fractional shares) pursuant to the terms of, and otherwise perform its obligations under, any Permitted Convertible Indebtedness (including, without limitation, making payments of interest and principal thereon, making payments due upon required repurchase or redemption thereof and/or making payments and deliveries upon conversion thereof) (provided that, for the sake of clarity, “required payments or deliveries” shall not include a redemption of the Permitted Convertible Indebtedness by Borrower at Borrower’s option).”</w:t>
      </w:r>
    </w:p>
    <w:p>
      <w:pPr>
        <w:sectPr>
          <w:pgSz w:w="11900" w:h="16838" w:orient="portrait"/>
          <w:cols w:equalWidth="0" w:num="1">
            <w:col w:w="11400"/>
          </w:cols>
          <w:pgMar w:left="240" w:top="901" w:right="259" w:bottom="1440" w:gutter="0" w:footer="0" w:header="0"/>
        </w:sectPr>
      </w:pP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replaced with the following:</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(Definitions)</w:t>
      </w:r>
      <w:r>
        <w:rPr>
          <w:rFonts w:ascii="Times New Roman" w:cs="Times New Roman" w:eastAsia="Times New Roman" w:hAnsi="Times New Roman"/>
          <w:sz w:val="18"/>
          <w:szCs w:val="18"/>
          <w:color w:val="auto"/>
        </w:rPr>
        <w:t>. The following terms and their definitions set forth in Section 13.1 are deleted in their entirety and</w:t>
      </w:r>
    </w:p>
    <w:p>
      <w:pPr>
        <w:spacing w:after="0" w:line="438" w:lineRule="exact"/>
        <w:rPr>
          <w:sz w:val="20"/>
          <w:szCs w:val="20"/>
          <w:color w:val="auto"/>
        </w:rPr>
      </w:pPr>
    </w:p>
    <w:p>
      <w:pPr>
        <w:sectPr>
          <w:pgSz w:w="11900" w:h="16838" w:orient="portrait"/>
          <w:cols w:equalWidth="0" w:num="2">
            <w:col w:w="2040" w:space="240"/>
            <w:col w:w="9120"/>
          </w:cols>
          <w:pgMar w:left="240" w:top="901" w:right="259" w:bottom="1440" w:gutter="0" w:footer="0" w:header="0"/>
          <w:type w:val="continuous"/>
        </w:sectPr>
      </w:pPr>
    </w:p>
    <w:p>
      <w:pPr>
        <w:spacing w:after="0" w:line="3" w:lineRule="exact"/>
        <w:rPr>
          <w:sz w:val="20"/>
          <w:szCs w:val="20"/>
          <w:color w:val="auto"/>
        </w:rPr>
      </w:pPr>
    </w:p>
    <w:p>
      <w:pPr>
        <w:jc w:val="both"/>
        <w:ind w:left="660" w:right="62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 at any time, any “person” or “group” (as such terms are used in Sections 13(d) and 14(d) of the Exchange Act), shall become, or obtain rights (whether by means of warrants, options or otherwise) to become, the “beneficial owner” (as defined in Rules 13(d)-3 and 13(d) 5 under the Exchange Act), directly or indirectly, of forty percent (40%) or more of the ordinary voting power for the election of directors of Borrower (determined on a fully diluted basis);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(c) at any time, Borrower shall cease to own and control, of record and beneficially, directly or indirectly, one hundred percent (100%) of each class of outstanding capital stock of each Subsidiary of Borrower (other than director’s qualifying shares) free and clear of all Liens (except Liens created by this Agreement); or (d) the occurrence of any “change in control,” “fundamental change” or similar event under any agreement governing Permitted Convertible Indebtedness.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type w:val="continuous"/>
        </w:sectPr>
      </w:pPr>
    </w:p>
    <w:bookmarkStart w:id="160" w:name="page161"/>
    <w:bookmarkEnd w:id="160"/>
    <w:p>
      <w:pPr>
        <w:jc w:val="both"/>
        <w:ind w:left="660" w:right="6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Indentures</w:t>
      </w:r>
      <w:r>
        <w:rPr>
          <w:rFonts w:ascii="Times New Roman" w:cs="Times New Roman" w:eastAsia="Times New Roman" w:hAnsi="Times New Roman"/>
          <w:sz w:val="18"/>
          <w:szCs w:val="18"/>
          <w:color w:val="auto"/>
        </w:rPr>
        <w:t>” means, collectively, (i) that certain Indenture between Borrower as issuer and U.S. Bank National Association as Indenture Trustee dated as of February 4, 2014, and (ii) that certain First Supplemental Indenture between Borrower as issuer and U.S. Bank National Association as Indenture Trustee dated as of February 4, 2014.</w:t>
      </w:r>
    </w:p>
    <w:p>
      <w:pPr>
        <w:spacing w:after="0" w:line="171" w:lineRule="exact"/>
        <w:rPr>
          <w:sz w:val="20"/>
          <w:szCs w:val="20"/>
          <w:color w:val="auto"/>
        </w:rPr>
      </w:pPr>
    </w:p>
    <w:p>
      <w:pPr>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2.5 Section 13 (Definitions)</w:t>
      </w:r>
      <w:r>
        <w:rPr>
          <w:rFonts w:ascii="Times New Roman" w:cs="Times New Roman" w:eastAsia="Times New Roman" w:hAnsi="Times New Roman"/>
          <w:sz w:val="18"/>
          <w:szCs w:val="18"/>
          <w:color w:val="auto"/>
        </w:rPr>
        <w:t>. Subsection (h) of the defined term “Permitted Indebtedness” set forth in the Loan Agreement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in its entirety as follows:</w:t>
      </w:r>
    </w:p>
    <w:p>
      <w:pPr>
        <w:sectPr>
          <w:pgSz w:w="11900" w:h="16838" w:orient="portrait"/>
          <w:cols w:equalWidth="0" w:num="1">
            <w:col w:w="11420"/>
          </w:cols>
          <w:pgMar w:left="240" w:top="901" w:right="239" w:bottom="1440" w:gutter="0" w:footer="0" w:header="0"/>
        </w:sectPr>
      </w:pP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Permitted Convertible Indebtedness;”</w:t>
      </w:r>
    </w:p>
    <w:p>
      <w:pPr>
        <w:spacing w:after="0" w:line="211" w:lineRule="exact"/>
        <w:rPr>
          <w:sz w:val="20"/>
          <w:szCs w:val="20"/>
          <w:color w:val="auto"/>
        </w:rPr>
      </w:pPr>
    </w:p>
    <w:p>
      <w:pPr>
        <w:sectPr>
          <w:pgSz w:w="11900" w:h="16838" w:orient="portrait"/>
          <w:cols w:equalWidth="0" w:num="2">
            <w:col w:w="1600" w:space="540"/>
            <w:col w:w="9280"/>
          </w:cols>
          <w:pgMar w:left="240" w:top="901" w:right="239" w:bottom="1440" w:gutter="0" w:footer="0" w:header="0"/>
          <w:type w:val="continuous"/>
        </w:sectPr>
      </w:pPr>
    </w:p>
    <w:p>
      <w:pPr>
        <w:spacing w:after="0" w:line="21"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Section 13 (Definitions)</w:t>
      </w:r>
      <w:r>
        <w:rPr>
          <w:rFonts w:ascii="Times New Roman" w:cs="Times New Roman" w:eastAsia="Times New Roman" w:hAnsi="Times New Roman"/>
          <w:sz w:val="18"/>
          <w:szCs w:val="18"/>
          <w:color w:val="auto"/>
        </w:rPr>
        <w:t>. Subsection (l) and (m) of the defined term Permitted Liens are hereby amended and restated in their</w:t>
      </w:r>
    </w:p>
    <w:p>
      <w:pPr>
        <w:sectPr>
          <w:pgSz w:w="11900" w:h="16838" w:orient="portrait"/>
          <w:cols w:equalWidth="0" w:num="1">
            <w:col w:w="11420"/>
          </w:cols>
          <w:pgMar w:left="240" w:top="901"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entirety as follows and new subsection (n) is hereby added as follows:</w:t>
      </w:r>
    </w:p>
    <w:p>
      <w:pPr>
        <w:spacing w:after="0" w:line="207" w:lineRule="exact"/>
        <w:rPr>
          <w:sz w:val="20"/>
          <w:szCs w:val="20"/>
          <w:color w:val="auto"/>
        </w:rPr>
      </w:pPr>
    </w:p>
    <w:p>
      <w:pPr>
        <w:ind w:left="660" w:right="660" w:firstLine="645"/>
        <w:spacing w:after="0" w:line="282" w:lineRule="auto"/>
        <w:tabs>
          <w:tab w:leader="none" w:pos="219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attachments or judgments, orders, or decrees in circumstances not constituting an Event of Default under Sections 8.4 and 8.7;</w:t>
      </w:r>
    </w:p>
    <w:p>
      <w:pPr>
        <w:spacing w:after="0" w:line="161" w:lineRule="exact"/>
        <w:rPr>
          <w:rFonts w:ascii="Times New Roman" w:cs="Times New Roman" w:eastAsia="Times New Roman" w:hAnsi="Times New Roman"/>
          <w:sz w:val="18"/>
          <w:szCs w:val="18"/>
          <w:color w:val="auto"/>
        </w:rPr>
      </w:pPr>
    </w:p>
    <w:p>
      <w:pPr>
        <w:jc w:val="both"/>
        <w:ind w:left="660" w:right="660" w:firstLine="645"/>
        <w:spacing w:after="0" w:line="266" w:lineRule="auto"/>
        <w:tabs>
          <w:tab w:leader="none" w:pos="222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other financial institutions arising in connection with Borrower’s deposit and/or securities accounts held at such institutions, provided that (i) Bank has a first priority perfected security interest in the amounts held in such deposit and/or securities accounts (ii) such accounts are permitted to be maintained pursuant to Section 6.8 of this Agreement; and</w:t>
      </w:r>
    </w:p>
    <w:p>
      <w:pPr>
        <w:spacing w:after="0" w:line="176" w:lineRule="exact"/>
        <w:rPr>
          <w:rFonts w:ascii="Times New Roman" w:cs="Times New Roman" w:eastAsia="Times New Roman" w:hAnsi="Times New Roman"/>
          <w:sz w:val="18"/>
          <w:szCs w:val="18"/>
          <w:color w:val="auto"/>
        </w:rPr>
      </w:pPr>
    </w:p>
    <w:p>
      <w:pPr>
        <w:jc w:val="both"/>
        <w:ind w:left="660" w:right="660" w:firstLine="645"/>
        <w:spacing w:after="0" w:line="266" w:lineRule="auto"/>
        <w:tabs>
          <w:tab w:leader="none" w:pos="211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Liens on funds in a trustee’s possession and granted in favor of such trustee to secure fees and other amounts owing to such trustee under the Indentures or other similar instruments pursuant to which any Permitted Convertible Indebtedness is issued.”</w:t>
      </w:r>
    </w:p>
    <w:p>
      <w:pPr>
        <w:sectPr>
          <w:pgSz w:w="11900" w:h="16838" w:orient="portrait"/>
          <w:cols w:equalWidth="0" w:num="1">
            <w:col w:w="11420"/>
          </w:cols>
          <w:pgMar w:left="240" w:top="901" w:right="239" w:bottom="1440" w:gutter="0" w:footer="0" w:header="0"/>
          <w:type w:val="continuous"/>
        </w:sectPr>
      </w:pP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2.7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alphabetical order: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(Definitions)</w:t>
      </w:r>
      <w:r>
        <w:rPr>
          <w:rFonts w:ascii="Times New Roman" w:cs="Times New Roman" w:eastAsia="Times New Roman" w:hAnsi="Times New Roman"/>
          <w:sz w:val="18"/>
          <w:szCs w:val="18"/>
          <w:color w:val="auto"/>
        </w:rPr>
        <w:t>. The following new terms and their definitions are hereby added to Section 13.1 in the appropriate</w:t>
      </w:r>
    </w:p>
    <w:p>
      <w:pPr>
        <w:spacing w:after="0" w:line="438" w:lineRule="exact"/>
        <w:rPr>
          <w:sz w:val="20"/>
          <w:szCs w:val="20"/>
          <w:color w:val="auto"/>
        </w:rPr>
      </w:pPr>
    </w:p>
    <w:p>
      <w:pPr>
        <w:sectPr>
          <w:pgSz w:w="11900" w:h="16838" w:orient="portrait"/>
          <w:cols w:equalWidth="0" w:num="2">
            <w:col w:w="1560" w:space="720"/>
            <w:col w:w="9140"/>
          </w:cols>
          <w:pgMar w:left="240" w:top="901" w:right="239" w:bottom="1440" w:gutter="0" w:footer="0" w:header="0"/>
          <w:type w:val="continuous"/>
        </w:sectPr>
      </w:pP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Convertible Notes</w:t>
      </w:r>
      <w:r>
        <w:rPr>
          <w:rFonts w:ascii="Times New Roman" w:cs="Times New Roman" w:eastAsia="Times New Roman" w:hAnsi="Times New Roman"/>
          <w:sz w:val="17"/>
          <w:szCs w:val="17"/>
          <w:color w:val="auto"/>
        </w:rPr>
        <w:t>” means the existing unsecured Indebtedness issued pursuant to the Indentures.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type w:val="continuous"/>
        </w:sectPr>
      </w:pPr>
    </w:p>
    <w:bookmarkStart w:id="161" w:name="page162"/>
    <w:bookmarkEnd w:id="161"/>
    <w:p>
      <w:pPr>
        <w:jc w:val="both"/>
        <w:ind w:left="660" w:right="660"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Convertible Indebtedness</w:t>
      </w:r>
      <w:r>
        <w:rPr>
          <w:rFonts w:ascii="Times New Roman" w:cs="Times New Roman" w:eastAsia="Times New Roman" w:hAnsi="Times New Roman"/>
          <w:sz w:val="18"/>
          <w:szCs w:val="18"/>
          <w:color w:val="auto"/>
        </w:rPr>
        <w:t xml:space="preserve">” means (i) the Existing Convertible Notes, and (ii) unsecured Indebtedness of Borrower issued in a single transaction in an aggregate principal amount of not more than Fifty-Five Million Dollars ($55,000,000) that (a) as of the date of issuance thereof contains terms, conditions, covenants, conversion or exchange rights and offer to repurchase rights, in each case, as are typical and customary for notes of such type (in each case, as determined by Borrower in good faith) and (b) is convertible or exchangeable into shares of common stock of Borrower (or other securities or property following a merger event, reclassification or other change of the common stock of Borrower), and cash in lieu of fractional shares of common stock of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Permitted Convertible Indebtedness shall have a stated final maturity no earlier than one hundred eighty (180) days after the Revolving Line Maturity Date and shall not be subject to any conditions that could result in such stated final maturity occurring on a date earlier than one hundred eighty (180) days after the Revolving Line Maturity Date (it being understood that (x) any conversion of such notes into common stock of Borrower (or other securities or property following a merger event, reclassification or other change of the common stock of Borrower), (y) a repurchase of such notes on account of the occurrence of a “fundamental change” or (z) any redemption of such notes at the option of Borrower, in each case, shall not be deemed to constitute a change in the stated final maturity thereof), (ii) such notes shall not be callable prior to the third anniversary of the issuance thereof, (iii) such notes shall not be required to be repaid, prepaid, redeemed, repurchased or defeased, whether on one or more fixed dates or upon the occurrence of one or more events or at the option of any holder thereof (except, in each case, upon any conversion of such notes into shares of common stock of Borrower (or other securities or property following a merger event, reclassification or other change of the common stock of Borrower) or any combination thereof), the occurrence of an event of default or a “fundamental change” or, following Borrower’s election to redeem such notes (to the extent permissible under clause (ii) above), prior to the date that is one hundred eighty (180) days after the Revolving Line Maturity Date, and (v) no Person that is not a Borrower or Guarantor shall have guarantee or primary obligations with respect to obligations of Borrower thereunder.”</w:t>
      </w:r>
    </w:p>
    <w:p>
      <w:pPr>
        <w:spacing w:after="0" w:line="192" w:lineRule="exact"/>
        <w:rPr>
          <w:sz w:val="20"/>
          <w:szCs w:val="20"/>
          <w:color w:val="auto"/>
        </w:rPr>
      </w:pPr>
    </w:p>
    <w:p>
      <w:pPr>
        <w:ind w:left="1340" w:hanging="684"/>
        <w:spacing w:after="0"/>
        <w:tabs>
          <w:tab w:leader="none" w:pos="13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w:t>
      </w:r>
    </w:p>
    <w:p>
      <w:pPr>
        <w:spacing w:after="0" w:line="225"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color w:val="auto"/>
        </w:rPr>
        <w:t>This Amendment is effective for the purposes set forth herein and shall be limited precisely as written and shall not be deemed to</w:t>
      </w:r>
    </w:p>
    <w:p>
      <w:pPr>
        <w:spacing w:after="0" w:line="31" w:lineRule="exact"/>
        <w:rPr>
          <w:sz w:val="20"/>
          <w:szCs w:val="20"/>
          <w:color w:val="auto"/>
        </w:rPr>
      </w:pPr>
    </w:p>
    <w:p>
      <w:pPr>
        <w:ind w:firstLine="8"/>
        <w:spacing w:after="0" w:line="261" w:lineRule="auto"/>
        <w:tabs>
          <w:tab w:leader="none" w:pos="2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76" w:lineRule="exact"/>
        <w:rPr>
          <w:sz w:val="20"/>
          <w:szCs w:val="20"/>
          <w:color w:val="auto"/>
        </w:rPr>
      </w:pPr>
    </w:p>
    <w:p>
      <w:pPr>
        <w:jc w:val="both"/>
        <w:ind w:firstLine="1297"/>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This Amendment shall be construed in connection with and as part of the Loan Documents, and all terms,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warranties, covenants and agreements set forth in the Loan Documents are hereby ratified and confirmed and shall remain in full force and effect.</w:t>
      </w:r>
    </w:p>
    <w:p>
      <w:pPr>
        <w:spacing w:after="0" w:line="385" w:lineRule="exact"/>
        <w:rPr>
          <w:sz w:val="20"/>
          <w:szCs w:val="20"/>
          <w:color w:val="auto"/>
        </w:rPr>
      </w:pPr>
    </w:p>
    <w:p>
      <w:pPr>
        <w:ind w:left="1340" w:hanging="684"/>
        <w:spacing w:after="0"/>
        <w:tabs>
          <w:tab w:leader="none" w:pos="13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Borrower represents and warrants to Bank as follows:</w:t>
      </w:r>
    </w:p>
    <w:p>
      <w:pPr>
        <w:spacing w:after="0" w:line="225"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(a) the representations and warranties contained in the Loan Documents are true, accurate and complete in all material respects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hereof (except to the extent such representations and warranties relate to an earlier date, in which case they are true and correct as of such date), and (b) no Event of Default other than and the Waived Defaults has occurred and is continuing;</w:t>
      </w:r>
    </w:p>
    <w:p>
      <w:pPr>
        <w:sectPr>
          <w:pgSz w:w="11900" w:h="16838" w:orient="portrait"/>
          <w:cols w:equalWidth="0" w:num="1">
            <w:col w:w="11420"/>
          </w:cols>
          <w:pgMar w:left="240" w:top="901" w:right="239" w:bottom="1440" w:gutter="0" w:footer="0" w:header="0"/>
        </w:sectPr>
      </w:pP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4.2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has the power and authority to execute and deliver this Amendment and to perform its obligations under the Loan</w:t>
      </w:r>
    </w:p>
    <w:p>
      <w:pPr>
        <w:spacing w:after="0" w:line="27" w:lineRule="exact"/>
        <w:rPr>
          <w:sz w:val="20"/>
          <w:szCs w:val="20"/>
          <w:color w:val="auto"/>
        </w:rPr>
      </w:pPr>
    </w:p>
    <w:p>
      <w:pPr>
        <w:sectPr>
          <w:pgSz w:w="11900" w:h="16838" w:orient="portrait"/>
          <w:cols w:equalWidth="0" w:num="2">
            <w:col w:w="1540" w:space="720"/>
            <w:col w:w="9160"/>
          </w:cols>
          <w:pgMar w:left="240" w:top="90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Agreement;</w:t>
      </w:r>
    </w:p>
    <w:p>
      <w:pPr>
        <w:sectPr>
          <w:pgSz w:w="11900" w:h="16838" w:orient="portrait"/>
          <w:cols w:equalWidth="0" w:num="1">
            <w:col w:w="11420"/>
          </w:cols>
          <w:pgMar w:left="240" w:top="901" w:right="239" w:bottom="1440" w:gutter="0" w:footer="0" w:header="0"/>
          <w:type w:val="continuous"/>
        </w:sectPr>
      </w:pPr>
    </w:p>
    <w:p>
      <w:pPr>
        <w:spacing w:after="0" w:line="203" w:lineRule="exact"/>
        <w:rPr>
          <w:sz w:val="20"/>
          <w:szCs w:val="20"/>
          <w:color w:val="auto"/>
        </w:rPr>
      </w:pPr>
    </w:p>
    <w:p>
      <w:pPr>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color w:val="auto"/>
        </w:rPr>
        <w:t>The organizational documents of Borrower delivered to Bank on the Effective Date remain true, accurate and complete and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been amended, supplemented or restated and are and continue to be in full force and effect;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220"/>
        </w:trPr>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4.4</w:t>
            </w:r>
          </w:p>
        </w:tc>
        <w:tc>
          <w:tcPr>
            <w:tcW w:w="9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execution and delivery by Borrower of this Amendment and the performance by Borrower of its obligations under the Loan</w:t>
            </w:r>
          </w:p>
        </w:tc>
      </w:tr>
      <w:tr>
        <w:trPr>
          <w:trHeight w:val="234"/>
        </w:trPr>
        <w:tc>
          <w:tcPr>
            <w:tcW w:w="1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have been duly authorized by all necessary action on the part of Borrower;</w:t>
            </w:r>
          </w:p>
        </w:tc>
      </w:tr>
      <w:tr>
        <w:trPr>
          <w:trHeight w:val="432"/>
        </w:trPr>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4.5</w:t>
            </w:r>
          </w:p>
        </w:tc>
        <w:tc>
          <w:tcPr>
            <w:tcW w:w="9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execution and delivery by Borrower of this Amendment and the performance by Borrower of its obligations under the Loan</w:t>
            </w: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Agreement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2"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color w:val="auto"/>
        </w:rPr>
        <w:t>The execution and delivery by Borrower of this Amendment and the performance by Borrower of its obligations under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171"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color w:val="auto"/>
        </w:rPr>
        <w:t>This Amendment has been duly executed and delivered by Borrower and is the binding obligation of Borrower, 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1" w:lineRule="exact"/>
        <w:rPr>
          <w:sz w:val="20"/>
          <w:szCs w:val="20"/>
          <w:color w:val="auto"/>
        </w:rPr>
      </w:pPr>
    </w:p>
    <w:p>
      <w:pPr>
        <w:jc w:val="both"/>
        <w:ind w:firstLine="656"/>
        <w:spacing w:after="0" w:line="256" w:lineRule="auto"/>
        <w:tabs>
          <w:tab w:leader="none" w:pos="1508"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 of Perfection Certificate</w:t>
      </w:r>
      <w:r>
        <w:rPr>
          <w:rFonts w:ascii="Times New Roman" w:cs="Times New Roman" w:eastAsia="Times New Roman" w:hAnsi="Times New Roman"/>
          <w:sz w:val="18"/>
          <w:szCs w:val="18"/>
          <w:color w:val="auto"/>
        </w:rPr>
        <w:t>. Borrower hereby ratifies, confirms and reaffirms, all and singular, the terms and disclosures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a certain Perfection Certificate dated on or prior to the Effective Date, as supplemented by a First Supplement, dated as of July 25, 2018, a Second Supplement, dated as of July 25, 2018 and a Third Supplement, dated as of August 28, 2019, and as supplemented by all other notices to the Bank under the Loan Agreement changing any such information previously provided, and acknowledges, confirms and agrees that the disclosures and information Borrower provided to Bank in such Perfection Certificate, as supplemented, have not changed, as of the date hereof, in any material respect except for (i) average monthly bank balances which change from time to time, and (ii) changes in litigation set forth in Borrower’s periodic filings with the Securities and Exchange Commission from time to time.</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508"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Integration</w:t>
      </w:r>
      <w:r>
        <w:rPr>
          <w:rFonts w:ascii="Times New Roman" w:cs="Times New Roman" w:eastAsia="Times New Roman" w:hAnsi="Times New Roman"/>
          <w:sz w:val="18"/>
          <w:szCs w:val="18"/>
          <w:color w:val="auto"/>
        </w:rPr>
        <w:t>. This Amendment and the Loan Documents represent the entire agreement about this subject matter and supersede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481"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Amendment may be executed in any number of counterparts and all of such counterparts taken together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constitute one and the same instrument.</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332"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Effectiveness</w:t>
      </w:r>
      <w:r>
        <w:rPr>
          <w:rFonts w:ascii="Times New Roman" w:cs="Times New Roman" w:eastAsia="Times New Roman" w:hAnsi="Times New Roman"/>
          <w:sz w:val="18"/>
          <w:szCs w:val="18"/>
          <w:color w:val="auto"/>
        </w:rPr>
        <w:t>. The parties agree that this amendment shall be effective upon the due execution and delivery to Bank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by each party hereto.</w:t>
      </w:r>
    </w:p>
    <w:p>
      <w:pPr>
        <w:spacing w:after="0" w:line="154" w:lineRule="exact"/>
        <w:rPr>
          <w:rFonts w:ascii="Times New Roman" w:cs="Times New Roman" w:eastAsia="Times New Roman" w:hAnsi="Times New Roman"/>
          <w:sz w:val="18"/>
          <w:szCs w:val="18"/>
          <w:b w:val="1"/>
          <w:bCs w:val="1"/>
          <w:color w:val="auto"/>
        </w:rPr>
      </w:pPr>
    </w:p>
    <w:p>
      <w:pPr>
        <w:ind w:left="1280" w:hanging="624"/>
        <w:spacing w:after="0"/>
        <w:tabs>
          <w:tab w:leader="none" w:pos="128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color w:val="auto"/>
        </w:rPr>
        <w:t>This Amendment shall constitute a Loan Document under the Loan Agreement; the failure to comply with the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 shall constitute an Event of Default under the Loan Agreement; and all obligations included in this Amendment (including, without limitation, all obligations for the payment of principal, interest, fees, and other amounts and expenses) shall constitute obligations under the Loan Agreement and secured by the Collateral.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63" w:name="page164"/>
    <w:bookmarkEnd w:id="163"/>
    <w:p>
      <w:pPr>
        <w:ind w:left="128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color w:val="auto"/>
        </w:rPr>
        <w:t>Each provision of this Amendment is severable from every other provision in determining the enforceability of any provision.</w:t>
      </w:r>
    </w:p>
    <w:p>
      <w:pPr>
        <w:spacing w:after="0" w:line="225" w:lineRule="exact"/>
        <w:rPr>
          <w:sz w:val="20"/>
          <w:szCs w:val="20"/>
          <w:color w:val="auto"/>
        </w:rPr>
      </w:pPr>
    </w:p>
    <w:p>
      <w:pPr>
        <w:ind w:left="-20" w:firstLine="656"/>
        <w:spacing w:after="0" w:line="286" w:lineRule="auto"/>
        <w:tabs>
          <w:tab w:leader="none" w:pos="1384"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Amendment and the rights and obligations of the parties hereto shall be governed by and construed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laws of the State of California.</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1" w:right="239" w:bottom="1440" w:gutter="0" w:footer="0" w:header="0"/>
        </w:sectPr>
      </w:pPr>
    </w:p>
    <w:bookmarkStart w:id="164" w:name="page165"/>
    <w:bookmarkEnd w:id="164"/>
    <w:p>
      <w:pPr>
        <w:ind w:left="6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have caused this Amendment to be duly executed and delivered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2920" w:type="dxa"/>
            <w:vAlign w:val="bottom"/>
          </w:tcPr>
          <w:p>
            <w:pPr>
              <w:spacing w:after="0"/>
              <w:rPr>
                <w:sz w:val="20"/>
                <w:szCs w:val="20"/>
                <w:color w:val="auto"/>
              </w:rPr>
            </w:pPr>
          </w:p>
        </w:tc>
        <w:tc>
          <w:tcPr>
            <w:tcW w:w="59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BORROWER</w:t>
            </w:r>
          </w:p>
        </w:tc>
      </w:tr>
      <w:tr>
        <w:trPr>
          <w:trHeight w:val="48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SILICON VALLEY BANK</w:t>
            </w:r>
          </w:p>
        </w:tc>
        <w:tc>
          <w:tcPr>
            <w:tcW w:w="2920" w:type="dxa"/>
            <w:vAlign w:val="bottom"/>
          </w:tcPr>
          <w:p>
            <w:pPr>
              <w:spacing w:after="0"/>
              <w:rPr>
                <w:sz w:val="24"/>
                <w:szCs w:val="24"/>
                <w:color w:val="auto"/>
              </w:rPr>
            </w:pPr>
          </w:p>
        </w:tc>
        <w:tc>
          <w:tcPr>
            <w:tcW w:w="59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FLUIDIGM CORPORATION</w:t>
            </w:r>
          </w:p>
        </w:tc>
      </w:tr>
      <w:tr>
        <w:trPr>
          <w:trHeight w:val="48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Kristina Peralta</w:t>
            </w:r>
          </w:p>
        </w:tc>
        <w:tc>
          <w:tcPr>
            <w:tcW w:w="2920" w:type="dxa"/>
            <w:vAlign w:val="bottom"/>
          </w:tcPr>
          <w:p>
            <w:pPr>
              <w:spacing w:after="0"/>
              <w:rPr>
                <w:sz w:val="24"/>
                <w:szCs w:val="24"/>
                <w:color w:val="auto"/>
              </w:rPr>
            </w:pPr>
          </w:p>
        </w:tc>
        <w:tc>
          <w:tcPr>
            <w:tcW w:w="5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By:   /s/ Vikram Jog</w:t>
            </w:r>
          </w:p>
        </w:tc>
      </w:tr>
      <w:tr>
        <w:trPr>
          <w:trHeight w:val="20"/>
        </w:trPr>
        <w:tc>
          <w:tcPr>
            <w:tcW w:w="50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r>
      <w:tr>
        <w:trPr>
          <w:trHeight w:val="223"/>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Name:Kristina Peralta</w:t>
            </w:r>
          </w:p>
        </w:tc>
        <w:tc>
          <w:tcPr>
            <w:tcW w:w="2920" w:type="dxa"/>
            <w:vAlign w:val="bottom"/>
          </w:tcPr>
          <w:p>
            <w:pPr>
              <w:spacing w:after="0"/>
              <w:rPr>
                <w:sz w:val="19"/>
                <w:szCs w:val="19"/>
                <w:color w:val="auto"/>
              </w:rPr>
            </w:pPr>
          </w:p>
        </w:tc>
        <w:tc>
          <w:tcPr>
            <w:tcW w:w="5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Name:Vikram Jog</w:t>
            </w:r>
          </w:p>
        </w:tc>
      </w:tr>
      <w:tr>
        <w:trPr>
          <w:trHeight w:val="22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2920" w:type="dxa"/>
            <w:vAlign w:val="bottom"/>
            <w:tcBorders>
              <w:top w:val="single" w:sz="8" w:color="auto"/>
              <w:bottom w:val="single" w:sz="8" w:color="auto"/>
            </w:tcBorders>
          </w:tcPr>
          <w:p>
            <w:pPr>
              <w:spacing w:after="0"/>
              <w:rPr>
                <w:sz w:val="19"/>
                <w:szCs w:val="19"/>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26"/>
        </w:trPr>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Second Amendment to Loan and Security Agreement</w:t>
            </w:r>
            <w:r>
              <w:rPr>
                <w:rFonts w:ascii="Times New Roman" w:cs="Times New Roman" w:eastAsia="Times New Roman" w:hAnsi="Times New Roman"/>
                <w:sz w:val="18"/>
                <w:szCs w:val="18"/>
                <w:b w:val="1"/>
                <w:bCs w:val="1"/>
                <w:color w:val="auto"/>
              </w:rPr>
              <w:t>]</w:t>
            </w:r>
          </w:p>
        </w:tc>
      </w:tr>
      <w:tr>
        <w:trPr>
          <w:trHeight w:val="432"/>
        </w:trPr>
        <w:tc>
          <w:tcPr>
            <w:tcW w:w="5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543685" cy="514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4368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Fluidigm Corporation Announces Proposed Private Offering of $45 Million of Convertible Senior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 SAN FRANCISCO, Calif., Nov. 20, 2019 (GLOBE NEWSWIRE) – Fluidigm Corporation (NASDAQ:FLDM), an innovative biotechnology tools provider with a vision to improve life through comprehensive health insight, today announced that it intends to offer, subject to market conditions and other factors, $45 million of aggregate principal amount of convertible senior notes due 2024 (the “notes”) in a private placement to qualified institutional buyers pursuant to Rule 144A under the Securities Act of 1933, as amended (the “Securities Act”). Fluidigm also intends to grant the initial purchasers of the notes a 13-day option to purchase up to an additional $5 million aggregate principal amount of the notes.</w:t>
      </w:r>
    </w:p>
    <w:p>
      <w:pPr>
        <w:spacing w:after="0" w:line="18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notes will be senior unsecured obligations of Fluidigm and will accrue interest payable semiannually in arrears. The notes will mature on December 1, 2024, unless earlier converted or repurchased.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the notes may convert their notes into shares of Fluidigm’s common stock (“common stock”) at their option on any day prior to and including the second scheduled trading day prior to the maturity date. Additionally, between December 1, 2021 to December 1, 2022, Fluidigm may convert all, but not less than all, of the notes, at its option, if the volume weighted average of the common stock has been at least 150% of the conversion price of the notes then in effect for at least 20 trading days (whether or not consecutive) during any 30 consecutive trading-day period (including the last trading day of such period) ending on and including, the trading day immediately preceding the date on which Fluidigm provides a notice of conversion. Further, on or after December 1, 2022 until the notes mature on December 1, 2024, Fluidigm may convert all, but not less than all, of the notes, at its option, if the volume weighted average of the common stock has been at least 130% of the conversion price of the notes then in effect for at least 20 trading days (whether or not consecutive) during any 30 consecutive trading-day period (including the last trading day of such period) ending on and including, the trading day immediately preceding the date on which Fluidigm provides a notice of conversion. The notes may not be redeemed prior to maturity. The interest rate, initial conversion rate and other terms of the notes will be determined at the time of pricing of the offering.</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Fluidigm intends to use the net proceeds, together with cash on hand, to repurchase up to approximately $50 million aggregate principal amount of its 2.75% Senior Convertible Notes due 2034 (the “2014 Notes”) in negotiated transactions with institutional investors concurrently with the offering. Fluidigm intends to use the remainder of the net proceeds after the repurchase of the 2014 Notes, if any, for working capital and other general corporate purposes, which may include capital expenditures, the repurchase or other retirement of any remaining 2014 Notes, potential acquisitions and strategic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6" w:name="page167"/>
    <w:bookmarkEnd w:id="166"/>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notes, nor any shares of Fluidigm’s common stock potentially issuable upon conversion of the notes, have been, nor will be, registered under the Securities Act or any state securities laws and, unless so registered, such securities may not be offered or sold in the United States absent registration or an applicable exemption from, or in a transaction not subject to, the registration requirements of the Securities Act and other applicable securities laws.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securities, nor shall it constitute an offer, solicitation or sale of the securities in any jurisdiction in which such offer, solicitation or sale would be unlawful prior to the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among others, statements concerning the proposed terms of the notes, the completion, timing and size of the proposed offering and note repurchase and the anticipated use of proceeds from the offering. Forward-looking statements include all statements that are not historical facts. In some cases, forward-looking statements can be identified by terms such as “anticipates,” “believes,” “could,” “estimates,” “expects,” “intends,” “may,” “plans,” “potential,” “will,” or similar expressions and the negatives of those words. Forward-looking statements involve substantial risks and uncertainties that may cause actual results to differ materially from those that we expect. These risks and uncertainties include market risks, trends and conditions. Information on these and additional risks and uncertainties and other information affecting Fluidigm's business and operating results is contained in its Annual Report on Form 10-K for the year ended December 31, 2018, its Quarterly Report on Form 10-Q for the quarter ended September 30, 2019, and in its other filings with the Securities and Exchange Commission. These forward-looking statements speak only as of the date hereof. Fluidigm disclaims any obligation to update these forward-looking statements except as may be required by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Agnes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650 416 7423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agnes.lee@fluidigm.com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543685" cy="514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4368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Fluidigm Corporation Announces Pricing of Private Offering of $50 Million of 5.25% Convertible Senior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 SAN FRANCISCO, Calif., Nov. 20, 2019 -- (GLOBE NEWSWIRE) – Fluidigm Corporation (NASDAQ: FLDM), an innovative biotechnology tools provider with a vision to improve life through comprehensive health insight, today announced the pricing of $50 million aggregate principal amount of 5.25% convertible senior notes due 2024 (the “notes”) in a private placement to qualified institutional buyers pursuant to Rule 144A under the Securities Act of 1933, as amended (the “Securities Act”). Fluidigm also granted the initial purchasers of the notes a 13-day option to purchase up to an additional $5 million aggregate principal amount of the notes. The sale of the notes is expected to close on November 22, 2019, subject to customary closing conditions.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will be senior unsecured obligations of Fluidigm and will accrue interest payable semiannually in arrears on June 1 and December 1 of each year, beginning on June 1, 2020, at a rate of 5.25% per year. The notes will mature on December 1, 2024, unless earlier converted or repurchased. The initial conversion rate will be 344.8276 shares of Fluidigm’s common stock (“common stock”) per $1,000 principal amount of notes (equivalent to an initial conversion price of approximately $2.90 per share of common stock). Holders of the notes may convert their notes into shares of common stock at their option on any day prior to and including the second scheduled trading day prior to the maturity date. Additionally, between December 1, 2021 to December 1, 2022, Fluidigm may convert all but not less than all of the notes, at its option, if the volume weighted average of the common stock has been at least 150% of the conversion price of the notes then in effect for at least 20 trading days (whether or not consecutive) during any 30 consecutive trading-day period (including the last trading day of such period) ending on and including, the trading day immediately preceding the date on which Fluidigm provides a notice of conversion. Further, on or after December 1, 2022 until the notes mature on December 1, 2024, Fluidigm may convert all but not less than all of the notes, at its option, if the volume weighted average of the common stock has been at least 130% of the conversion price of the notes then in effect for at least 20 trading days (whether or not consecutive) during any 30 consecutive trading-day period (including the last trading day of such period) ending on and including, the trading day immediately preceding the date on which Fluidigm provides a notice of conversion.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Fluidigm may not redeem the notes prior to maturity.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“fundamental change” (as defined in the indenture governing the notes) occurs at any time prior to the maturity date, holders of the notes may require Fluidigm to repurchase for cash all or any portion of their notes at a repurchase price equal to 100% of the principal amount of the notes to be repurchased, plus accrued and unpaid interest. In addition, following certain corporate events, Fluidigm will, under certain circumstances, increase the conversion rate for holders who convert their notes in connection with such corporate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8" w:name="page169"/>
    <w:bookmarkEnd w:id="168"/>
    <w:p>
      <w:pPr>
        <w:jc w:val="both"/>
        <w:spacing w:after="0" w:line="256" w:lineRule="auto"/>
        <w:rPr>
          <w:sz w:val="20"/>
          <w:szCs w:val="20"/>
          <w:color w:val="auto"/>
        </w:rPr>
      </w:pPr>
      <w:r>
        <w:rPr>
          <w:rFonts w:ascii="Times New Roman" w:cs="Times New Roman" w:eastAsia="Times New Roman" w:hAnsi="Times New Roman"/>
          <w:sz w:val="18"/>
          <w:szCs w:val="18"/>
          <w:color w:val="auto"/>
        </w:rPr>
        <w:t>Fluidigm estimates that the net proceeds from the offering will be approximately $47.8 million (or $52.6 million if the initial purchasers exercise their option to purchase additional notes in full), after deducting the initial purchasers’ discounts and estimated offering expenses payable by Fluidigm. Fluidigm intends to use the net proceeds, together with cash on hand, if required, to repurchase up to approximately $50 million aggregate principal amount of its 2.75% Senior Convertible Notes due 2034 (the “2014 Notes”) in negotiated transactions with institutional investors concurrently with the offering. Fluidigm intends to use the remainder of the net proceeds after the repurchase of the 2014 Notes, if any, for working capital and other general corporate purposes, which may include capital expenditures, the repurchase or other retirement of any remaining 2014 Notes, potential acquisitions and strategic transactions.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notes, nor any shares of Fluidigm’s common stock potentially issuable upon conversion of the notes, have been, nor will be, registered under the Securities Act or any state securities laws and, unless so registered, such securities may not be offered or sold in the United States absent registration or an applicable exemption from, or in a transaction not subject to, the registration requirements of the Securities Act and other applicable securities laws.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securities, nor shall it constitute an offer, solicitation or sale of the securities in any jurisdiction in which such offer, solicitation or sale would be unlawful prior to the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among others, statements concerning the note repurchase, the expected closing of the offering and the anticipated use of proceeds from the offering. Forward-looking statements include all statements that are not historical facts. In some cases, forward-looking statements can be identified by terms such as “anticipates,” “believes,” “could,” “estimates,” “expects,” “intends,” “may,” “plans,” “potential,” “will,” or similar expressions and the negatives of those words. Forward-looking statements involve substantial risks and uncertainties that may cause actual results to differ materially from those that we expect. These risks and uncertainties include market risks, trends and conditions. Information on these and additional risks and uncertainties and other information affecting Fluidigm's business and operating results is contained in its Annual Report on Form 10-K for the year ended December 31, 2018, its Quarterly Report on Form 10-Q for the quarter ended September 30, 2019, and in its other filings with the Securities and Exchange Commission. These forward-looking statements speak only as of the date hereof. Fluidigm disclaims any obligation to update these forward-looking statements except as may be required by law.</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Agnes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650 416 7423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agnes.lee@fluidigm.com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1)"/>
      <w:numFmt w:val="decimal"/>
      <w:start w:val="1"/>
    </w:lvl>
  </w:abstractNum>
  <w:abstractNum w:abstractNumId="2">
    <w:nsid w:val="1EBA5D23"/>
    <w:multiLevelType w:val="hybridMultilevel"/>
    <w:lvl w:ilvl="0">
      <w:lvlJc w:val="left"/>
      <w:lvlText w:val="(%1)"/>
      <w:numFmt w:val="lowerLetter"/>
      <w:start w:val="1"/>
    </w:lvl>
  </w:abstractNum>
  <w:abstractNum w:abstractNumId="3">
    <w:nsid w:val="661E3F1E"/>
    <w:multiLevelType w:val="hybridMultilevel"/>
    <w:lvl w:ilvl="0">
      <w:lvlJc w:val="left"/>
      <w:lvlText w:val="(%1)"/>
      <w:numFmt w:val="lowerLetter"/>
      <w:start w:val="1"/>
    </w:lvl>
  </w:abstractNum>
  <w:abstractNum w:abstractNumId="4">
    <w:nsid w:val="5DC79EA8"/>
    <w:multiLevelType w:val="hybridMultilevel"/>
    <w:lvl w:ilvl="0">
      <w:lvlJc w:val="left"/>
      <w:lvlText w:val="(%1)"/>
      <w:numFmt w:val="lowerLetter"/>
      <w:start w:val="1"/>
    </w:lvl>
  </w:abstractNum>
  <w:abstractNum w:abstractNumId="5">
    <w:nsid w:val="540A471C"/>
    <w:multiLevelType w:val="hybridMultilevel"/>
    <w:lvl w:ilvl="0">
      <w:lvlJc w:val="left"/>
      <w:lvlText w:val="(%1)"/>
      <w:numFmt w:val="lowerLetter"/>
      <w:start w:val="3"/>
    </w:lvl>
    <w:lvl w:ilvl="1">
      <w:lvlJc w:val="left"/>
      <w:lvlText w:val="(%2)"/>
      <w:numFmt w:val="lowerRoman"/>
      <w:start w:val="1"/>
    </w:lvl>
  </w:abstractNum>
  <w:abstractNum w:abstractNumId="6">
    <w:nsid w:val="7BD3EE7B"/>
    <w:multiLevelType w:val="hybridMultilevel"/>
    <w:lvl w:ilvl="0">
      <w:lvlJc w:val="left"/>
      <w:lvlText w:val="(%1)"/>
      <w:numFmt w:val="lowerLetter"/>
      <w:start w:val="1"/>
    </w:lvl>
  </w:abstractNum>
  <w:abstractNum w:abstractNumId="7">
    <w:nsid w:val="51D9C564"/>
    <w:multiLevelType w:val="hybridMultilevel"/>
    <w:lvl w:ilvl="0">
      <w:lvlJc w:val="left"/>
      <w:lvlText w:val="(%1)"/>
      <w:numFmt w:val="lowerLetter"/>
      <w:start w:val="1"/>
    </w:lvl>
  </w:abstractNum>
  <w:abstractNum w:abstractNumId="8">
    <w:nsid w:val="613EFDC5"/>
    <w:multiLevelType w:val="hybridMultilevel"/>
    <w:lvl w:ilvl="0">
      <w:lvlJc w:val="left"/>
      <w:lvlText w:val="(%1)"/>
      <w:numFmt w:val="lowerLetter"/>
      <w:start w:val="2"/>
    </w:lvl>
  </w:abstractNum>
  <w:abstractNum w:abstractNumId="9">
    <w:nsid w:val="BF72B14"/>
    <w:multiLevelType w:val="hybridMultilevel"/>
    <w:lvl w:ilvl="0">
      <w:lvlJc w:val="left"/>
      <w:lvlText w:val="(%1)"/>
      <w:numFmt w:val="decimal"/>
      <w:start w:val="1"/>
    </w:lvl>
  </w:abstractNum>
  <w:abstractNum w:abstractNumId="10">
    <w:nsid w:val="11447B73"/>
    <w:multiLevelType w:val="hybridMultilevel"/>
    <w:lvl w:ilvl="0">
      <w:lvlJc w:val="left"/>
      <w:lvlText w:val="(%1)"/>
      <w:numFmt w:val="upperLetter"/>
      <w:start w:val="1"/>
    </w:lvl>
  </w:abstractNum>
  <w:abstractNum w:abstractNumId="11">
    <w:nsid w:val="42963E5A"/>
    <w:multiLevelType w:val="hybridMultilevel"/>
    <w:lvl w:ilvl="0">
      <w:lvlJc w:val="left"/>
      <w:lvlText w:val="(%1)"/>
      <w:numFmt w:val="lowerLetter"/>
      <w:start w:val="3"/>
    </w:lvl>
  </w:abstractNum>
  <w:abstractNum w:abstractNumId="12">
    <w:nsid w:val="A0382C5"/>
    <w:multiLevelType w:val="hybridMultilevel"/>
    <w:lvl w:ilvl="0">
      <w:lvlJc w:val="left"/>
      <w:lvlText w:val="(%1)"/>
      <w:numFmt w:val="decimal"/>
      <w:start w:val="1"/>
    </w:lvl>
  </w:abstractNum>
  <w:abstractNum w:abstractNumId="13">
    <w:nsid w:val="8F2B15E"/>
    <w:multiLevelType w:val="hybridMultilevel"/>
    <w:lvl w:ilvl="0">
      <w:lvlJc w:val="left"/>
      <w:lvlText w:val="(%1)"/>
      <w:numFmt w:val="decimal"/>
      <w:start w:val="2"/>
    </w:lvl>
    <w:lvl w:ilvl="1">
      <w:lvlJc w:val="left"/>
      <w:lvlText w:val="(%2)"/>
      <w:numFmt w:val="upperLetter"/>
      <w:start w:val="1"/>
    </w:lvl>
  </w:abstractNum>
  <w:abstractNum w:abstractNumId="14">
    <w:nsid w:val="1A32234B"/>
    <w:multiLevelType w:val="hybridMultilevel"/>
    <w:lvl w:ilvl="0">
      <w:lvlJc w:val="left"/>
      <w:lvlText w:val="(%1)"/>
      <w:numFmt w:val="lowerRoman"/>
      <w:start w:val="3"/>
    </w:lvl>
  </w:abstractNum>
  <w:abstractNum w:abstractNumId="15">
    <w:nsid w:val="3B0FD379"/>
    <w:multiLevelType w:val="hybridMultilevel"/>
    <w:lvl w:ilvl="0">
      <w:lvlJc w:val="left"/>
      <w:lvlText w:val="(%1)"/>
      <w:numFmt w:val="lowerLetter"/>
      <w:start w:val="4"/>
    </w:lvl>
  </w:abstractNum>
  <w:abstractNum w:abstractNumId="16">
    <w:nsid w:val="68EB2F63"/>
    <w:multiLevelType w:val="hybridMultilevel"/>
    <w:lvl w:ilvl="0">
      <w:lvlJc w:val="left"/>
      <w:lvlText w:val="(%1)"/>
      <w:numFmt w:val="lowerLetter"/>
      <w:start w:val="5"/>
    </w:lvl>
  </w:abstractNum>
  <w:abstractNum w:abstractNumId="17">
    <w:nsid w:val="4962813B"/>
    <w:multiLevelType w:val="hybridMultilevel"/>
    <w:lvl w:ilvl="0">
      <w:lvlJc w:val="left"/>
      <w:lvlText w:val="(%1)"/>
      <w:numFmt w:val="lowerLetter"/>
      <w:start w:val="1"/>
    </w:lvl>
    <w:lvl w:ilvl="1">
      <w:lvlJc w:val="left"/>
      <w:lvlText w:val="(%2)"/>
      <w:numFmt w:val="lowerRoman"/>
      <w:start w:val="1"/>
    </w:lvl>
  </w:abstractNum>
  <w:abstractNum w:abstractNumId="18">
    <w:nsid w:val="60B6DF70"/>
    <w:multiLevelType w:val="hybridMultilevel"/>
    <w:lvl w:ilvl="0">
      <w:lvlJc w:val="left"/>
      <w:lvlText w:val="(%1)"/>
      <w:numFmt w:val="lowerLetter"/>
      <w:start w:val="2"/>
    </w:lvl>
  </w:abstractNum>
  <w:abstractNum w:abstractNumId="19">
    <w:nsid w:val="6A5EE64"/>
    <w:multiLevelType w:val="hybridMultilevel"/>
    <w:lvl w:ilvl="0">
      <w:lvlJc w:val="left"/>
      <w:lvlText w:val="(%1)"/>
      <w:numFmt w:val="lowerLetter"/>
      <w:start w:val="1"/>
    </w:lvl>
  </w:abstractNum>
  <w:abstractNum w:abstractNumId="20">
    <w:nsid w:val="14330624"/>
    <w:multiLevelType w:val="hybridMultilevel"/>
    <w:lvl w:ilvl="0">
      <w:lvlJc w:val="left"/>
      <w:lvlText w:val="(%1)"/>
      <w:numFmt w:val="lowerLetter"/>
      <w:start w:val="2"/>
    </w:lvl>
  </w:abstractNum>
  <w:abstractNum w:abstractNumId="21">
    <w:nsid w:val="7FFFCA11"/>
    <w:multiLevelType w:val="hybridMultilevel"/>
    <w:lvl w:ilvl="0">
      <w:lvlJc w:val="left"/>
      <w:lvlText w:val="(%1)"/>
      <w:numFmt w:val="lowerLetter"/>
      <w:start w:val="5"/>
    </w:lvl>
  </w:abstractNum>
  <w:abstractNum w:abstractNumId="22">
    <w:nsid w:val="1A27709E"/>
    <w:multiLevelType w:val="hybridMultilevel"/>
    <w:lvl w:ilvl="0">
      <w:lvlJc w:val="left"/>
      <w:lvlText w:val="(%1)"/>
      <w:numFmt w:val="lowerLetter"/>
      <w:start w:val="6"/>
    </w:lvl>
  </w:abstractNum>
  <w:abstractNum w:abstractNumId="23">
    <w:nsid w:val="71EA1109"/>
    <w:multiLevelType w:val="hybridMultilevel"/>
    <w:lvl w:ilvl="0">
      <w:lvlJc w:val="left"/>
      <w:lvlText w:val="(%1)"/>
      <w:numFmt w:val="lowerLetter"/>
      <w:start w:val="1"/>
    </w:lvl>
  </w:abstractNum>
  <w:abstractNum w:abstractNumId="24">
    <w:nsid w:val="100F59DC"/>
    <w:multiLevelType w:val="hybridMultilevel"/>
    <w:lvl w:ilvl="0">
      <w:lvlJc w:val="left"/>
      <w:lvlText w:val="(%1)"/>
      <w:numFmt w:val="lowerLetter"/>
      <w:start w:val="8"/>
    </w:lvl>
  </w:abstractNum>
  <w:abstractNum w:abstractNumId="25">
    <w:nsid w:val="7FB7E0AA"/>
    <w:multiLevelType w:val="hybridMultilevel"/>
    <w:lvl w:ilvl="0">
      <w:lvlJc w:val="left"/>
      <w:lvlText w:val="(%1)"/>
      <w:numFmt w:val="lowerLetter"/>
      <w:start w:val="1"/>
    </w:lvl>
  </w:abstractNum>
  <w:abstractNum w:abstractNumId="26">
    <w:nsid w:val="6EB5BD4"/>
    <w:multiLevelType w:val="hybridMultilevel"/>
    <w:lvl w:ilvl="0">
      <w:lvlJc w:val="left"/>
      <w:lvlText w:val="(%1)"/>
      <w:numFmt w:val="lowerLetter"/>
      <w:start w:val="5"/>
    </w:lvl>
  </w:abstractNum>
  <w:abstractNum w:abstractNumId="27">
    <w:nsid w:val="6F6DD9AC"/>
    <w:multiLevelType w:val="hybridMultilevel"/>
    <w:lvl w:ilvl="0">
      <w:lvlJc w:val="left"/>
      <w:lvlText w:val="(%1)"/>
      <w:numFmt w:val="lowerLetter"/>
      <w:start w:val="1"/>
    </w:lvl>
    <w:lvl w:ilvl="1">
      <w:lvlJc w:val="left"/>
      <w:lvlText w:val="(%2)"/>
      <w:numFmt w:val="lowerRoman"/>
      <w:start w:val="1"/>
    </w:lvl>
  </w:abstractNum>
  <w:abstractNum w:abstractNumId="28">
    <w:nsid w:val="94211F2"/>
    <w:multiLevelType w:val="hybridMultilevel"/>
    <w:lvl w:ilvl="0">
      <w:lvlJc w:val="left"/>
      <w:lvlText w:val="(%1)"/>
      <w:numFmt w:val="lowerLetter"/>
      <w:start w:val="2"/>
    </w:lvl>
  </w:abstractNum>
  <w:abstractNum w:abstractNumId="29">
    <w:nsid w:val="885E1B"/>
    <w:multiLevelType w:val="hybridMultilevel"/>
    <w:lvl w:ilvl="0">
      <w:lvlJc w:val="left"/>
      <w:lvlText w:val="(%1)"/>
      <w:numFmt w:val="lowerLetter"/>
      <w:start w:val="1"/>
    </w:lvl>
  </w:abstractNum>
  <w:abstractNum w:abstractNumId="30">
    <w:nsid w:val="76272110"/>
    <w:multiLevelType w:val="hybridMultilevel"/>
    <w:lvl w:ilvl="0">
      <w:lvlJc w:val="left"/>
      <w:lvlText w:val="(%1)"/>
      <w:numFmt w:val="lowerLetter"/>
      <w:start w:val="10"/>
    </w:lvl>
  </w:abstractNum>
  <w:abstractNum w:abstractNumId="31">
    <w:nsid w:val="4C04A8AF"/>
    <w:multiLevelType w:val="hybridMultilevel"/>
    <w:lvl w:ilvl="0">
      <w:lvlJc w:val="left"/>
      <w:lvlText w:val="(%1)"/>
      <w:numFmt w:val="lowerLetter"/>
      <w:start w:val="1"/>
    </w:lvl>
    <w:lvl w:ilvl="1">
      <w:lvlJc w:val="left"/>
      <w:lvlText w:val="(%2)"/>
      <w:numFmt w:val="lowerRoman"/>
      <w:start w:val="1"/>
    </w:lvl>
  </w:abstractNum>
  <w:abstractNum w:abstractNumId="32">
    <w:nsid w:val="1716703B"/>
    <w:multiLevelType w:val="hybridMultilevel"/>
    <w:lvl w:ilvl="0">
      <w:lvlJc w:val="left"/>
      <w:lvlText w:val="(%1)"/>
      <w:numFmt w:val="lowerLetter"/>
      <w:start w:val="3"/>
    </w:lvl>
  </w:abstractNum>
  <w:abstractNum w:abstractNumId="33">
    <w:nsid w:val="14E17E33"/>
    <w:multiLevelType w:val="hybridMultilevel"/>
    <w:lvl w:ilvl="0">
      <w:lvlJc w:val="left"/>
      <w:lvlText w:val="(%1)"/>
      <w:numFmt w:val="lowerLetter"/>
      <w:start w:val="1"/>
    </w:lvl>
  </w:abstractNum>
  <w:abstractNum w:abstractNumId="34">
    <w:nsid w:val="3222E7CD"/>
    <w:multiLevelType w:val="hybridMultilevel"/>
    <w:lvl w:ilvl="0">
      <w:lvlJc w:val="left"/>
      <w:lvlText w:val="(%1)"/>
      <w:numFmt w:val="lowerLetter"/>
      <w:start w:val="2"/>
    </w:lvl>
  </w:abstractNum>
  <w:abstractNum w:abstractNumId="35">
    <w:nsid w:val="74DE0EE3"/>
    <w:multiLevelType w:val="hybridMultilevel"/>
    <w:lvl w:ilvl="0">
      <w:lvlJc w:val="left"/>
      <w:lvlText w:val="(%1)"/>
      <w:numFmt w:val="lowerLetter"/>
      <w:start w:val="1"/>
    </w:lvl>
  </w:abstractNum>
  <w:abstractNum w:abstractNumId="36">
    <w:nsid w:val="68EBC550"/>
    <w:multiLevelType w:val="hybridMultilevel"/>
    <w:lvl w:ilvl="0">
      <w:lvlJc w:val="left"/>
      <w:lvlText w:val="(%1)"/>
      <w:numFmt w:val="lowerLetter"/>
      <w:start w:val="1"/>
    </w:lvl>
  </w:abstractNum>
  <w:abstractNum w:abstractNumId="37">
    <w:nsid w:val="2DF6D648"/>
    <w:multiLevelType w:val="hybridMultilevel"/>
    <w:lvl w:ilvl="0">
      <w:lvlJc w:val="left"/>
      <w:lvlText w:val="(%1)"/>
      <w:numFmt w:val="lowerLetter"/>
      <w:start w:val="1"/>
    </w:lvl>
  </w:abstractNum>
  <w:abstractNum w:abstractNumId="38">
    <w:nsid w:val="46B7D447"/>
    <w:multiLevelType w:val="hybridMultilevel"/>
    <w:lvl w:ilvl="0">
      <w:lvlJc w:val="left"/>
      <w:lvlText w:val="(%1)"/>
      <w:numFmt w:val="lowerLetter"/>
      <w:start w:val="1"/>
    </w:lvl>
  </w:abstractNum>
  <w:abstractNum w:abstractNumId="39">
    <w:nsid w:val="4A2AC315"/>
    <w:multiLevelType w:val="hybridMultilevel"/>
    <w:lvl w:ilvl="0">
      <w:lvlJc w:val="left"/>
      <w:lvlText w:val="(%1)"/>
      <w:numFmt w:val="lowerLetter"/>
      <w:start w:val="2"/>
    </w:lvl>
  </w:abstractNum>
  <w:abstractNum w:abstractNumId="40">
    <w:nsid w:val="39EE015C"/>
    <w:multiLevelType w:val="hybridMultilevel"/>
    <w:lvl w:ilvl="0">
      <w:lvlJc w:val="left"/>
      <w:lvlText w:val="(%1)"/>
      <w:numFmt w:val="lowerLetter"/>
      <w:start w:val="1"/>
    </w:lvl>
  </w:abstractNum>
  <w:abstractNum w:abstractNumId="41">
    <w:nsid w:val="57FC4FBB"/>
    <w:multiLevelType w:val="hybridMultilevel"/>
    <w:lvl w:ilvl="0">
      <w:lvlJc w:val="left"/>
      <w:lvlText w:val="(%1)"/>
      <w:numFmt w:val="lowerLetter"/>
      <w:start w:val="2"/>
    </w:lvl>
  </w:abstractNum>
  <w:abstractNum w:abstractNumId="42">
    <w:nsid w:val="CC1016F"/>
    <w:multiLevelType w:val="hybridMultilevel"/>
    <w:lvl w:ilvl="0">
      <w:lvlJc w:val="left"/>
      <w:lvlText w:val="(%1)"/>
      <w:numFmt w:val="lowerLetter"/>
      <w:start w:val="3"/>
    </w:lvl>
  </w:abstractNum>
  <w:abstractNum w:abstractNumId="43">
    <w:nsid w:val="43F18422"/>
    <w:multiLevelType w:val="hybridMultilevel"/>
    <w:lvl w:ilvl="0">
      <w:lvlJc w:val="left"/>
      <w:lvlText w:val="(%1)"/>
      <w:numFmt w:val="lowerLetter"/>
      <w:start w:val="5"/>
    </w:lvl>
  </w:abstractNum>
  <w:abstractNum w:abstractNumId="44">
    <w:nsid w:val="60EF0119"/>
    <w:multiLevelType w:val="hybridMultilevel"/>
    <w:lvl w:ilvl="0">
      <w:lvlJc w:val="left"/>
      <w:lvlText w:val="(%1)"/>
      <w:numFmt w:val="lowerLetter"/>
      <w:start w:val="9"/>
    </w:lvl>
  </w:abstractNum>
  <w:abstractNum w:abstractNumId="45">
    <w:nsid w:val="26F324BA"/>
    <w:multiLevelType w:val="hybridMultilevel"/>
    <w:lvl w:ilvl="0">
      <w:lvlJc w:val="left"/>
      <w:lvlText w:val="(%1)"/>
      <w:numFmt w:val="lowerLetter"/>
      <w:start w:val="1"/>
    </w:lvl>
  </w:abstractNum>
  <w:abstractNum w:abstractNumId="46">
    <w:nsid w:val="7F01579B"/>
    <w:multiLevelType w:val="hybridMultilevel"/>
    <w:lvl w:ilvl="0">
      <w:lvlJc w:val="left"/>
      <w:lvlText w:val="(%1)"/>
      <w:numFmt w:val="lowerLetter"/>
      <w:start w:val="3"/>
    </w:lvl>
  </w:abstractNum>
  <w:abstractNum w:abstractNumId="47">
    <w:nsid w:val="49DA307D"/>
    <w:multiLevelType w:val="hybridMultilevel"/>
    <w:lvl w:ilvl="0">
      <w:lvlJc w:val="left"/>
      <w:lvlText w:val="(%1)"/>
      <w:numFmt w:val="lowerRoman"/>
      <w:start w:val="1"/>
    </w:lvl>
  </w:abstractNum>
  <w:abstractNum w:abstractNumId="48">
    <w:nsid w:val="7055A5F5"/>
    <w:multiLevelType w:val="hybridMultilevel"/>
    <w:lvl w:ilvl="0">
      <w:lvlJc w:val="left"/>
      <w:lvlText w:val="(%1)"/>
      <w:numFmt w:val="lowerLetter"/>
      <w:start w:val="6"/>
    </w:lvl>
  </w:abstractNum>
  <w:abstractNum w:abstractNumId="49">
    <w:nsid w:val="5FB8370B"/>
    <w:multiLevelType w:val="hybridMultilevel"/>
    <w:lvl w:ilvl="0">
      <w:lvlJc w:val="left"/>
      <w:lvlText w:val="(%1)"/>
      <w:numFmt w:val="lowerLetter"/>
      <w:start w:val="1"/>
    </w:lvl>
  </w:abstractNum>
  <w:abstractNum w:abstractNumId="50">
    <w:nsid w:val="50801EE1"/>
    <w:multiLevelType w:val="hybridMultilevel"/>
    <w:lvl w:ilvl="0">
      <w:lvlJc w:val="left"/>
      <w:lvlText w:val="(%1)"/>
      <w:numFmt w:val="lowerLetter"/>
      <w:start w:val="2"/>
    </w:lvl>
  </w:abstractNum>
  <w:abstractNum w:abstractNumId="51">
    <w:nsid w:val="488AC1A"/>
    <w:multiLevelType w:val="hybridMultilevel"/>
    <w:lvl w:ilvl="0">
      <w:lvlJc w:val="left"/>
      <w:lvlText w:val="(%1)"/>
      <w:numFmt w:val="lowerLetter"/>
      <w:start w:val="3"/>
    </w:lvl>
  </w:abstractNum>
  <w:abstractNum w:abstractNumId="52">
    <w:nsid w:val="5FB8011C"/>
    <w:multiLevelType w:val="hybridMultilevel"/>
    <w:lvl w:ilvl="0">
      <w:lvlJc w:val="left"/>
      <w:lvlText w:val="(%1)"/>
      <w:numFmt w:val="upperLetter"/>
      <w:start w:val="1"/>
    </w:lvl>
  </w:abstractNum>
  <w:abstractNum w:abstractNumId="53">
    <w:nsid w:val="6AA78F7F"/>
    <w:multiLevelType w:val="hybridMultilevel"/>
    <w:lvl w:ilvl="0">
      <w:lvlJc w:val="left"/>
      <w:lvlText w:val="(%1)"/>
      <w:numFmt w:val="lowerLetter"/>
      <w:start w:val="4"/>
    </w:lvl>
  </w:abstractNum>
  <w:abstractNum w:abstractNumId="54">
    <w:nsid w:val="7672BD23"/>
    <w:multiLevelType w:val="hybridMultilevel"/>
    <w:lvl w:ilvl="0">
      <w:lvlJc w:val="left"/>
      <w:lvlText w:val="(%1)"/>
      <w:numFmt w:val="lowerLetter"/>
      <w:start w:val="5"/>
    </w:lvl>
  </w:abstractNum>
  <w:abstractNum w:abstractNumId="55">
    <w:nsid w:val="6FC75AF8"/>
    <w:multiLevelType w:val="hybridMultilevel"/>
    <w:lvl w:ilvl="0">
      <w:lvlJc w:val="left"/>
      <w:lvlText w:val="(%1)"/>
      <w:numFmt w:val="lowerLetter"/>
      <w:start w:val="6"/>
    </w:lvl>
  </w:abstractNum>
  <w:abstractNum w:abstractNumId="56">
    <w:nsid w:val="6A5F7029"/>
    <w:multiLevelType w:val="hybridMultilevel"/>
    <w:lvl w:ilvl="0">
      <w:lvlJc w:val="left"/>
      <w:lvlText w:val="(%1)"/>
      <w:numFmt w:val="lowerLetter"/>
      <w:start w:val="8"/>
    </w:lvl>
    <w:lvl w:ilvl="1">
      <w:lvlJc w:val="left"/>
      <w:lvlText w:val="(%2)"/>
      <w:numFmt w:val="lowerRoman"/>
      <w:start w:val="1"/>
    </w:lvl>
  </w:abstractNum>
  <w:abstractNum w:abstractNumId="57">
    <w:nsid w:val="7D5E18F8"/>
    <w:multiLevelType w:val="hybridMultilevel"/>
    <w:lvl w:ilvl="0">
      <w:lvlJc w:val="left"/>
      <w:lvlText w:val="%1"/>
      <w:numFmt w:val="lowerLetter"/>
      <w:start w:val="1"/>
    </w:lvl>
    <w:lvl w:ilvl="1">
      <w:lvlJc w:val="left"/>
      <w:lvlText w:val="(%2)"/>
      <w:numFmt w:val="lowerRoman"/>
      <w:start w:val="7"/>
    </w:lvl>
  </w:abstractNum>
  <w:abstractNum w:abstractNumId="58">
    <w:nsid w:val="5F3534A4"/>
    <w:multiLevelType w:val="hybridMultilevel"/>
    <w:lvl w:ilvl="0">
      <w:lvlJc w:val="left"/>
      <w:lvlText w:val="(%1)"/>
      <w:numFmt w:val="lowerLetter"/>
      <w:start w:val="10"/>
    </w:lvl>
    <w:lvl w:ilvl="1">
      <w:lvlJc w:val="left"/>
      <w:lvlText w:val="%2"/>
      <w:numFmt w:val="lowerRoman"/>
      <w:start w:val="1"/>
    </w:lvl>
  </w:abstractNum>
  <w:abstractNum w:abstractNumId="59">
    <w:nsid w:val="73A1821B"/>
    <w:multiLevelType w:val="hybridMultilevel"/>
    <w:lvl w:ilvl="0">
      <w:lvlJc w:val="left"/>
      <w:lvlText w:val="(%1)"/>
      <w:numFmt w:val="lowerLetter"/>
      <w:start w:val="1"/>
    </w:lvl>
    <w:lvl w:ilvl="1">
      <w:lvlJc w:val="left"/>
      <w:lvlText w:val="(%2)"/>
      <w:numFmt w:val="lowerRoman"/>
      <w:start w:val="1"/>
    </w:lvl>
  </w:abstractNum>
  <w:abstractNum w:abstractNumId="60">
    <w:nsid w:val="7DE67713"/>
    <w:multiLevelType w:val="hybridMultilevel"/>
    <w:lvl w:ilvl="0">
      <w:lvlJc w:val="left"/>
      <w:lvlText w:val="(%1)"/>
      <w:numFmt w:val="lowerLetter"/>
      <w:start w:val="2"/>
    </w:lvl>
  </w:abstractNum>
  <w:abstractNum w:abstractNumId="61">
    <w:nsid w:val="555C55B5"/>
    <w:multiLevelType w:val="hybridMultilevel"/>
    <w:lvl w:ilvl="0">
      <w:lvlJc w:val="left"/>
      <w:lvlText w:val="(%1)"/>
      <w:numFmt w:val="lowerLetter"/>
      <w:start w:val="3"/>
    </w:lvl>
  </w:abstractNum>
  <w:abstractNum w:abstractNumId="62">
    <w:nsid w:val="3FA62ACA"/>
    <w:multiLevelType w:val="hybridMultilevel"/>
    <w:lvl w:ilvl="0">
      <w:lvlJc w:val="left"/>
      <w:lvlText w:val="(%1)"/>
      <w:numFmt w:val="lowerLetter"/>
      <w:start w:val="1"/>
    </w:lvl>
  </w:abstractNum>
  <w:abstractNum w:abstractNumId="63">
    <w:nsid w:val="14FCE74E"/>
    <w:multiLevelType w:val="hybridMultilevel"/>
    <w:lvl w:ilvl="0">
      <w:lvlJc w:val="left"/>
      <w:lvlText w:val="(%1)"/>
      <w:numFmt w:val="lowerLetter"/>
      <w:start w:val="1"/>
    </w:lvl>
  </w:abstractNum>
  <w:abstractNum w:abstractNumId="64">
    <w:nsid w:val="6A3DD3E8"/>
    <w:multiLevelType w:val="hybridMultilevel"/>
    <w:lvl w:ilvl="0">
      <w:lvlJc w:val="left"/>
      <w:lvlText w:val="(%1)"/>
      <w:numFmt w:val="lowerLetter"/>
      <w:start w:val="1"/>
    </w:lvl>
  </w:abstractNum>
  <w:abstractNum w:abstractNumId="65">
    <w:nsid w:val="71C91298"/>
    <w:multiLevelType w:val="hybridMultilevel"/>
    <w:lvl w:ilvl="0">
      <w:lvlJc w:val="left"/>
      <w:lvlText w:val="(%1)"/>
      <w:numFmt w:val="lowerLetter"/>
      <w:start w:val="1"/>
    </w:lvl>
  </w:abstractNum>
  <w:abstractNum w:abstractNumId="66">
    <w:nsid w:val="9DAF632"/>
    <w:multiLevelType w:val="hybridMultilevel"/>
    <w:lvl w:ilvl="0">
      <w:lvlJc w:val="left"/>
      <w:lvlText w:val="(%1)"/>
      <w:numFmt w:val="lowerRoman"/>
      <w:start w:val="1"/>
    </w:lvl>
  </w:abstractNum>
  <w:abstractNum w:abstractNumId="67">
    <w:nsid w:val="53299938"/>
    <w:multiLevelType w:val="hybridMultilevel"/>
    <w:lvl w:ilvl="0">
      <w:lvlJc w:val="left"/>
      <w:lvlText w:val="%1"/>
      <w:numFmt w:val="lowerLetter"/>
      <w:start w:val="1"/>
    </w:lvl>
    <w:lvl w:ilvl="1">
      <w:lvlJc w:val="left"/>
      <w:lvlText w:val="(%2)"/>
      <w:numFmt w:val="lowerRoman"/>
      <w:start w:val="4"/>
    </w:lvl>
  </w:abstractNum>
  <w:abstractNum w:abstractNumId="68">
    <w:nsid w:val="1FBFE8E0"/>
    <w:multiLevelType w:val="hybridMultilevel"/>
    <w:lvl w:ilvl="0">
      <w:lvlJc w:val="left"/>
      <w:lvlText w:val="(%1)"/>
      <w:numFmt w:val="lowerLetter"/>
      <w:start w:val="4"/>
    </w:lvl>
    <w:lvl w:ilvl="1">
      <w:lvlJc w:val="left"/>
      <w:lvlText w:val="%2"/>
      <w:numFmt w:val="lowerRoman"/>
      <w:start w:val="1"/>
    </w:lvl>
  </w:abstractNum>
  <w:abstractNum w:abstractNumId="69">
    <w:nsid w:val="5092CA79"/>
    <w:multiLevelType w:val="hybridMultilevel"/>
    <w:lvl w:ilvl="0">
      <w:lvlJc w:val="left"/>
      <w:lvlText w:val="(%1)"/>
      <w:numFmt w:val="lowerLetter"/>
      <w:start w:val="1"/>
    </w:lvl>
    <w:lvl w:ilvl="1">
      <w:lvlJc w:val="left"/>
      <w:lvlText w:val="(%2)"/>
      <w:numFmt w:val="lowerRoman"/>
      <w:start w:val="1"/>
    </w:lvl>
  </w:abstractNum>
  <w:abstractNum w:abstractNumId="70">
    <w:nsid w:val="1D545C4D"/>
    <w:multiLevelType w:val="hybridMultilevel"/>
    <w:lvl w:ilvl="0">
      <w:lvlJc w:val="left"/>
      <w:lvlText w:val="(%1)"/>
      <w:numFmt w:val="lowerRoman"/>
      <w:start w:val="3"/>
    </w:lvl>
  </w:abstractNum>
  <w:abstractNum w:abstractNumId="71">
    <w:nsid w:val="59ADEA3D"/>
    <w:multiLevelType w:val="hybridMultilevel"/>
    <w:lvl w:ilvl="0">
      <w:lvlJc w:val="left"/>
      <w:lvlText w:val="(%1)"/>
      <w:numFmt w:val="lowerLetter"/>
      <w:start w:val="3"/>
    </w:lvl>
    <w:lvl w:ilvl="1">
      <w:lvlJc w:val="left"/>
      <w:lvlText w:val="(%2)"/>
      <w:numFmt w:val="lowerRoman"/>
      <w:start w:val="1"/>
    </w:lvl>
  </w:abstractNum>
  <w:abstractNum w:abstractNumId="72">
    <w:nsid w:val="288F1A34"/>
    <w:multiLevelType w:val="hybridMultilevel"/>
    <w:lvl w:ilvl="0">
      <w:lvlJc w:val="left"/>
      <w:lvlText w:val="(%1)"/>
      <w:numFmt w:val="lowerLetter"/>
      <w:start w:val="4"/>
    </w:lvl>
  </w:abstractNum>
  <w:abstractNum w:abstractNumId="73">
    <w:nsid w:val="2A155DBC"/>
    <w:multiLevelType w:val="hybridMultilevel"/>
    <w:lvl w:ilvl="0">
      <w:lvlJc w:val="left"/>
      <w:lvlText w:val="."/>
      <w:numFmt w:val="bullet"/>
      <w:start w:val="1"/>
    </w:lvl>
    <w:lvl w:ilvl="1">
      <w:lvlJc w:val="left"/>
      <w:lvlText w:val="(%2)"/>
      <w:numFmt w:val="lowerRoman"/>
      <w:start w:val="1"/>
    </w:lvl>
  </w:abstractNum>
  <w:abstractNum w:abstractNumId="74">
    <w:nsid w:val="1D9F6E5F"/>
    <w:multiLevelType w:val="hybridMultilevel"/>
    <w:lvl w:ilvl="0">
      <w:lvlJc w:val="left"/>
      <w:lvlText w:val="(%1)"/>
      <w:numFmt w:val="lowerLetter"/>
      <w:start w:val="1"/>
    </w:lvl>
  </w:abstractNum>
  <w:abstractNum w:abstractNumId="75">
    <w:nsid w:val="97E1B4E"/>
    <w:multiLevelType w:val="hybridMultilevel"/>
    <w:lvl w:ilvl="0">
      <w:lvlJc w:val="left"/>
      <w:lvlText w:val="(%1)"/>
      <w:numFmt w:val="lowerLetter"/>
      <w:start w:val="1"/>
    </w:lvl>
  </w:abstractNum>
  <w:abstractNum w:abstractNumId="76">
    <w:nsid w:val="51088277"/>
    <w:multiLevelType w:val="hybridMultilevel"/>
    <w:lvl w:ilvl="0">
      <w:lvlJc w:val="left"/>
      <w:lvlText w:val="(%1)"/>
      <w:numFmt w:val="decimal"/>
      <w:start w:val="1"/>
    </w:lvl>
  </w:abstractNum>
  <w:abstractNum w:abstractNumId="77">
    <w:nsid w:val="1CA0C5FA"/>
    <w:multiLevelType w:val="hybridMultilevel"/>
    <w:lvl w:ilvl="0">
      <w:lvlJc w:val="left"/>
      <w:lvlText w:val="(%1)"/>
      <w:numFmt w:val="upperLetter"/>
      <w:start w:val="1"/>
    </w:lvl>
  </w:abstractNum>
  <w:abstractNum w:abstractNumId="78">
    <w:nsid w:val="53584BCB"/>
    <w:multiLevelType w:val="hybridMultilevel"/>
    <w:lvl w:ilvl="0">
      <w:lvlJc w:val="left"/>
      <w:lvlText w:val="(%1)"/>
      <w:numFmt w:val="upperLetter"/>
      <w:start w:val="3"/>
    </w:lvl>
  </w:abstractNum>
  <w:abstractNum w:abstractNumId="79">
    <w:nsid w:val="415E286C"/>
    <w:multiLevelType w:val="hybridMultilevel"/>
    <w:lvl w:ilvl="0">
      <w:lvlJc w:val="left"/>
      <w:lvlText w:val="1"/>
      <w:numFmt w:val="bullet"/>
      <w:start w:val="1"/>
    </w:lvl>
  </w:abstractNum>
  <w:abstractNum w:abstractNumId="80">
    <w:nsid w:val="7C58FD05"/>
    <w:multiLevelType w:val="hybridMultilevel"/>
    <w:lvl w:ilvl="0">
      <w:lvlJc w:val="left"/>
      <w:lvlText w:val="2"/>
      <w:numFmt w:val="bullet"/>
      <w:start w:val="1"/>
    </w:lvl>
  </w:abstractNum>
  <w:abstractNum w:abstractNumId="81">
    <w:nsid w:val="23D86AAC"/>
    <w:multiLevelType w:val="hybridMultilevel"/>
    <w:lvl w:ilvl="0">
      <w:lvlJc w:val="left"/>
      <w:lvlText w:val="3"/>
      <w:numFmt w:val="bullet"/>
      <w:start w:val="1"/>
    </w:lvl>
  </w:abstractNum>
  <w:abstractNum w:abstractNumId="82">
    <w:nsid w:val="45E6D486"/>
    <w:multiLevelType w:val="hybridMultilevel"/>
    <w:lvl w:ilvl="0">
      <w:lvlJc w:val="left"/>
      <w:lvlText w:val="4"/>
      <w:numFmt w:val="bullet"/>
      <w:start w:val="1"/>
    </w:lvl>
  </w:abstractNum>
  <w:abstractNum w:abstractNumId="83">
    <w:nsid w:val="5C10FE21"/>
    <w:multiLevelType w:val="hybridMultilevel"/>
    <w:lvl w:ilvl="0">
      <w:lvlJc w:val="left"/>
      <w:lvlText w:val="5"/>
      <w:numFmt w:val="bullet"/>
      <w:start w:val="1"/>
    </w:lvl>
  </w:abstractNum>
  <w:abstractNum w:abstractNumId="84">
    <w:nsid w:val="E7FFA2B"/>
    <w:multiLevelType w:val="hybridMultilevel"/>
    <w:lvl w:ilvl="0">
      <w:lvlJc w:val="left"/>
      <w:lvlText w:val="6"/>
      <w:numFmt w:val="bullet"/>
      <w:start w:val="1"/>
    </w:lvl>
  </w:abstractNum>
  <w:abstractNum w:abstractNumId="85">
    <w:nsid w:val="3C5991AA"/>
    <w:multiLevelType w:val="hybridMultilevel"/>
    <w:lvl w:ilvl="0">
      <w:lvlJc w:val="left"/>
      <w:lvlText w:val="7"/>
      <w:numFmt w:val="bullet"/>
      <w:start w:val="1"/>
    </w:lvl>
  </w:abstractNum>
  <w:abstractNum w:abstractNumId="86">
    <w:nsid w:val="4BD8591A"/>
    <w:multiLevelType w:val="hybridMultilevel"/>
    <w:lvl w:ilvl="0">
      <w:lvlJc w:val="left"/>
      <w:lvlText w:val="8"/>
      <w:numFmt w:val="bullet"/>
      <w:start w:val="1"/>
    </w:lvl>
  </w:abstractNum>
  <w:abstractNum w:abstractNumId="87">
    <w:nsid w:val="78DF6A55"/>
    <w:multiLevelType w:val="hybridMultilevel"/>
    <w:lvl w:ilvl="0">
      <w:lvlJc w:val="left"/>
      <w:lvlText w:val="☐"/>
      <w:numFmt w:val="bullet"/>
      <w:start w:val="1"/>
    </w:lvl>
  </w:abstractNum>
  <w:abstractNum w:abstractNumId="88">
    <w:nsid w:val="39B7AAA2"/>
    <w:multiLevelType w:val="hybridMultilevel"/>
    <w:lvl w:ilvl="0">
      <w:lvlJc w:val="left"/>
      <w:lvlText w:val="%1."/>
      <w:numFmt w:val="decimal"/>
      <w:start w:val="1"/>
    </w:lvl>
  </w:abstractNum>
  <w:abstractNum w:abstractNumId="89">
    <w:nsid w:val="2B0D8DBE"/>
    <w:multiLevelType w:val="hybridMultilevel"/>
    <w:lvl w:ilvl="0">
      <w:lvlJc w:val="left"/>
      <w:lvlText w:val="%1."/>
      <w:numFmt w:val="decimal"/>
      <w:start w:val="2"/>
    </w:lvl>
    <w:lvl w:ilvl="1">
      <w:lvlJc w:val="left"/>
      <w:lvlText w:val="(%2)"/>
      <w:numFmt w:val="lowerLetter"/>
      <w:start w:val="1"/>
    </w:lvl>
  </w:abstractNum>
  <w:abstractNum w:abstractNumId="90">
    <w:nsid w:val="6C80EC70"/>
    <w:multiLevelType w:val="hybridMultilevel"/>
    <w:lvl w:ilvl="0">
      <w:lvlJc w:val="left"/>
      <w:lvlText w:val="(%1)"/>
      <w:numFmt w:val="lowerLetter"/>
      <w:start w:val="3"/>
    </w:lvl>
  </w:abstractNum>
  <w:abstractNum w:abstractNumId="91">
    <w:nsid w:val="379E21B5"/>
    <w:multiLevelType w:val="hybridMultilevel"/>
    <w:lvl w:ilvl="0">
      <w:lvlJc w:val="left"/>
      <w:lvlText w:val="(%1)"/>
      <w:numFmt w:val="lowerLetter"/>
      <w:start w:val="9"/>
    </w:lvl>
  </w:abstractNum>
  <w:abstractNum w:abstractNumId="92">
    <w:nsid w:val="69E373"/>
    <w:multiLevelType w:val="hybridMultilevel"/>
    <w:lvl w:ilvl="0">
      <w:lvlJc w:val="left"/>
      <w:lvlText w:val="(%1)"/>
      <w:numFmt w:val="lowerLetter"/>
      <w:start w:val="13"/>
    </w:lvl>
  </w:abstractNum>
  <w:abstractNum w:abstractNumId="93">
    <w:nsid w:val="2C27173B"/>
    <w:multiLevelType w:val="hybridMultilevel"/>
    <w:lvl w:ilvl="0">
      <w:lvlJc w:val="left"/>
      <w:lvlText w:val="(%1)"/>
      <w:numFmt w:val="lowerLetter"/>
      <w:start w:val="18"/>
    </w:lvl>
  </w:abstractNum>
  <w:abstractNum w:abstractNumId="94">
    <w:nsid w:val="4C9B0904"/>
    <w:multiLevelType w:val="hybridMultilevel"/>
    <w:lvl w:ilvl="0">
      <w:lvlJc w:val="left"/>
      <w:lvlText w:val="(%1)"/>
      <w:numFmt w:val="lowerLetter"/>
      <w:start w:val="21"/>
    </w:lvl>
  </w:abstractNum>
  <w:abstractNum w:abstractNumId="95">
    <w:nsid w:val="6AA7B75C"/>
    <w:multiLevelType w:val="hybridMultilevel"/>
    <w:lvl w:ilvl="0">
      <w:lvlJc w:val="left"/>
      <w:lvlText w:val="(%1)"/>
      <w:numFmt w:val="lowerLetter"/>
      <w:start w:val="24"/>
    </w:lvl>
  </w:abstractNum>
  <w:abstractNum w:abstractNumId="96">
    <w:nsid w:val="1DF029D3"/>
    <w:multiLevelType w:val="hybridMultilevel"/>
    <w:lvl w:ilvl="0">
      <w:lvlJc w:val="left"/>
      <w:lvlText w:val="(%1)"/>
      <w:numFmt w:val="lowerLetter"/>
      <w:start w:val="27"/>
    </w:lvl>
  </w:abstractNum>
  <w:abstractNum w:abstractNumId="97">
    <w:nsid w:val="5675FF36"/>
    <w:multiLevelType w:val="hybridMultilevel"/>
    <w:lvl w:ilvl="0">
      <w:lvlJc w:val="left"/>
      <w:lvlText w:val="(%1)"/>
      <w:numFmt w:val="lowerLetter"/>
      <w:start w:val="29"/>
    </w:lvl>
  </w:abstractNum>
  <w:abstractNum w:abstractNumId="98">
    <w:nsid w:val="3DD15094"/>
    <w:multiLevelType w:val="hybridMultilevel"/>
    <w:lvl w:ilvl="0">
      <w:lvlJc w:val="left"/>
      <w:lvlText w:val="%1"/>
      <w:numFmt w:val="lowerLetter"/>
      <w:start w:val="1"/>
    </w:lvl>
    <w:lvl w:ilvl="1">
      <w:lvlJc w:val="left"/>
      <w:lvlText w:val="(%2)"/>
      <w:numFmt w:val="lowerLetter"/>
      <w:start w:val="32"/>
    </w:lvl>
  </w:abstractNum>
  <w:abstractNum w:abstractNumId="99">
    <w:nsid w:val="3DB012B3"/>
    <w:multiLevelType w:val="hybridMultilevel"/>
    <w:lvl w:ilvl="0">
      <w:lvlJc w:val="left"/>
      <w:lvlText w:val="(%1)"/>
      <w:numFmt w:val="lowerLetter"/>
      <w:start w:val="61"/>
    </w:lvl>
    <w:lvl w:ilvl="1">
      <w:lvlJc w:val="left"/>
      <w:lvlText w:val="(%2)"/>
      <w:numFmt w:val="lowerLetter"/>
      <w:start w:val="35"/>
    </w:lvl>
  </w:abstractNum>
  <w:abstractNum w:abstractNumId="100">
    <w:nsid w:val="2708C9AF"/>
    <w:multiLevelType w:val="hybridMultilevel"/>
    <w:lvl w:ilvl="0">
      <w:lvlJc w:val="left"/>
      <w:lvlText w:val="(%1)"/>
      <w:numFmt w:val="lowerLetter"/>
      <w:start w:val="36"/>
    </w:lvl>
    <w:lvl w:ilvl="1">
      <w:lvlJc w:val="left"/>
      <w:lvlText w:val="(%2)"/>
      <w:numFmt w:val="lowerRoman"/>
      <w:start w:val="1"/>
    </w:lvl>
    <w:lvl w:ilvl="2">
      <w:lvlJc w:val="left"/>
      <w:lvlText w:val="(%3)"/>
      <w:numFmt w:val="upperLetter"/>
      <w:start w:val="1"/>
    </w:lvl>
  </w:abstractNum>
  <w:abstractNum w:abstractNumId="101">
    <w:nsid w:val="5B25ACE2"/>
    <w:multiLevelType w:val="hybridMultilevel"/>
    <w:lvl w:ilvl="0">
      <w:lvlJc w:val="left"/>
      <w:lvlText w:val="(%1)"/>
      <w:numFmt w:val="lowerLetter"/>
      <w:start w:val="40"/>
    </w:lvl>
  </w:abstractNum>
  <w:abstractNum w:abstractNumId="102">
    <w:nsid w:val="175DFCF0"/>
    <w:multiLevelType w:val="hybridMultilevel"/>
    <w:lvl w:ilvl="0">
      <w:lvlJc w:val="left"/>
      <w:lvlText w:val="(%1)"/>
      <w:numFmt w:val="lowerLetter"/>
      <w:start w:val="46"/>
    </w:lvl>
  </w:abstractNum>
  <w:abstractNum w:abstractNumId="103">
    <w:nsid w:val="4F97E3E4"/>
    <w:multiLevelType w:val="hybridMultilevel"/>
    <w:lvl w:ilvl="0">
      <w:lvlJc w:val="left"/>
      <w:lvlText w:val="(%1)"/>
      <w:numFmt w:val="lowerLetter"/>
      <w:start w:val="49"/>
    </w:lvl>
  </w:abstractNum>
  <w:abstractNum w:abstractNumId="104">
    <w:nsid w:val="53B0A9E"/>
    <w:multiLevelType w:val="hybridMultilevel"/>
    <w:lvl w:ilvl="0">
      <w:lvlJc w:val="left"/>
      <w:lvlText w:val="(%1)"/>
      <w:numFmt w:val="lowerRoman"/>
      <w:start w:val="20"/>
    </w:lvl>
  </w:abstractNum>
  <w:abstractNum w:abstractNumId="105">
    <w:nsid w:val="34FD6B4F"/>
    <w:multiLevelType w:val="hybridMultilevel"/>
    <w:lvl w:ilvl="0">
      <w:lvlJc w:val="left"/>
      <w:lvlText w:val="%1."/>
      <w:numFmt w:val="decimal"/>
      <w:start w:val="3"/>
    </w:lvl>
    <w:lvl w:ilvl="1">
      <w:lvlJc w:val="left"/>
      <w:lvlText w:val="(%2)"/>
      <w:numFmt w:val="lowerLetter"/>
      <w:start w:val="1"/>
    </w:lvl>
  </w:abstractNum>
  <w:abstractNum w:abstractNumId="106">
    <w:nsid w:val="5915FF32"/>
    <w:multiLevelType w:val="hybridMultilevel"/>
    <w:lvl w:ilvl="0">
      <w:lvlJc w:val="left"/>
      <w:lvlText w:val="(%1)"/>
      <w:numFmt w:val="lowerLetter"/>
      <w:start w:val="3"/>
    </w:lvl>
  </w:abstractNum>
  <w:abstractNum w:abstractNumId="107">
    <w:nsid w:val="56438D15"/>
    <w:multiLevelType w:val="hybridMultilevel"/>
    <w:lvl w:ilvl="0">
      <w:lvlJc w:val="left"/>
      <w:lvlText w:val="%1."/>
      <w:numFmt w:val="decimal"/>
      <w:start w:val="4"/>
    </w:lvl>
  </w:abstractNum>
  <w:abstractNum w:abstractNumId="108">
    <w:nsid w:val="519E3149"/>
    <w:multiLevelType w:val="hybridMultilevel"/>
    <w:lvl w:ilvl="0">
      <w:lvlJc w:val="left"/>
      <w:lvlText w:val="%1."/>
      <w:numFmt w:val="decimal"/>
      <w:start w:val="5"/>
    </w:lvl>
    <w:lvl w:ilvl="1">
      <w:lvlJc w:val="left"/>
      <w:lvlText w:val="(%2)"/>
      <w:numFmt w:val="lowerLetter"/>
      <w:start w:val="1"/>
    </w:lvl>
  </w:abstractNum>
  <w:abstractNum w:abstractNumId="109">
    <w:nsid w:val="2C6E4AFD"/>
    <w:multiLevelType w:val="hybridMultilevel"/>
    <w:lvl w:ilvl="0">
      <w:lvlJc w:val="left"/>
      <w:lvlText w:val="(%1)"/>
      <w:numFmt w:val="lowerLetter"/>
      <w:start w:val="5"/>
    </w:lvl>
  </w:abstractNum>
  <w:abstractNum w:abstractNumId="110">
    <w:nsid w:val="17A1B582"/>
    <w:multiLevelType w:val="hybridMultilevel"/>
    <w:lvl w:ilvl="0">
      <w:lvlJc w:val="left"/>
      <w:lvlText w:val="(%1)"/>
      <w:numFmt w:val="lowerLetter"/>
      <w:start w:val="8"/>
    </w:lvl>
  </w:abstractNum>
  <w:abstractNum w:abstractNumId="111">
    <w:nsid w:val="4DF72E4E"/>
    <w:multiLevelType w:val="hybridMultilevel"/>
    <w:lvl w:ilvl="0">
      <w:lvlJc w:val="left"/>
      <w:lvlText w:val="(%1)"/>
      <w:numFmt w:val="lowerLetter"/>
      <w:start w:val="13"/>
    </w:lvl>
  </w:abstractNum>
  <w:abstractNum w:abstractNumId="112">
    <w:nsid w:val="5046B5A9"/>
    <w:multiLevelType w:val="hybridMultilevel"/>
    <w:lvl w:ilvl="0">
      <w:lvlJc w:val="left"/>
      <w:lvlText w:val="%1."/>
      <w:numFmt w:val="decimal"/>
      <w:start w:val="6"/>
    </w:lvl>
    <w:lvl w:ilvl="1">
      <w:lvlJc w:val="left"/>
      <w:lvlText w:val="(%2)"/>
      <w:numFmt w:val="lowerLetter"/>
      <w:start w:val="1"/>
    </w:lvl>
  </w:abstractNum>
  <w:abstractNum w:abstractNumId="113">
    <w:nsid w:val="5D888A08"/>
    <w:multiLevelType w:val="hybridMultilevel"/>
    <w:lvl w:ilvl="0">
      <w:lvlJc w:val="left"/>
      <w:lvlText w:val="(%1)"/>
      <w:numFmt w:val="lowerLetter"/>
      <w:start w:val="3"/>
    </w:lvl>
  </w:abstractNum>
  <w:abstractNum w:abstractNumId="114">
    <w:nsid w:val="2A082C70"/>
    <w:multiLevelType w:val="hybridMultilevel"/>
    <w:lvl w:ilvl="0">
      <w:lvlJc w:val="left"/>
      <w:lvlText w:val="(%1)"/>
      <w:numFmt w:val="lowerLetter"/>
      <w:start w:val="8"/>
    </w:lvl>
    <w:lvl w:ilvl="1">
      <w:lvlJc w:val="left"/>
      <w:lvlText w:val="(%2)"/>
      <w:numFmt w:val="lowerRoman"/>
      <w:start w:val="1"/>
    </w:lvl>
  </w:abstractNum>
  <w:abstractNum w:abstractNumId="115">
    <w:nsid w:val="5EC6AFD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116">
    <w:nsid w:val="19E21BB2"/>
    <w:multiLevelType w:val="hybridMultilevel"/>
    <w:lvl w:ilvl="0">
      <w:lvlJc w:val="left"/>
      <w:lvlText w:val="%1"/>
      <w:numFmt w:val="upperLetter"/>
      <w:start w:val="1"/>
    </w:lvl>
    <w:lvl w:ilvl="1">
      <w:lvlJc w:val="left"/>
      <w:lvlText w:val="(%2)"/>
      <w:numFmt w:val="lowerLetter"/>
      <w:start w:val="11"/>
    </w:lvl>
    <w:lvl w:ilvl="2">
      <w:lvlJc w:val="left"/>
      <w:lvlText w:val="%3"/>
      <w:numFmt w:val="lowerLetter"/>
      <w:start w:val="1"/>
    </w:lvl>
  </w:abstractNum>
  <w:abstractNum w:abstractNumId="117">
    <w:nsid w:val="75E0858A"/>
    <w:multiLevelType w:val="hybridMultilevel"/>
    <w:lvl w:ilvl="0">
      <w:lvlJc w:val="left"/>
      <w:lvlText w:val="(%1)"/>
      <w:numFmt w:val="upperLetter"/>
      <w:start w:val="2"/>
    </w:lvl>
    <w:lvl w:ilvl="1">
      <w:lvlJc w:val="left"/>
      <w:lvlText w:val="(%2)"/>
      <w:numFmt w:val="lowerLetter"/>
      <w:start w:val="15"/>
    </w:lvl>
    <w:lvl w:ilvl="2">
      <w:lvlJc w:val="left"/>
      <w:lvlText w:val="%3"/>
      <w:numFmt w:val="lowerLetter"/>
      <w:start w:val="1"/>
    </w:lvl>
  </w:abstractNum>
  <w:abstractNum w:abstractNumId="118">
    <w:nsid w:val="57A61A29"/>
    <w:multiLevelType w:val="hybridMultilevel"/>
    <w:lvl w:ilvl="0">
      <w:lvlJc w:val="left"/>
      <w:lvlText w:val="(%1)"/>
      <w:numFmt w:val="lowerLetter"/>
      <w:start w:val="17"/>
    </w:lvl>
  </w:abstractNum>
  <w:abstractNum w:abstractNumId="119">
    <w:nsid w:val="5399C654"/>
    <w:multiLevelType w:val="hybridMultilevel"/>
    <w:lvl w:ilvl="0">
      <w:lvlJc w:val="left"/>
      <w:lvlText w:val="%1."/>
      <w:numFmt w:val="decimal"/>
      <w:start w:val="8"/>
    </w:lvl>
    <w:lvl w:ilvl="1">
      <w:lvlJc w:val="left"/>
      <w:lvlText w:val="(%2)"/>
      <w:numFmt w:val="lowerLetter"/>
      <w:start w:val="1"/>
    </w:lvl>
  </w:abstractNum>
  <w:abstractNum w:abstractNumId="120">
    <w:nsid w:val="20EE1348"/>
    <w:multiLevelType w:val="hybridMultilevel"/>
    <w:lvl w:ilvl="0">
      <w:lvlJc w:val="left"/>
      <w:lvlText w:val="(%1)"/>
      <w:numFmt w:val="lowerLetter"/>
      <w:start w:val="2"/>
    </w:lvl>
  </w:abstractNum>
  <w:abstractNum w:abstractNumId="121">
    <w:nsid w:val="4427069A"/>
    <w:multiLevelType w:val="hybridMultilevel"/>
    <w:lvl w:ilvl="0">
      <w:lvlJc w:val="left"/>
      <w:lvlText w:val="(%1)"/>
      <w:numFmt w:val="lowerLetter"/>
      <w:start w:val="4"/>
    </w:lvl>
  </w:abstractNum>
  <w:abstractNum w:abstractNumId="122">
    <w:nsid w:val="B37E80A"/>
    <w:multiLevelType w:val="hybridMultilevel"/>
    <w:lvl w:ilvl="0">
      <w:lvlJc w:val="left"/>
      <w:lvlText w:val="%1"/>
      <w:numFmt w:val="decimal"/>
      <w:start w:val="1"/>
    </w:lvl>
    <w:lvl w:ilvl="1">
      <w:lvlJc w:val="left"/>
      <w:lvlText w:val="(%2)"/>
      <w:numFmt w:val="lowerLetter"/>
      <w:start w:val="5"/>
    </w:lvl>
  </w:abstractNum>
  <w:abstractNum w:abstractNumId="123">
    <w:nsid w:val="2157F6BC"/>
    <w:multiLevelType w:val="hybridMultilevel"/>
    <w:lvl w:ilvl="0">
      <w:lvlJc w:val="left"/>
      <w:lvlText w:val="%1."/>
      <w:numFmt w:val="decimal"/>
      <w:start w:val="9"/>
    </w:lvl>
    <w:lvl w:ilvl="1">
      <w:lvlJc w:val="left"/>
      <w:lvlText w:val="(%2)"/>
      <w:numFmt w:val="lowerLetter"/>
      <w:start w:val="1"/>
    </w:lvl>
  </w:abstractNum>
  <w:abstractNum w:abstractNumId="124">
    <w:nsid w:val="704E1DD5"/>
    <w:multiLevelType w:val="hybridMultilevel"/>
    <w:lvl w:ilvl="0">
      <w:lvlJc w:val="left"/>
      <w:lvlText w:val="%1"/>
      <w:numFmt w:val="decimal"/>
      <w:start w:val="1"/>
    </w:lvl>
    <w:lvl w:ilvl="1">
      <w:lvlJc w:val="left"/>
      <w:lvlText w:val="(%2)"/>
      <w:numFmt w:val="lowerLetter"/>
      <w:start w:val="2"/>
    </w:lvl>
  </w:abstractNum>
  <w:abstractNum w:abstractNumId="125">
    <w:nsid w:val="57D2F10E"/>
    <w:multiLevelType w:val="hybridMultilevel"/>
    <w:lvl w:ilvl="0">
      <w:lvlJc w:val="left"/>
      <w:lvlText w:val="%1."/>
      <w:numFmt w:val="decimal"/>
      <w:start w:val="10"/>
    </w:lvl>
    <w:lvl w:ilvl="1">
      <w:lvlJc w:val="left"/>
      <w:lvlText w:val="%2"/>
      <w:numFmt w:val="lowerLetter"/>
      <w:start w:val="1"/>
    </w:lvl>
  </w:abstractNum>
  <w:abstractNum w:abstractNumId="126">
    <w:nsid w:val="BFFAE18"/>
    <w:multiLevelType w:val="hybridMultilevel"/>
    <w:lvl w:ilvl="0">
      <w:lvlJc w:val="left"/>
      <w:lvlText w:val="&amp;"/>
      <w:numFmt w:val="bullet"/>
      <w:start w:val="1"/>
    </w:lvl>
    <w:lvl w:ilvl="1">
      <w:lvlJc w:val="left"/>
      <w:lvlText w:val="%2."/>
      <w:numFmt w:val="decimal"/>
      <w:start w:val="11"/>
    </w:lvl>
    <w:lvl w:ilvl="2">
      <w:lvlJc w:val="left"/>
      <w:lvlText w:val="(%3)"/>
      <w:numFmt w:val="lowerLetter"/>
      <w:start w:val="1"/>
    </w:lvl>
  </w:abstractNum>
  <w:abstractNum w:abstractNumId="127">
    <w:nsid w:val="E3E47A8"/>
    <w:multiLevelType w:val="hybridMultilevel"/>
    <w:lvl w:ilvl="0">
      <w:lvlJc w:val="left"/>
      <w:lvlText w:val="%1."/>
      <w:numFmt w:val="decimal"/>
      <w:start w:val="13"/>
    </w:lvl>
  </w:abstractNum>
  <w:abstractNum w:abstractNumId="128">
    <w:nsid w:val="2E48F044"/>
    <w:multiLevelType w:val="hybridMultilevel"/>
    <w:lvl w:ilvl="0">
      <w:lvlJc w:val="left"/>
      <w:lvlText w:val="%1."/>
      <w:numFmt w:val="decimal"/>
      <w:start w:val="14"/>
    </w:lvl>
  </w:abstractNum>
  <w:abstractNum w:abstractNumId="129">
    <w:nsid w:val="49D0FEAC"/>
    <w:multiLevelType w:val="hybridMultilevel"/>
    <w:lvl w:ilvl="0">
      <w:lvlJc w:val="left"/>
      <w:lvlText w:val="%1."/>
      <w:numFmt w:val="decimal"/>
      <w:start w:val="20"/>
    </w:lvl>
  </w:abstractNum>
  <w:abstractNum w:abstractNumId="130">
    <w:nsid w:val="4BEE5A5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131">
    <w:nsid w:val="5551B9F3"/>
    <w:multiLevelType w:val="hybridMultilevel"/>
    <w:lvl w:ilvl="0">
      <w:lvlJc w:val="left"/>
      <w:lvlText w:val="·"/>
      <w:numFmt w:val="bullet"/>
      <w:start w:val="1"/>
    </w:lvl>
  </w:abstractNum>
  <w:abstractNum w:abstractNumId="132">
    <w:nsid w:val="24F6AB8E"/>
    <w:multiLevelType w:val="hybridMultilevel"/>
    <w:lvl w:ilvl="0">
      <w:lvlJc w:val="left"/>
      <w:lvlText w:val="%1."/>
      <w:numFmt w:val="upperLetter"/>
      <w:start w:val="1"/>
    </w:lvl>
  </w:abstractNum>
  <w:abstractNum w:abstractNumId="133">
    <w:nsid w:val="634C574C"/>
    <w:multiLevelType w:val="hybridMultilevel"/>
    <w:lvl w:ilvl="0">
      <w:lvlJc w:val="left"/>
      <w:lvlText w:val="["/>
      <w:numFmt w:val="bullet"/>
      <w:start w:val="1"/>
    </w:lvl>
  </w:abstractNum>
  <w:abstractNum w:abstractNumId="134">
    <w:nsid w:val="24E99DD7"/>
    <w:multiLevelType w:val="hybridMultilevel"/>
    <w:lvl w:ilvl="0">
      <w:lvlJc w:val="left"/>
      <w:lvlText w:val="%1."/>
      <w:numFmt w:val="upperLetter"/>
      <w:start w:val="1"/>
    </w:lvl>
  </w:abstractNum>
  <w:abstractNum w:abstractNumId="135">
    <w:nsid w:val="2A31B62D"/>
    <w:multiLevelType w:val="hybridMultilevel"/>
    <w:lvl w:ilvl="0">
      <w:lvlJc w:val="left"/>
      <w:lvlText w:val="%1."/>
      <w:numFmt w:val="decimal"/>
      <w:start w:val="1"/>
    </w:lvl>
  </w:abstractNum>
  <w:abstractNum w:abstractNumId="136">
    <w:nsid w:val="1849C29B"/>
    <w:multiLevelType w:val="hybridMultilevel"/>
    <w:lvl w:ilvl="0">
      <w:lvlJc w:val="left"/>
      <w:lvlText w:val="(%1)"/>
      <w:numFmt w:val="lowerLetter"/>
      <w:start w:val="1"/>
    </w:lvl>
    <w:lvl w:ilvl="1">
      <w:lvlJc w:val="left"/>
      <w:lvlText w:val="(%2)"/>
      <w:numFmt w:val="lowerLetter"/>
      <w:start w:val="2"/>
    </w:lvl>
  </w:abstractNum>
  <w:abstractNum w:abstractNumId="137">
    <w:nsid w:val="7DFF9D09"/>
    <w:multiLevelType w:val="hybridMultilevel"/>
    <w:lvl w:ilvl="0">
      <w:lvlJc w:val="left"/>
      <w:lvlText w:val="(%1)"/>
      <w:numFmt w:val="lowerLetter"/>
      <w:start w:val="12"/>
    </w:lvl>
  </w:abstractNum>
  <w:abstractNum w:abstractNumId="138">
    <w:nsid w:val="754342"/>
    <w:multiLevelType w:val="hybridMultilevel"/>
    <w:lvl w:ilvl="0">
      <w:lvlJc w:val="left"/>
      <w:lvlText w:val="%1."/>
      <w:numFmt w:val="decimal"/>
      <w:start w:val="3"/>
    </w:lvl>
  </w:abstractNum>
  <w:abstractNum w:abstractNumId="139">
    <w:nsid w:val="69E7F3E5"/>
    <w:multiLevelType w:val="hybridMultilevel"/>
    <w:lvl w:ilvl="0">
      <w:lvlJc w:val="left"/>
      <w:lvlText w:val="(%1)"/>
      <w:numFmt w:val="lowerLetter"/>
      <w:start w:val="1"/>
    </w:lvl>
  </w:abstractNum>
  <w:abstractNum w:abstractNumId="140">
    <w:nsid w:val="2A6DE806"/>
    <w:multiLevelType w:val="hybridMultilevel"/>
    <w:lvl w:ilvl="0">
      <w:lvlJc w:val="left"/>
      <w:lvlText w:val="%1."/>
      <w:numFmt w:val="decimal"/>
      <w:start w:val="4"/>
    </w:lvl>
  </w:abstractNum>
  <w:abstractNum w:abstractNumId="141">
    <w:nsid w:val="1816F8C4"/>
    <w:multiLevelType w:val="hybridMultilevel"/>
    <w:lvl w:ilvl="0">
      <w:lvlJc w:val="left"/>
      <w:lvlText w:val="%1."/>
      <w:numFmt w:val="decimal"/>
      <w:start w:val="5"/>
    </w:lvl>
  </w:abstractNum>
  <w:abstractNum w:abstractNumId="142">
    <w:nsid w:val="37DF223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2019-12-28T01:23:31Z</dcterms:created>
  <dcterms:modified xsi:type="dcterms:W3CDTF">2019-12-28T01:23:31Z</dcterms:modified>
</cp:coreProperties>
</file>