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February 8,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8, 2018, Fluidigm Corporation issued a press release reporting its financial results for the fourth quarter and full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herewith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Fluidigm Corporation Press Release dated February 8,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3"/>
          </w:tcPr>
          <w:p>
            <w:pPr>
              <w:ind w:left="192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February 8, 2018</w:t>
            </w:r>
          </w:p>
        </w:tc>
        <w:tc>
          <w:tcPr>
            <w:tcW w:w="7800" w:type="dxa"/>
            <w:vAlign w:val="bottom"/>
            <w:gridSpan w:val="3"/>
          </w:tcPr>
          <w:p>
            <w:pPr>
              <w:ind w:left="1920"/>
              <w:spacing w:after="0"/>
              <w:rPr>
                <w:sz w:val="20"/>
                <w:szCs w:val="20"/>
                <w:color w:val="auto"/>
              </w:rPr>
            </w:pPr>
            <w:r>
              <w:rPr>
                <w:rFonts w:ascii="Arial" w:cs="Arial" w:eastAsia="Arial" w:hAnsi="Arial"/>
                <w:sz w:val="18"/>
                <w:szCs w:val="18"/>
                <w:color w:val="auto"/>
              </w:rPr>
              <w:t>By: /s/ Vikram Jog</w:t>
            </w:r>
          </w:p>
        </w:tc>
      </w:tr>
      <w:tr>
        <w:trPr>
          <w:trHeight w:val="222"/>
        </w:trPr>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6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Fluidigm Corporation Press Release dated February 8, 2018</w:t>
      </w:r>
    </w:p>
    <w:p>
      <w:pPr>
        <w:sectPr>
          <w:pgSz w:w="11900" w:h="16838" w:orient="portrait"/>
          <w:cols w:equalWidth="0" w:num="1">
            <w:col w:w="10219"/>
          </w:cols>
          <w:pgMar w:left="240" w:top="337" w:right="1440" w:bottom="1440" w:gutter="0" w:footer="0" w:header="0"/>
        </w:sectPr>
      </w:pPr>
    </w:p>
    <w:bookmarkStart w:id="4" w:name="page5"/>
    <w:bookmarkEnd w:id="4"/>
    <w:p>
      <w:pPr>
        <w:spacing w:after="0" w:line="5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Fluidigm Announces Fourth Quarter and Full Year 2017 Financial Results and Operational Progress</w:t>
      </w:r>
    </w:p>
    <w:p>
      <w:pPr>
        <w:spacing w:after="0" w:line="224" w:lineRule="exact"/>
        <w:rPr>
          <w:sz w:val="20"/>
          <w:szCs w:val="20"/>
          <w:color w:val="auto"/>
        </w:rPr>
      </w:pPr>
    </w:p>
    <w:p>
      <w:pPr>
        <w:ind w:left="2400"/>
        <w:spacing w:after="0"/>
        <w:rPr>
          <w:sz w:val="20"/>
          <w:szCs w:val="20"/>
          <w:color w:val="auto"/>
        </w:rPr>
      </w:pPr>
      <w:r>
        <w:rPr>
          <w:rFonts w:ascii="Arial" w:cs="Arial" w:eastAsia="Arial" w:hAnsi="Arial"/>
          <w:sz w:val="22"/>
          <w:szCs w:val="22"/>
          <w:b w:val="1"/>
          <w:bCs w:val="1"/>
          <w:i w:val="1"/>
          <w:iCs w:val="1"/>
          <w:color w:val="auto"/>
        </w:rPr>
        <w:t>Fluidigm Posts Sequential and Year-Over-Year Quarterly Revenue Growth</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9"/>
          <w:szCs w:val="19"/>
          <w:b w:val="1"/>
          <w:bCs w:val="1"/>
          <w:i w:val="1"/>
          <w:iCs w:val="1"/>
          <w:color w:val="auto"/>
        </w:rPr>
        <w:t>2017 Highlights Include Launch of Hyperion Imaging System, Licensing and Distribution Partnerships, Improved Balance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Sheet, Double-Digit Operating Expense Reductions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Mass Cytometry Research Publications Increase by More than 40% in 2017</w:t>
      </w:r>
    </w:p>
    <w:p>
      <w:pPr>
        <w:spacing w:after="0" w:line="206" w:lineRule="exact"/>
        <w:rPr>
          <w:sz w:val="20"/>
          <w:szCs w:val="20"/>
          <w:color w:val="auto"/>
        </w:rPr>
      </w:pPr>
    </w:p>
    <w:p>
      <w:pPr>
        <w:ind w:right="480"/>
        <w:spacing w:after="0" w:line="274" w:lineRule="auto"/>
        <w:rPr>
          <w:sz w:val="20"/>
          <w:szCs w:val="20"/>
          <w:color w:val="auto"/>
        </w:rPr>
      </w:pPr>
      <w:r>
        <w:rPr>
          <w:rFonts w:ascii="Arial" w:cs="Arial" w:eastAsia="Arial" w:hAnsi="Arial"/>
          <w:sz w:val="21"/>
          <w:szCs w:val="21"/>
          <w:color w:val="auto"/>
        </w:rPr>
        <w:t>SOUTH SAN FRANCISCO, Calif., Feb. 08, 2018 (GLOBE NEWSWIRE) -- Fluidigm Corporation (NASDAQ:FLDM) today announced financial results for the fourth quarter and full year ended December 31, 2017.</w:t>
      </w:r>
    </w:p>
    <w:p>
      <w:pPr>
        <w:spacing w:after="0" w:line="178"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Total revenue for the fourth quarter of 2017 was $27.7 million, an increase of 12% from $24.7 million in the third quarter of 2017 and an increase of 11% from $25.1 million in the fourth quarter of 2016. Net loss for the fourth quarter of 2017 was $10.5 million, compared with a net loss of $17.7 million for the fourth quarter of 2016. Non-GAAP net loss for the fourth quarter of 2017 was $3.0 million, compared with a $9.3 million non-GAAP net loss for the fourth quarter of 2016 (see the accompanying table for reconciliation of GAAP and non-GAAP measures).</w:t>
      </w:r>
    </w:p>
    <w:p>
      <w:pPr>
        <w:spacing w:after="0" w:line="188"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Total revenue for the full year 2017 was $101.9 million, a decrease of 2% from $104.4 million for 2016. Net loss for the full year 2017 was $60.5 million, compared with a net loss of $76.0 million for 2016. Non-GAAP net loss for 2017 was $30.2 million, compared with a $41.6 million non-GAAP net loss for 2016.</w:t>
      </w:r>
    </w:p>
    <w:p>
      <w:pPr>
        <w:spacing w:after="0" w:line="186"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“The year 2017 was transformative for Fluidigm, representing a period of significant change across every aspect of our business and positioning the company for a return to sustainable growth,” said Chris Linthwaite, President and CEO. “We achieved double-digit operating expense reductions for the year, forged innovative partnerships with industry and academia, and added vital cash to our balance sheet for financial flexibility. In addition, our fourth quarter results marked year-over-year and sequential revenue growth.</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“In our proteomics business, we launched our Hyperion™ Imaging System, enabling groundbreaking oncology and cancer immunotherapy research and representing further evolution of mass cytometry as the premier tool to explore the human immune system. We posted strong year-over-year revenue growth for mass cytometry as the pace of significant research based on this technology increased, evidenced by a growing body of more than 400 publications—120 new publications in 2017 alone—in areas ranging from pharmacogenomics to autoimmune diseases,” said Linthwaite. “In our high-throughput genomics business, we forged partnerships for development of new content and workflow solutions and continued our strategic focus on high-value customers.</w:t>
      </w:r>
    </w:p>
    <w:p>
      <w:pPr>
        <w:spacing w:after="0" w:line="178" w:lineRule="exact"/>
        <w:rPr>
          <w:sz w:val="20"/>
          <w:szCs w:val="20"/>
          <w:color w:val="auto"/>
        </w:rPr>
      </w:pPr>
    </w:p>
    <w:p>
      <w:pPr>
        <w:ind w:right="500"/>
        <w:spacing w:after="0" w:line="297" w:lineRule="auto"/>
        <w:rPr>
          <w:sz w:val="20"/>
          <w:szCs w:val="20"/>
          <w:color w:val="auto"/>
        </w:rPr>
      </w:pPr>
      <w:r>
        <w:rPr>
          <w:rFonts w:ascii="Arial" w:cs="Arial" w:eastAsia="Arial" w:hAnsi="Arial"/>
          <w:sz w:val="19"/>
          <w:szCs w:val="19"/>
          <w:color w:val="auto"/>
        </w:rPr>
        <w:t>“Throughout 2017, we built a foundation for taking our technologies in mass cytometry and microfluidic genomics to larger markets, more users, and expanded applications. In 2018, we expect to grow and develop these businesses while continuing to deliver on our financial commitments, strengthening our balance sheet, and improving the customer experience.”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2017 Performance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of $27.7 million by category:</w:t>
      </w:r>
    </w:p>
    <w:p>
      <w:pPr>
        <w:spacing w:after="0" w:line="212" w:lineRule="exact"/>
        <w:rPr>
          <w:sz w:val="20"/>
          <w:szCs w:val="20"/>
          <w:color w:val="auto"/>
        </w:rPr>
      </w:pPr>
    </w:p>
    <w:p>
      <w:pPr>
        <w:jc w:val="both"/>
        <w:ind w:left="540" w:right="140"/>
        <w:spacing w:after="0" w:line="236" w:lineRule="auto"/>
        <w:rPr>
          <w:sz w:val="20"/>
          <w:szCs w:val="20"/>
          <w:color w:val="auto"/>
        </w:rPr>
      </w:pPr>
      <w:r>
        <w:rPr>
          <w:rFonts w:ascii="Arial" w:cs="Arial" w:eastAsia="Arial" w:hAnsi="Arial"/>
          <w:sz w:val="22"/>
          <w:szCs w:val="22"/>
          <w:color w:val="auto"/>
        </w:rPr>
        <w:t>Instrument revenue increased 6% to $11.3 million from $10.7 million in the prior year period due to increased revenue from mass cytometry and high-throughput genomics instruments, partially offset by decreased revenue from single-cell genomics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0"/>
        <w:spacing w:after="0" w:line="230" w:lineRule="auto"/>
        <w:rPr>
          <w:sz w:val="20"/>
          <w:szCs w:val="20"/>
          <w:color w:val="auto"/>
        </w:rPr>
      </w:pPr>
      <w:r>
        <w:rPr>
          <w:rFonts w:ascii="Arial" w:cs="Arial" w:eastAsia="Arial" w:hAnsi="Arial"/>
          <w:sz w:val="22"/>
          <w:szCs w:val="22"/>
          <w:color w:val="auto"/>
        </w:rPr>
        <w:t>Consumables revenue increased 14% to $11.7 million from $10.3 million in the prior year period with growth in both high-throughput genomics and mass cytometry consumables, partially offset by decreased revenue from single-cell genomics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40"/>
        <w:spacing w:after="0" w:line="237" w:lineRule="auto"/>
        <w:rPr>
          <w:sz w:val="20"/>
          <w:szCs w:val="20"/>
          <w:color w:val="auto"/>
        </w:rPr>
      </w:pPr>
      <w:r>
        <w:rPr>
          <w:rFonts w:ascii="Arial" w:cs="Arial" w:eastAsia="Arial" w:hAnsi="Arial"/>
          <w:sz w:val="22"/>
          <w:szCs w:val="22"/>
          <w:color w:val="auto"/>
        </w:rPr>
        <w:t>Service revenue grew 15% to $4.7 million from $4.1 million in the prior year period, an increase primarily related to our mass cytometry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revenue of $23.0 million by market:</w:t>
      </w:r>
    </w:p>
    <w:p>
      <w:pPr>
        <w:spacing w:after="0" w:line="212" w:lineRule="exact"/>
        <w:rPr>
          <w:sz w:val="20"/>
          <w:szCs w:val="20"/>
          <w:color w:val="auto"/>
        </w:rPr>
      </w:pPr>
    </w:p>
    <w:p>
      <w:pPr>
        <w:ind w:left="540" w:right="60"/>
        <w:spacing w:after="0" w:line="239" w:lineRule="auto"/>
        <w:rPr>
          <w:sz w:val="20"/>
          <w:szCs w:val="20"/>
          <w:color w:val="auto"/>
        </w:rPr>
      </w:pPr>
      <w:r>
        <w:rPr>
          <w:rFonts w:ascii="Arial" w:cs="Arial" w:eastAsia="Arial" w:hAnsi="Arial"/>
          <w:sz w:val="22"/>
          <w:szCs w:val="22"/>
          <w:color w:val="auto"/>
        </w:rPr>
        <w:t>Genomics product revenue was $12.3 million in the current quarter compared to $12.4 million in the year ago period, mainly due to decreases in revenue from single-cell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7" w:lineRule="auto"/>
        <w:rPr>
          <w:sz w:val="20"/>
          <w:szCs w:val="20"/>
          <w:color w:val="auto"/>
        </w:rPr>
      </w:pPr>
      <w:r>
        <w:rPr>
          <w:rFonts w:ascii="Arial" w:cs="Arial" w:eastAsia="Arial" w:hAnsi="Arial"/>
          <w:sz w:val="22"/>
          <w:szCs w:val="22"/>
          <w:color w:val="auto"/>
        </w:rPr>
        <w:t>Mass cytometry product revenue increased 26% to $10.8 million from $8.6 million in the prior year period, driven both by increased sales of instruments and by increased consumables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by geographic area:</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8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Geographic Area</w:t>
            </w:r>
          </w:p>
        </w:tc>
        <w:tc>
          <w:tcPr>
            <w:tcW w:w="3180" w:type="dxa"/>
            <w:vAlign w:val="bottom"/>
            <w:tcBorders>
              <w:top w:val="single" w:sz="8" w:color="auto"/>
            </w:tcBorders>
          </w:tcPr>
          <w:p>
            <w:pPr>
              <w:jc w:val="center"/>
              <w:ind w:left="332"/>
              <w:spacing w:after="0" w:line="243" w:lineRule="exact"/>
              <w:rPr>
                <w:sz w:val="20"/>
                <w:szCs w:val="20"/>
                <w:color w:val="auto"/>
              </w:rPr>
            </w:pPr>
            <w:r>
              <w:rPr>
                <w:rFonts w:ascii="Arial" w:cs="Arial" w:eastAsia="Arial" w:hAnsi="Arial"/>
                <w:sz w:val="22"/>
                <w:szCs w:val="22"/>
                <w:b w:val="1"/>
                <w:bCs w:val="1"/>
                <w:color w:val="auto"/>
                <w:w w:val="85"/>
              </w:rPr>
              <w:t>Revenue by</w:t>
            </w:r>
          </w:p>
        </w:tc>
        <w:tc>
          <w:tcPr>
            <w:tcW w:w="2940" w:type="dxa"/>
            <w:vAlign w:val="bottom"/>
            <w:tcBorders>
              <w:top w:val="single" w:sz="8" w:color="auto"/>
            </w:tcBorders>
          </w:tcPr>
          <w:p>
            <w:pPr>
              <w:jc w:val="right"/>
              <w:ind w:right="652"/>
              <w:spacing w:after="0" w:line="243" w:lineRule="exact"/>
              <w:rPr>
                <w:sz w:val="20"/>
                <w:szCs w:val="20"/>
                <w:color w:val="auto"/>
              </w:rPr>
            </w:pPr>
            <w:r>
              <w:rPr>
                <w:rFonts w:ascii="Arial" w:cs="Arial" w:eastAsia="Arial" w:hAnsi="Arial"/>
                <w:sz w:val="22"/>
                <w:szCs w:val="22"/>
                <w:b w:val="1"/>
                <w:bCs w:val="1"/>
                <w:color w:val="auto"/>
              </w:rPr>
              <w:t>Year-over-Year</w:t>
            </w:r>
          </w:p>
        </w:tc>
        <w:tc>
          <w:tcPr>
            <w:tcW w:w="2420" w:type="dxa"/>
            <w:vAlign w:val="bottom"/>
            <w:tcBorders>
              <w:top w:val="single" w:sz="8" w:color="auto"/>
            </w:tcBorders>
          </w:tcPr>
          <w:p>
            <w:pPr>
              <w:ind w:left="760"/>
              <w:spacing w:after="0" w:line="243" w:lineRule="exact"/>
              <w:rPr>
                <w:sz w:val="20"/>
                <w:szCs w:val="20"/>
                <w:color w:val="auto"/>
              </w:rPr>
            </w:pPr>
            <w:r>
              <w:rPr>
                <w:rFonts w:ascii="Arial" w:cs="Arial" w:eastAsia="Arial" w:hAnsi="Arial"/>
                <w:sz w:val="22"/>
                <w:szCs w:val="22"/>
                <w:b w:val="1"/>
                <w:bCs w:val="1"/>
                <w:color w:val="auto"/>
              </w:rPr>
              <w:t>% of Total</w:t>
            </w:r>
          </w:p>
        </w:tc>
      </w:tr>
      <w:tr>
        <w:trPr>
          <w:trHeight w:val="282"/>
        </w:trPr>
        <w:tc>
          <w:tcPr>
            <w:tcW w:w="2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left="392"/>
              <w:spacing w:after="0"/>
              <w:rPr>
                <w:sz w:val="20"/>
                <w:szCs w:val="20"/>
                <w:color w:val="auto"/>
              </w:rPr>
            </w:pPr>
            <w:r>
              <w:rPr>
                <w:rFonts w:ascii="Arial" w:cs="Arial" w:eastAsia="Arial" w:hAnsi="Arial"/>
                <w:sz w:val="22"/>
                <w:szCs w:val="22"/>
                <w:b w:val="1"/>
                <w:bCs w:val="1"/>
                <w:color w:val="auto"/>
                <w:w w:val="89"/>
              </w:rPr>
              <w:t>Geography</w:t>
            </w:r>
          </w:p>
        </w:tc>
        <w:tc>
          <w:tcPr>
            <w:tcW w:w="294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b w:val="1"/>
                <w:bCs w:val="1"/>
                <w:color w:val="auto"/>
              </w:rPr>
              <w:t>Change</w:t>
            </w:r>
          </w:p>
        </w:tc>
        <w:tc>
          <w:tcPr>
            <w:tcW w:w="242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b w:val="1"/>
                <w:bCs w:val="1"/>
                <w:color w:val="auto"/>
                <w:w w:val="87"/>
              </w:rPr>
              <w:t>Revenue</w:t>
            </w:r>
          </w:p>
        </w:tc>
      </w:tr>
      <w:tr>
        <w:trPr>
          <w:trHeight w:val="257"/>
        </w:trPr>
        <w:tc>
          <w:tcPr>
            <w:tcW w:w="2880" w:type="dxa"/>
            <w:vAlign w:val="bottom"/>
          </w:tcPr>
          <w:p>
            <w:pPr>
              <w:ind w:left="20"/>
              <w:spacing w:after="0"/>
              <w:rPr>
                <w:sz w:val="20"/>
                <w:szCs w:val="20"/>
                <w:color w:val="auto"/>
              </w:rPr>
            </w:pPr>
            <w:r>
              <w:rPr>
                <w:rFonts w:ascii="Arial" w:cs="Arial" w:eastAsia="Arial" w:hAnsi="Arial"/>
                <w:sz w:val="22"/>
                <w:szCs w:val="22"/>
                <w:color w:val="auto"/>
              </w:rPr>
              <w:t>United States</w:t>
            </w:r>
          </w:p>
        </w:tc>
        <w:tc>
          <w:tcPr>
            <w:tcW w:w="3180" w:type="dxa"/>
            <w:vAlign w:val="bottom"/>
          </w:tcPr>
          <w:p>
            <w:pPr>
              <w:jc w:val="center"/>
              <w:ind w:left="392"/>
              <w:spacing w:after="0"/>
              <w:rPr>
                <w:sz w:val="20"/>
                <w:szCs w:val="20"/>
                <w:color w:val="auto"/>
              </w:rPr>
            </w:pPr>
            <w:r>
              <w:rPr>
                <w:rFonts w:ascii="Arial" w:cs="Arial" w:eastAsia="Arial" w:hAnsi="Arial"/>
                <w:sz w:val="22"/>
                <w:szCs w:val="22"/>
                <w:color w:val="auto"/>
                <w:w w:val="93"/>
              </w:rPr>
              <w:t>$11.2 million</w:t>
            </w:r>
          </w:p>
        </w:tc>
        <w:tc>
          <w:tcPr>
            <w:tcW w:w="2940" w:type="dxa"/>
            <w:vAlign w:val="bottom"/>
          </w:tcPr>
          <w:p>
            <w:pPr>
              <w:jc w:val="right"/>
              <w:ind w:right="912"/>
              <w:spacing w:after="0"/>
              <w:rPr>
                <w:sz w:val="20"/>
                <w:szCs w:val="20"/>
                <w:color w:val="auto"/>
              </w:rPr>
            </w:pPr>
            <w:r>
              <w:rPr>
                <w:rFonts w:ascii="Arial" w:cs="Arial" w:eastAsia="Arial" w:hAnsi="Arial"/>
                <w:sz w:val="22"/>
                <w:szCs w:val="22"/>
                <w:color w:val="auto"/>
              </w:rPr>
              <w:t>(15%)</w:t>
            </w:r>
          </w:p>
        </w:tc>
        <w:tc>
          <w:tcPr>
            <w:tcW w:w="2420" w:type="dxa"/>
            <w:vAlign w:val="bottom"/>
          </w:tcPr>
          <w:p>
            <w:pPr>
              <w:jc w:val="center"/>
              <w:ind w:left="72"/>
              <w:spacing w:after="0"/>
              <w:rPr>
                <w:sz w:val="20"/>
                <w:szCs w:val="20"/>
                <w:color w:val="auto"/>
              </w:rPr>
            </w:pPr>
            <w:r>
              <w:rPr>
                <w:rFonts w:ascii="Arial" w:cs="Arial" w:eastAsia="Arial" w:hAnsi="Arial"/>
                <w:sz w:val="22"/>
                <w:szCs w:val="22"/>
                <w:color w:val="auto"/>
                <w:w w:val="90"/>
              </w:rPr>
              <w:t>40%</w:t>
            </w:r>
          </w:p>
        </w:tc>
      </w:tr>
      <w:tr>
        <w:trPr>
          <w:trHeight w:val="270"/>
        </w:trPr>
        <w:tc>
          <w:tcPr>
            <w:tcW w:w="2880" w:type="dxa"/>
            <w:vAlign w:val="bottom"/>
          </w:tcPr>
          <w:p>
            <w:pPr>
              <w:ind w:left="20"/>
              <w:spacing w:after="0"/>
              <w:rPr>
                <w:sz w:val="20"/>
                <w:szCs w:val="20"/>
                <w:color w:val="auto"/>
              </w:rPr>
            </w:pPr>
            <w:r>
              <w:rPr>
                <w:rFonts w:ascii="Arial" w:cs="Arial" w:eastAsia="Arial" w:hAnsi="Arial"/>
                <w:sz w:val="22"/>
                <w:szCs w:val="22"/>
                <w:color w:val="auto"/>
              </w:rPr>
              <w:t>Europe</w:t>
            </w:r>
          </w:p>
        </w:tc>
        <w:tc>
          <w:tcPr>
            <w:tcW w:w="3180" w:type="dxa"/>
            <w:vAlign w:val="bottom"/>
          </w:tcPr>
          <w:p>
            <w:pPr>
              <w:jc w:val="center"/>
              <w:ind w:left="372"/>
              <w:spacing w:after="0"/>
              <w:rPr>
                <w:sz w:val="20"/>
                <w:szCs w:val="20"/>
                <w:color w:val="auto"/>
              </w:rPr>
            </w:pPr>
            <w:r>
              <w:rPr>
                <w:rFonts w:ascii="Arial" w:cs="Arial" w:eastAsia="Arial" w:hAnsi="Arial"/>
                <w:sz w:val="22"/>
                <w:szCs w:val="22"/>
                <w:color w:val="auto"/>
                <w:w w:val="95"/>
              </w:rPr>
              <w:t>$9.5 million</w:t>
            </w:r>
          </w:p>
        </w:tc>
        <w:tc>
          <w:tcPr>
            <w:tcW w:w="2940" w:type="dxa"/>
            <w:vAlign w:val="bottom"/>
          </w:tcPr>
          <w:p>
            <w:pPr>
              <w:jc w:val="right"/>
              <w:ind w:right="972"/>
              <w:spacing w:after="0"/>
              <w:rPr>
                <w:sz w:val="20"/>
                <w:szCs w:val="20"/>
                <w:color w:val="auto"/>
              </w:rPr>
            </w:pPr>
            <w:r>
              <w:rPr>
                <w:rFonts w:ascii="Arial" w:cs="Arial" w:eastAsia="Arial" w:hAnsi="Arial"/>
                <w:sz w:val="22"/>
                <w:szCs w:val="22"/>
                <w:color w:val="auto"/>
              </w:rPr>
              <w:t>41%</w:t>
            </w:r>
          </w:p>
        </w:tc>
        <w:tc>
          <w:tcPr>
            <w:tcW w:w="2420" w:type="dxa"/>
            <w:vAlign w:val="bottom"/>
          </w:tcPr>
          <w:p>
            <w:pPr>
              <w:jc w:val="center"/>
              <w:ind w:left="72"/>
              <w:spacing w:after="0"/>
              <w:rPr>
                <w:sz w:val="20"/>
                <w:szCs w:val="20"/>
                <w:color w:val="auto"/>
              </w:rPr>
            </w:pPr>
            <w:r>
              <w:rPr>
                <w:rFonts w:ascii="Arial" w:cs="Arial" w:eastAsia="Arial" w:hAnsi="Arial"/>
                <w:sz w:val="22"/>
                <w:szCs w:val="22"/>
                <w:color w:val="auto"/>
                <w:w w:val="90"/>
              </w:rPr>
              <w:t>34%</w:t>
            </w:r>
          </w:p>
        </w:tc>
      </w:tr>
      <w:tr>
        <w:trPr>
          <w:trHeight w:val="275"/>
        </w:trPr>
        <w:tc>
          <w:tcPr>
            <w:tcW w:w="2880" w:type="dxa"/>
            <w:vAlign w:val="bottom"/>
          </w:tcPr>
          <w:p>
            <w:pPr>
              <w:ind w:left="20"/>
              <w:spacing w:after="0"/>
              <w:rPr>
                <w:sz w:val="20"/>
                <w:szCs w:val="20"/>
                <w:color w:val="auto"/>
              </w:rPr>
            </w:pPr>
            <w:r>
              <w:rPr>
                <w:rFonts w:ascii="Arial" w:cs="Arial" w:eastAsia="Arial" w:hAnsi="Arial"/>
                <w:sz w:val="22"/>
                <w:szCs w:val="22"/>
                <w:color w:val="auto"/>
              </w:rPr>
              <w:t>Asia-Pacific</w:t>
            </w:r>
          </w:p>
        </w:tc>
        <w:tc>
          <w:tcPr>
            <w:tcW w:w="3180" w:type="dxa"/>
            <w:vAlign w:val="bottom"/>
          </w:tcPr>
          <w:p>
            <w:pPr>
              <w:jc w:val="center"/>
              <w:ind w:left="372"/>
              <w:spacing w:after="0"/>
              <w:rPr>
                <w:sz w:val="20"/>
                <w:szCs w:val="20"/>
                <w:color w:val="auto"/>
              </w:rPr>
            </w:pPr>
            <w:r>
              <w:rPr>
                <w:rFonts w:ascii="Arial" w:cs="Arial" w:eastAsia="Arial" w:hAnsi="Arial"/>
                <w:sz w:val="22"/>
                <w:szCs w:val="22"/>
                <w:color w:val="auto"/>
                <w:w w:val="95"/>
              </w:rPr>
              <w:t>$6.3 million</w:t>
            </w:r>
          </w:p>
        </w:tc>
        <w:tc>
          <w:tcPr>
            <w:tcW w:w="2940" w:type="dxa"/>
            <w:vAlign w:val="bottom"/>
          </w:tcPr>
          <w:p>
            <w:pPr>
              <w:jc w:val="right"/>
              <w:ind w:right="972"/>
              <w:spacing w:after="0"/>
              <w:rPr>
                <w:sz w:val="20"/>
                <w:szCs w:val="20"/>
                <w:color w:val="auto"/>
              </w:rPr>
            </w:pPr>
            <w:r>
              <w:rPr>
                <w:rFonts w:ascii="Arial" w:cs="Arial" w:eastAsia="Arial" w:hAnsi="Arial"/>
                <w:sz w:val="22"/>
                <w:szCs w:val="22"/>
                <w:color w:val="auto"/>
              </w:rPr>
              <w:t>29%</w:t>
            </w:r>
          </w:p>
        </w:tc>
        <w:tc>
          <w:tcPr>
            <w:tcW w:w="2420" w:type="dxa"/>
            <w:vAlign w:val="bottom"/>
          </w:tcPr>
          <w:p>
            <w:pPr>
              <w:jc w:val="center"/>
              <w:ind w:left="72"/>
              <w:spacing w:after="0"/>
              <w:rPr>
                <w:sz w:val="20"/>
                <w:szCs w:val="20"/>
                <w:color w:val="auto"/>
              </w:rPr>
            </w:pPr>
            <w:r>
              <w:rPr>
                <w:rFonts w:ascii="Arial" w:cs="Arial" w:eastAsia="Arial" w:hAnsi="Arial"/>
                <w:sz w:val="22"/>
                <w:szCs w:val="22"/>
                <w:color w:val="auto"/>
                <w:w w:val="90"/>
              </w:rPr>
              <w:t>23%</w:t>
            </w:r>
          </w:p>
        </w:tc>
      </w:tr>
    </w:tbl>
    <w:p>
      <w:pPr>
        <w:sectPr>
          <w:pgSz w:w="11900" w:h="16894" w:orient="portrait"/>
          <w:cols w:equalWidth="0" w:num="1">
            <w:col w:w="11420"/>
          </w:cols>
          <w:pgMar w:left="240" w:top="112" w:right="239" w:bottom="0" w:gutter="0" w:footer="0" w:header="0"/>
        </w:sectPr>
      </w:pPr>
    </w:p>
    <w:bookmarkStart w:id="5" w:name="page6"/>
    <w:bookmarkEnd w:id="5"/>
    <w:p>
      <w:pPr>
        <w:ind w:left="20"/>
        <w:spacing w:after="0"/>
        <w:tabs>
          <w:tab w:leader="none" w:pos="4220" w:val="left"/>
          <w:tab w:leader="none" w:pos="7380" w:val="left"/>
          <w:tab w:leader="none" w:pos="10180" w:val="left"/>
        </w:tabs>
        <w:rPr>
          <w:sz w:val="20"/>
          <w:szCs w:val="20"/>
          <w:color w:val="auto"/>
        </w:rPr>
      </w:pPr>
      <w:r>
        <w:rPr>
          <w:rFonts w:ascii="Arial" w:cs="Arial" w:eastAsia="Arial" w:hAnsi="Arial"/>
          <w:sz w:val="22"/>
          <w:szCs w:val="22"/>
          <w:color w:val="auto"/>
        </w:rPr>
        <w:t>Other</w:t>
      </w:r>
      <w:r>
        <w:rPr>
          <w:sz w:val="20"/>
          <w:szCs w:val="20"/>
          <w:color w:val="auto"/>
        </w:rPr>
        <w:tab/>
      </w:r>
      <w:r>
        <w:rPr>
          <w:rFonts w:ascii="Arial" w:cs="Arial" w:eastAsia="Arial" w:hAnsi="Arial"/>
          <w:sz w:val="22"/>
          <w:szCs w:val="22"/>
          <w:color w:val="auto"/>
        </w:rPr>
        <w:t>$.7 million</w:t>
      </w:r>
      <w:r>
        <w:rPr>
          <w:sz w:val="20"/>
          <w:szCs w:val="20"/>
          <w:color w:val="auto"/>
        </w:rPr>
        <w:tab/>
      </w:r>
      <w:r>
        <w:rPr>
          <w:rFonts w:ascii="Arial" w:cs="Arial" w:eastAsia="Arial" w:hAnsi="Arial"/>
          <w:sz w:val="22"/>
          <w:szCs w:val="22"/>
          <w:color w:val="auto"/>
        </w:rPr>
        <w:t>108%</w:t>
      </w:r>
      <w:r>
        <w:rPr>
          <w:sz w:val="20"/>
          <w:szCs w:val="20"/>
          <w:color w:val="auto"/>
        </w:rPr>
        <w:tab/>
      </w: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margin:</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GAAP product margin was 48.0% in the fourth quarter of 2017 compared with 52.1% in the prior year period. Non-GAAP product margin was 63.4% in the fourth quarter of 2017 compared with 69.6% in the prior year period. Non-GAAP product margin excludes the effects of amortization of developed technology, depreciation and amortization, and stock-based compensation expense (see the accompanying table for the reconciliation of GAAP and non-GAAP product margins).</w:t>
      </w:r>
    </w:p>
    <w:p>
      <w:pPr>
        <w:spacing w:after="0" w:line="17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year-over-year decrease in product margins was primarily due to increased genomics unit product costs from lower production volumes. The decrease in GAAP product margin was partially offset by fixed amortization of developed technology over higher revenues.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cash equivalents, and investments as of December 31, 2017:</w:t>
      </w:r>
    </w:p>
    <w:p>
      <w:pPr>
        <w:spacing w:after="0" w:line="239" w:lineRule="exact"/>
        <w:rPr>
          <w:sz w:val="20"/>
          <w:szCs w:val="20"/>
          <w:color w:val="auto"/>
        </w:rPr>
      </w:pPr>
    </w:p>
    <w:p>
      <w:pPr>
        <w:jc w:val="both"/>
        <w:ind w:right="380"/>
        <w:spacing w:after="0" w:line="297" w:lineRule="auto"/>
        <w:rPr>
          <w:sz w:val="20"/>
          <w:szCs w:val="20"/>
          <w:color w:val="auto"/>
        </w:rPr>
      </w:pPr>
      <w:r>
        <w:rPr>
          <w:rFonts w:ascii="Arial" w:cs="Arial" w:eastAsia="Arial" w:hAnsi="Arial"/>
          <w:sz w:val="19"/>
          <w:szCs w:val="19"/>
          <w:color w:val="auto"/>
        </w:rPr>
        <w:t>Cash, cash equivalents, and short-term investments as of December 31, 2017, were $63.1 million, including $3 million received under a litigation settlement in the fourth quarter. Cash, cash equivalents, and short-term investments as of September 30, 2017, were $62.4 million. Cash, cash equivalents, and short-term investments were $59.4 million as of December 31, 2016.</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2017 Performance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of $101.9 million by category:</w:t>
      </w:r>
    </w:p>
    <w:p>
      <w:pPr>
        <w:spacing w:after="0" w:line="212" w:lineRule="exact"/>
        <w:rPr>
          <w:sz w:val="20"/>
          <w:szCs w:val="20"/>
          <w:color w:val="auto"/>
        </w:rPr>
      </w:pPr>
    </w:p>
    <w:p>
      <w:pPr>
        <w:ind w:left="540" w:right="200"/>
        <w:spacing w:after="0" w:line="239" w:lineRule="auto"/>
        <w:rPr>
          <w:sz w:val="20"/>
          <w:szCs w:val="20"/>
          <w:color w:val="auto"/>
        </w:rPr>
      </w:pPr>
      <w:r>
        <w:rPr>
          <w:rFonts w:ascii="Arial" w:cs="Arial" w:eastAsia="Arial" w:hAnsi="Arial"/>
          <w:sz w:val="22"/>
          <w:szCs w:val="22"/>
          <w:color w:val="auto"/>
        </w:rPr>
        <w:t>Instrument revenue of $42.5 million decreased 9% from $46.8 million in 2016, primarily due to lower genomics instrument sales, partially offset by growth in mass cytometry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0"/>
        <w:spacing w:after="0" w:line="230" w:lineRule="auto"/>
        <w:rPr>
          <w:sz w:val="20"/>
          <w:szCs w:val="20"/>
          <w:color w:val="auto"/>
        </w:rPr>
      </w:pPr>
      <w:r>
        <w:rPr>
          <w:rFonts w:ascii="Arial" w:cs="Arial" w:eastAsia="Arial" w:hAnsi="Arial"/>
          <w:sz w:val="22"/>
          <w:szCs w:val="22"/>
          <w:color w:val="auto"/>
        </w:rPr>
        <w:t>Consumables revenue of $41.9 million decreased 1% from $42.2 million in 2016, primarily due to decreased genomics consumables sales, partially offset by continued strength in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Service revenue of $17.3 million increased 14% from $15.2 million in 2016, mainly due to increased service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revenue of $84.4 million by market:</w:t>
      </w:r>
    </w:p>
    <w:p>
      <w:pPr>
        <w:spacing w:after="0" w:line="212" w:lineRule="exact"/>
        <w:rPr>
          <w:sz w:val="20"/>
          <w:szCs w:val="20"/>
          <w:color w:val="auto"/>
        </w:rPr>
      </w:pPr>
    </w:p>
    <w:p>
      <w:pPr>
        <w:ind w:left="540" w:right="380"/>
        <w:spacing w:after="0" w:line="239" w:lineRule="auto"/>
        <w:rPr>
          <w:sz w:val="20"/>
          <w:szCs w:val="20"/>
          <w:color w:val="auto"/>
        </w:rPr>
      </w:pPr>
      <w:r>
        <w:rPr>
          <w:rFonts w:ascii="Arial" w:cs="Arial" w:eastAsia="Arial" w:hAnsi="Arial"/>
          <w:sz w:val="22"/>
          <w:szCs w:val="22"/>
          <w:color w:val="auto"/>
        </w:rPr>
        <w:t>Genomics product revenue of $44.8 million decreased 26% from $60.3 million in 2016, primarily due to reduced revenue from single-cell genomics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0"/>
        <w:spacing w:after="0" w:line="237" w:lineRule="auto"/>
        <w:rPr>
          <w:sz w:val="20"/>
          <w:szCs w:val="20"/>
          <w:color w:val="auto"/>
        </w:rPr>
      </w:pPr>
      <w:r>
        <w:rPr>
          <w:rFonts w:ascii="Arial" w:cs="Arial" w:eastAsia="Arial" w:hAnsi="Arial"/>
          <w:sz w:val="22"/>
          <w:szCs w:val="22"/>
          <w:color w:val="auto"/>
        </w:rPr>
        <w:t>Mass cytometry product revenue of $39.6 million increased 38% from $28.7 million in 2016 driven by increased revenue from both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by geographic area:</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8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Geographic Area</w:t>
            </w:r>
          </w:p>
        </w:tc>
        <w:tc>
          <w:tcPr>
            <w:tcW w:w="3180" w:type="dxa"/>
            <w:vAlign w:val="bottom"/>
            <w:tcBorders>
              <w:top w:val="single" w:sz="8" w:color="auto"/>
            </w:tcBorders>
          </w:tcPr>
          <w:p>
            <w:pPr>
              <w:ind w:left="1280"/>
              <w:spacing w:after="0" w:line="243" w:lineRule="exact"/>
              <w:rPr>
                <w:sz w:val="20"/>
                <w:szCs w:val="20"/>
                <w:color w:val="auto"/>
              </w:rPr>
            </w:pPr>
            <w:r>
              <w:rPr>
                <w:rFonts w:ascii="Arial" w:cs="Arial" w:eastAsia="Arial" w:hAnsi="Arial"/>
                <w:sz w:val="22"/>
                <w:szCs w:val="22"/>
                <w:b w:val="1"/>
                <w:bCs w:val="1"/>
                <w:color w:val="auto"/>
              </w:rPr>
              <w:t>Revenue by</w:t>
            </w:r>
          </w:p>
        </w:tc>
        <w:tc>
          <w:tcPr>
            <w:tcW w:w="2940" w:type="dxa"/>
            <w:vAlign w:val="bottom"/>
            <w:tcBorders>
              <w:top w:val="single" w:sz="8" w:color="auto"/>
            </w:tcBorders>
          </w:tcPr>
          <w:p>
            <w:pPr>
              <w:jc w:val="right"/>
              <w:ind w:right="652"/>
              <w:spacing w:after="0" w:line="243" w:lineRule="exact"/>
              <w:rPr>
                <w:sz w:val="20"/>
                <w:szCs w:val="20"/>
                <w:color w:val="auto"/>
              </w:rPr>
            </w:pPr>
            <w:r>
              <w:rPr>
                <w:rFonts w:ascii="Arial" w:cs="Arial" w:eastAsia="Arial" w:hAnsi="Arial"/>
                <w:sz w:val="22"/>
                <w:szCs w:val="22"/>
                <w:b w:val="1"/>
                <w:bCs w:val="1"/>
                <w:color w:val="auto"/>
              </w:rPr>
              <w:t>Year-over-Year</w:t>
            </w:r>
          </w:p>
        </w:tc>
        <w:tc>
          <w:tcPr>
            <w:tcW w:w="2420" w:type="dxa"/>
            <w:vAlign w:val="bottom"/>
            <w:tcBorders>
              <w:top w:val="single" w:sz="8" w:color="auto"/>
            </w:tcBorders>
          </w:tcPr>
          <w:p>
            <w:pPr>
              <w:jc w:val="right"/>
              <w:ind w:right="572"/>
              <w:spacing w:after="0" w:line="243" w:lineRule="exact"/>
              <w:rPr>
                <w:sz w:val="20"/>
                <w:szCs w:val="20"/>
                <w:color w:val="auto"/>
              </w:rPr>
            </w:pPr>
            <w:r>
              <w:rPr>
                <w:rFonts w:ascii="Arial" w:cs="Arial" w:eastAsia="Arial" w:hAnsi="Arial"/>
                <w:sz w:val="22"/>
                <w:szCs w:val="22"/>
                <w:b w:val="1"/>
                <w:bCs w:val="1"/>
                <w:color w:val="auto"/>
              </w:rPr>
              <w:t>% of Total</w:t>
            </w:r>
          </w:p>
        </w:tc>
      </w:tr>
      <w:tr>
        <w:trPr>
          <w:trHeight w:val="282"/>
        </w:trPr>
        <w:tc>
          <w:tcPr>
            <w:tcW w:w="2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center"/>
              <w:ind w:left="392"/>
              <w:spacing w:after="0"/>
              <w:rPr>
                <w:sz w:val="20"/>
                <w:szCs w:val="20"/>
                <w:color w:val="auto"/>
              </w:rPr>
            </w:pPr>
            <w:r>
              <w:rPr>
                <w:rFonts w:ascii="Arial" w:cs="Arial" w:eastAsia="Arial" w:hAnsi="Arial"/>
                <w:sz w:val="22"/>
                <w:szCs w:val="22"/>
                <w:b w:val="1"/>
                <w:bCs w:val="1"/>
                <w:color w:val="auto"/>
                <w:w w:val="89"/>
              </w:rPr>
              <w:t>Geography</w:t>
            </w:r>
          </w:p>
        </w:tc>
        <w:tc>
          <w:tcPr>
            <w:tcW w:w="294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b w:val="1"/>
                <w:bCs w:val="1"/>
                <w:color w:val="auto"/>
              </w:rPr>
              <w:t>Change</w:t>
            </w:r>
          </w:p>
        </w:tc>
        <w:tc>
          <w:tcPr>
            <w:tcW w:w="242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Revenue</w:t>
            </w:r>
          </w:p>
        </w:tc>
      </w:tr>
      <w:tr>
        <w:trPr>
          <w:trHeight w:val="257"/>
        </w:trPr>
        <w:tc>
          <w:tcPr>
            <w:tcW w:w="2880" w:type="dxa"/>
            <w:vAlign w:val="bottom"/>
          </w:tcPr>
          <w:p>
            <w:pPr>
              <w:ind w:left="20"/>
              <w:spacing w:after="0"/>
              <w:rPr>
                <w:sz w:val="20"/>
                <w:szCs w:val="20"/>
                <w:color w:val="auto"/>
              </w:rPr>
            </w:pPr>
            <w:r>
              <w:rPr>
                <w:rFonts w:ascii="Arial" w:cs="Arial" w:eastAsia="Arial" w:hAnsi="Arial"/>
                <w:sz w:val="22"/>
                <w:szCs w:val="22"/>
                <w:color w:val="auto"/>
              </w:rPr>
              <w:t>United States</w:t>
            </w:r>
          </w:p>
        </w:tc>
        <w:tc>
          <w:tcPr>
            <w:tcW w:w="3180" w:type="dxa"/>
            <w:vAlign w:val="bottom"/>
          </w:tcPr>
          <w:p>
            <w:pPr>
              <w:jc w:val="center"/>
              <w:ind w:left="392"/>
              <w:spacing w:after="0"/>
              <w:rPr>
                <w:sz w:val="20"/>
                <w:szCs w:val="20"/>
                <w:color w:val="auto"/>
              </w:rPr>
            </w:pPr>
            <w:r>
              <w:rPr>
                <w:rFonts w:ascii="Arial" w:cs="Arial" w:eastAsia="Arial" w:hAnsi="Arial"/>
                <w:sz w:val="22"/>
                <w:szCs w:val="22"/>
                <w:color w:val="auto"/>
                <w:w w:val="93"/>
              </w:rPr>
              <w:t>$45.8 million</w:t>
            </w:r>
          </w:p>
        </w:tc>
        <w:tc>
          <w:tcPr>
            <w:tcW w:w="2940" w:type="dxa"/>
            <w:vAlign w:val="bottom"/>
          </w:tcPr>
          <w:p>
            <w:pPr>
              <w:jc w:val="right"/>
              <w:ind w:right="992"/>
              <w:spacing w:after="0"/>
              <w:rPr>
                <w:sz w:val="20"/>
                <w:szCs w:val="20"/>
                <w:color w:val="auto"/>
              </w:rPr>
            </w:pPr>
            <w:r>
              <w:rPr>
                <w:rFonts w:ascii="Arial" w:cs="Arial" w:eastAsia="Arial" w:hAnsi="Arial"/>
                <w:sz w:val="22"/>
                <w:szCs w:val="22"/>
                <w:color w:val="auto"/>
              </w:rPr>
              <w:t>(13%)</w:t>
            </w:r>
          </w:p>
        </w:tc>
        <w:tc>
          <w:tcPr>
            <w:tcW w:w="2420" w:type="dxa"/>
            <w:vAlign w:val="bottom"/>
          </w:tcPr>
          <w:p>
            <w:pPr>
              <w:jc w:val="right"/>
              <w:ind w:right="812"/>
              <w:spacing w:after="0"/>
              <w:rPr>
                <w:sz w:val="20"/>
                <w:szCs w:val="20"/>
                <w:color w:val="auto"/>
              </w:rPr>
            </w:pPr>
            <w:r>
              <w:rPr>
                <w:rFonts w:ascii="Arial" w:cs="Arial" w:eastAsia="Arial" w:hAnsi="Arial"/>
                <w:sz w:val="22"/>
                <w:szCs w:val="22"/>
                <w:color w:val="auto"/>
              </w:rPr>
              <w:t>45%</w:t>
            </w:r>
          </w:p>
        </w:tc>
      </w:tr>
      <w:tr>
        <w:trPr>
          <w:trHeight w:val="270"/>
        </w:trPr>
        <w:tc>
          <w:tcPr>
            <w:tcW w:w="2880" w:type="dxa"/>
            <w:vAlign w:val="bottom"/>
          </w:tcPr>
          <w:p>
            <w:pPr>
              <w:ind w:left="20"/>
              <w:spacing w:after="0"/>
              <w:rPr>
                <w:sz w:val="20"/>
                <w:szCs w:val="20"/>
                <w:color w:val="auto"/>
              </w:rPr>
            </w:pPr>
            <w:r>
              <w:rPr>
                <w:rFonts w:ascii="Arial" w:cs="Arial" w:eastAsia="Arial" w:hAnsi="Arial"/>
                <w:sz w:val="22"/>
                <w:szCs w:val="22"/>
                <w:color w:val="auto"/>
              </w:rPr>
              <w:t>Europe</w:t>
            </w:r>
          </w:p>
        </w:tc>
        <w:tc>
          <w:tcPr>
            <w:tcW w:w="3180" w:type="dxa"/>
            <w:vAlign w:val="bottom"/>
          </w:tcPr>
          <w:p>
            <w:pPr>
              <w:jc w:val="center"/>
              <w:ind w:left="392"/>
              <w:spacing w:after="0"/>
              <w:rPr>
                <w:sz w:val="20"/>
                <w:szCs w:val="20"/>
                <w:color w:val="auto"/>
              </w:rPr>
            </w:pPr>
            <w:r>
              <w:rPr>
                <w:rFonts w:ascii="Arial" w:cs="Arial" w:eastAsia="Arial" w:hAnsi="Arial"/>
                <w:sz w:val="22"/>
                <w:szCs w:val="22"/>
                <w:color w:val="auto"/>
                <w:w w:val="93"/>
              </w:rPr>
              <w:t>$32.6 million</w:t>
            </w:r>
          </w:p>
        </w:tc>
        <w:tc>
          <w:tcPr>
            <w:tcW w:w="2940" w:type="dxa"/>
            <w:vAlign w:val="bottom"/>
          </w:tcPr>
          <w:p>
            <w:pPr>
              <w:jc w:val="right"/>
              <w:ind w:right="1052"/>
              <w:spacing w:after="0"/>
              <w:rPr>
                <w:sz w:val="20"/>
                <w:szCs w:val="20"/>
                <w:color w:val="auto"/>
              </w:rPr>
            </w:pPr>
            <w:r>
              <w:rPr>
                <w:rFonts w:ascii="Arial" w:cs="Arial" w:eastAsia="Arial" w:hAnsi="Arial"/>
                <w:sz w:val="22"/>
                <w:szCs w:val="22"/>
                <w:color w:val="auto"/>
              </w:rPr>
              <w:t>10%</w:t>
            </w:r>
          </w:p>
        </w:tc>
        <w:tc>
          <w:tcPr>
            <w:tcW w:w="2420" w:type="dxa"/>
            <w:vAlign w:val="bottom"/>
          </w:tcPr>
          <w:p>
            <w:pPr>
              <w:jc w:val="right"/>
              <w:ind w:right="812"/>
              <w:spacing w:after="0"/>
              <w:rPr>
                <w:sz w:val="20"/>
                <w:szCs w:val="20"/>
                <w:color w:val="auto"/>
              </w:rPr>
            </w:pPr>
            <w:r>
              <w:rPr>
                <w:rFonts w:ascii="Arial" w:cs="Arial" w:eastAsia="Arial" w:hAnsi="Arial"/>
                <w:sz w:val="22"/>
                <w:szCs w:val="22"/>
                <w:color w:val="auto"/>
              </w:rPr>
              <w:t>32%</w:t>
            </w:r>
          </w:p>
        </w:tc>
      </w:tr>
      <w:tr>
        <w:trPr>
          <w:trHeight w:val="270"/>
        </w:trPr>
        <w:tc>
          <w:tcPr>
            <w:tcW w:w="2880" w:type="dxa"/>
            <w:vAlign w:val="bottom"/>
          </w:tcPr>
          <w:p>
            <w:pPr>
              <w:ind w:left="20"/>
              <w:spacing w:after="0"/>
              <w:rPr>
                <w:sz w:val="20"/>
                <w:szCs w:val="20"/>
                <w:color w:val="auto"/>
              </w:rPr>
            </w:pPr>
            <w:r>
              <w:rPr>
                <w:rFonts w:ascii="Arial" w:cs="Arial" w:eastAsia="Arial" w:hAnsi="Arial"/>
                <w:sz w:val="22"/>
                <w:szCs w:val="22"/>
                <w:color w:val="auto"/>
              </w:rPr>
              <w:t>Asia-Pacific</w:t>
            </w:r>
          </w:p>
        </w:tc>
        <w:tc>
          <w:tcPr>
            <w:tcW w:w="3180" w:type="dxa"/>
            <w:vAlign w:val="bottom"/>
          </w:tcPr>
          <w:p>
            <w:pPr>
              <w:jc w:val="center"/>
              <w:ind w:left="392"/>
              <w:spacing w:after="0"/>
              <w:rPr>
                <w:sz w:val="20"/>
                <w:szCs w:val="20"/>
                <w:color w:val="auto"/>
              </w:rPr>
            </w:pPr>
            <w:r>
              <w:rPr>
                <w:rFonts w:ascii="Arial" w:cs="Arial" w:eastAsia="Arial" w:hAnsi="Arial"/>
                <w:sz w:val="22"/>
                <w:szCs w:val="22"/>
                <w:color w:val="auto"/>
                <w:w w:val="93"/>
              </w:rPr>
              <w:t>$20.0 million</w:t>
            </w:r>
          </w:p>
        </w:tc>
        <w:tc>
          <w:tcPr>
            <w:tcW w:w="2940" w:type="dxa"/>
            <w:vAlign w:val="bottom"/>
          </w:tcPr>
          <w:p>
            <w:pPr>
              <w:jc w:val="right"/>
              <w:ind w:right="1052"/>
              <w:spacing w:after="0"/>
              <w:rPr>
                <w:sz w:val="20"/>
                <w:szCs w:val="20"/>
                <w:color w:val="auto"/>
              </w:rPr>
            </w:pPr>
            <w:r>
              <w:rPr>
                <w:rFonts w:ascii="Arial" w:cs="Arial" w:eastAsia="Arial" w:hAnsi="Arial"/>
                <w:sz w:val="22"/>
                <w:szCs w:val="22"/>
                <w:color w:val="auto"/>
              </w:rPr>
              <w:t>8%</w:t>
            </w:r>
          </w:p>
        </w:tc>
        <w:tc>
          <w:tcPr>
            <w:tcW w:w="2420" w:type="dxa"/>
            <w:vAlign w:val="bottom"/>
          </w:tcPr>
          <w:p>
            <w:pPr>
              <w:jc w:val="right"/>
              <w:ind w:right="812"/>
              <w:spacing w:after="0"/>
              <w:rPr>
                <w:sz w:val="20"/>
                <w:szCs w:val="20"/>
                <w:color w:val="auto"/>
              </w:rPr>
            </w:pPr>
            <w:r>
              <w:rPr>
                <w:rFonts w:ascii="Arial" w:cs="Arial" w:eastAsia="Arial" w:hAnsi="Arial"/>
                <w:sz w:val="22"/>
                <w:szCs w:val="22"/>
                <w:color w:val="auto"/>
              </w:rPr>
              <w:t>20%</w:t>
            </w:r>
          </w:p>
        </w:tc>
      </w:tr>
      <w:tr>
        <w:trPr>
          <w:trHeight w:val="27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w:t>
            </w:r>
          </w:p>
        </w:tc>
        <w:tc>
          <w:tcPr>
            <w:tcW w:w="3180" w:type="dxa"/>
            <w:vAlign w:val="bottom"/>
            <w:tcBorders>
              <w:bottom w:val="single" w:sz="8" w:color="auto"/>
            </w:tcBorders>
          </w:tcPr>
          <w:p>
            <w:pPr>
              <w:jc w:val="center"/>
              <w:ind w:left="372"/>
              <w:spacing w:after="0"/>
              <w:rPr>
                <w:sz w:val="20"/>
                <w:szCs w:val="20"/>
                <w:color w:val="auto"/>
              </w:rPr>
            </w:pPr>
            <w:r>
              <w:rPr>
                <w:rFonts w:ascii="Arial" w:cs="Arial" w:eastAsia="Arial" w:hAnsi="Arial"/>
                <w:sz w:val="22"/>
                <w:szCs w:val="22"/>
                <w:color w:val="auto"/>
                <w:w w:val="95"/>
              </w:rPr>
              <w:t>$3.5 million</w:t>
            </w:r>
          </w:p>
        </w:tc>
        <w:tc>
          <w:tcPr>
            <w:tcW w:w="2940" w:type="dxa"/>
            <w:vAlign w:val="bottom"/>
            <w:tcBorders>
              <w:bottom w:val="single" w:sz="8" w:color="auto"/>
            </w:tcBorders>
          </w:tcPr>
          <w:p>
            <w:pPr>
              <w:jc w:val="right"/>
              <w:ind w:right="992"/>
              <w:spacing w:after="0"/>
              <w:rPr>
                <w:sz w:val="20"/>
                <w:szCs w:val="20"/>
                <w:color w:val="auto"/>
              </w:rPr>
            </w:pPr>
            <w:r>
              <w:rPr>
                <w:rFonts w:ascii="Arial" w:cs="Arial" w:eastAsia="Arial" w:hAnsi="Arial"/>
                <w:sz w:val="22"/>
                <w:szCs w:val="22"/>
                <w:color w:val="auto"/>
              </w:rPr>
              <w:t>(3%)</w:t>
            </w:r>
          </w:p>
        </w:tc>
        <w:tc>
          <w:tcPr>
            <w:tcW w:w="2420" w:type="dxa"/>
            <w:vAlign w:val="bottom"/>
            <w:tcBorders>
              <w:bottom w:val="single" w:sz="8" w:color="auto"/>
            </w:tcBorders>
          </w:tcPr>
          <w:p>
            <w:pPr>
              <w:jc w:val="right"/>
              <w:ind w:right="812"/>
              <w:spacing w:after="0"/>
              <w:rPr>
                <w:sz w:val="20"/>
                <w:szCs w:val="20"/>
                <w:color w:val="auto"/>
              </w:rPr>
            </w:pPr>
            <w:r>
              <w:rPr>
                <w:rFonts w:ascii="Arial" w:cs="Arial" w:eastAsia="Arial" w:hAnsi="Arial"/>
                <w:sz w:val="22"/>
                <w:szCs w:val="22"/>
                <w:color w:val="auto"/>
              </w:rPr>
              <w:t>3%</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Approximate active installed base at year-end:</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Active Installed Base</w:t>
            </w:r>
          </w:p>
        </w:tc>
        <w:tc>
          <w:tcPr>
            <w:tcW w:w="1620" w:type="dxa"/>
            <w:vAlign w:val="bottom"/>
            <w:tcBorders>
              <w:top w:val="single" w:sz="8" w:color="auto"/>
              <w:bottom w:val="single" w:sz="8" w:color="auto"/>
              <w:right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2017</w:t>
            </w:r>
          </w:p>
        </w:tc>
      </w:tr>
      <w:tr>
        <w:trPr>
          <w:trHeight w:val="264"/>
        </w:trPr>
        <w:tc>
          <w:tcPr>
            <w:tcW w:w="9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Access Array™ and Juno™</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245</w:t>
            </w:r>
          </w:p>
        </w:tc>
      </w:tr>
      <w:tr>
        <w:trPr>
          <w:trHeight w:val="264"/>
        </w:trPr>
        <w:tc>
          <w:tcPr>
            <w:tcW w:w="9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Biomark™/Biomark HD and EP1™</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560</w:t>
            </w:r>
          </w:p>
        </w:tc>
      </w:tr>
      <w:tr>
        <w:trPr>
          <w:trHeight w:val="264"/>
        </w:trPr>
        <w:tc>
          <w:tcPr>
            <w:tcW w:w="9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C1™</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305</w:t>
            </w:r>
          </w:p>
        </w:tc>
      </w:tr>
      <w:tr>
        <w:trPr>
          <w:trHeight w:val="264"/>
        </w:trPr>
        <w:tc>
          <w:tcPr>
            <w:tcW w:w="9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Mass Cytometry</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200</w:t>
            </w:r>
          </w:p>
        </w:tc>
      </w:tr>
      <w:tr>
        <w:trPr>
          <w:trHeight w:val="264"/>
        </w:trPr>
        <w:tc>
          <w:tcPr>
            <w:tcW w:w="9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 Instruments</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1,310</w:t>
            </w:r>
          </w:p>
        </w:tc>
      </w:tr>
    </w:tbl>
    <w:p>
      <w:pPr>
        <w:spacing w:after="0" w:line="200" w:lineRule="exact"/>
        <w:rPr>
          <w:sz w:val="20"/>
          <w:szCs w:val="20"/>
          <w:color w:val="auto"/>
        </w:rPr>
      </w:pPr>
    </w:p>
    <w:p>
      <w:pPr>
        <w:spacing w:after="0" w:line="265"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The active installed base excludes instruments: (i) sold over six quarters ago and (ii) for which customers have not purchased consumables in the last six quarters. As a reference, the total installed base was approximately 1,340 at the end of 2016.</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2017 Operational Highlights and Progress on Strategic Priorities</w:t>
      </w:r>
    </w:p>
    <w:p>
      <w:pPr>
        <w:sectPr>
          <w:pgSz w:w="11900" w:h="16838" w:orient="portrait"/>
          <w:cols w:equalWidth="0" w:num="1">
            <w:col w:w="11440"/>
          </w:cols>
          <w:pgMar w:left="240" w:top="118" w:right="219" w:bottom="19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Foster Innovation and Partnerships</w:t>
      </w:r>
    </w:p>
    <w:p>
      <w:pPr>
        <w:sectPr>
          <w:pgSz w:w="11900" w:h="16838" w:orient="portrait"/>
          <w:cols w:equalWidth="0" w:num="1">
            <w:col w:w="11440"/>
          </w:cols>
          <w:pgMar w:left="240" w:top="118" w:right="219" w:bottom="190" w:gutter="0" w:footer="0" w:header="0"/>
          <w:type w:val="continuous"/>
        </w:sectPr>
      </w:pPr>
    </w:p>
    <w:bookmarkStart w:id="6" w:name="page7"/>
    <w:bookmarkEnd w:id="6"/>
    <w:p>
      <w:pPr>
        <w:spacing w:after="0" w:line="13" w:lineRule="exact"/>
        <w:rPr>
          <w:sz w:val="20"/>
          <w:szCs w:val="20"/>
          <w:color w:val="auto"/>
        </w:rPr>
      </w:pPr>
    </w:p>
    <w:p>
      <w:pPr>
        <w:ind w:left="540" w:right="120"/>
        <w:spacing w:after="0" w:line="236" w:lineRule="auto"/>
        <w:rPr>
          <w:sz w:val="20"/>
          <w:szCs w:val="20"/>
          <w:color w:val="auto"/>
        </w:rPr>
      </w:pPr>
      <w:r>
        <w:rPr>
          <w:rFonts w:ascii="Arial" w:cs="Arial" w:eastAsia="Arial" w:hAnsi="Arial"/>
          <w:sz w:val="22"/>
          <w:szCs w:val="22"/>
          <w:color w:val="auto"/>
        </w:rPr>
        <w:t>The company signed a multiyear agreement with Ascendas Genomics to support development of molecular diagnostics in China. Ascendas Genomics is developing and commercializing systems and assays using microfluidic technologies included in the Fluidigm Biomark HD and Juno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40"/>
        <w:spacing w:after="0" w:line="230" w:lineRule="auto"/>
        <w:rPr>
          <w:sz w:val="20"/>
          <w:szCs w:val="20"/>
          <w:color w:val="auto"/>
        </w:rPr>
      </w:pPr>
      <w:r>
        <w:rPr>
          <w:rFonts w:ascii="Arial" w:cs="Arial" w:eastAsia="Arial" w:hAnsi="Arial"/>
          <w:sz w:val="22"/>
          <w:szCs w:val="22"/>
          <w:color w:val="auto"/>
        </w:rPr>
        <w:t>Fluidigm entered into a distribution agreement with the University of Zurich to offer histoCAT™ software for multiparameter tissue analysis. The company obtained the rights to globally distribute histoCAT in conjunction with the Hyperion Imaging System. The software enables the identification of unique cellular social networks across a range of disease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0" w:lineRule="auto"/>
        <w:rPr>
          <w:sz w:val="20"/>
          <w:szCs w:val="20"/>
          <w:color w:val="auto"/>
        </w:rPr>
      </w:pPr>
      <w:r>
        <w:rPr>
          <w:rFonts w:ascii="Arial" w:cs="Arial" w:eastAsia="Arial" w:hAnsi="Arial"/>
          <w:sz w:val="22"/>
          <w:szCs w:val="22"/>
          <w:color w:val="auto"/>
        </w:rPr>
        <w:t>Fluidigm introduced the Advanta™ Immuno-Oncology Gene Expression Assay, a qPCR panel set that enables profiling of genes important in tumor immunobiology for translational research. Designed for use with the Biomark HD system, this focused panel set was optimized with input from leading academic research institutions and biopharma companies. Fluidigm and Baylor Genetics entered into a licensing agreement to offer a next-generation sequencing library prep assay enabling efficient sequencing of the cystic fibrosis transmembrane conductance regulator gene using the Juno automated microfluidic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-873760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-410210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3" w:lineRule="auto"/>
        <w:rPr>
          <w:sz w:val="20"/>
          <w:szCs w:val="20"/>
          <w:color w:val="auto"/>
        </w:rPr>
      </w:pPr>
      <w:r>
        <w:rPr>
          <w:rFonts w:ascii="Arial" w:cs="Arial" w:eastAsia="Arial" w:hAnsi="Arial"/>
          <w:sz w:val="22"/>
          <w:szCs w:val="22"/>
          <w:color w:val="auto"/>
        </w:rPr>
        <w:t>A major academic research entity completed an agreement with Fluidigm to be the first Mass Cytometry Center of Excellence. The center of excellence initiative is intended to develop and share suspension mass cytometry expertise. Under this initiative, researchers will work with Fluidigm to expand and refine training in mass cytometry operations and techniques as well as develop new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-573405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Increase Operational Efficiency and Reduce Costs</w:t>
      </w:r>
    </w:p>
    <w:p>
      <w:pPr>
        <w:spacing w:after="0" w:line="206" w:lineRule="exact"/>
        <w:rPr>
          <w:sz w:val="20"/>
          <w:szCs w:val="20"/>
          <w:color w:val="auto"/>
        </w:rPr>
      </w:pPr>
    </w:p>
    <w:p>
      <w:pPr>
        <w:ind w:left="540" w:right="20"/>
        <w:spacing w:after="0"/>
        <w:rPr>
          <w:sz w:val="20"/>
          <w:szCs w:val="20"/>
          <w:color w:val="auto"/>
        </w:rPr>
      </w:pPr>
      <w:r>
        <w:rPr>
          <w:rFonts w:ascii="Arial" w:cs="Arial" w:eastAsia="Arial" w:hAnsi="Arial"/>
          <w:sz w:val="22"/>
          <w:szCs w:val="22"/>
          <w:color w:val="auto"/>
        </w:rPr>
        <w:t>In 2017, Fluidigm focused on right-sizing its work force, facilities consolidation, vendor negotiation, and other operating expense reduction programs. For the full year 2017, operating expenses decreased by $21.3 million or 16% on a GAAP basis, and decreased $17.7 million or 15% on a non-GAAP basis, compared with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Improve Financial Discipline and Manage Cash Balance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 August 2017, we completed an “at-the-market” equity offering for aggregate net proceeds of approximately $28.8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Our total cash inflow in the fourth quarter was $0.8 million, including $3 million received under a litigation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2018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$24 million to $27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expenses of $27 million to $28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operating expenses of $24 million to $25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amortization expense of approximately $2.0 million and $1.0 million, respectively.</w:t>
      </w:r>
    </w:p>
    <w:p>
      <w:pPr>
        <w:ind w:left="540" w:right="660"/>
        <w:spacing w:after="0" w:line="237" w:lineRule="auto"/>
        <w:rPr>
          <w:sz w:val="20"/>
          <w:szCs w:val="20"/>
          <w:color w:val="auto"/>
        </w:rPr>
      </w:pPr>
      <w:r>
        <w:rPr>
          <w:rFonts w:ascii="Arial" w:cs="Arial" w:eastAsia="Arial" w:hAnsi="Arial"/>
          <w:sz w:val="22"/>
          <w:szCs w:val="22"/>
          <w:color w:val="auto"/>
        </w:rPr>
        <w:t>Total cash outflow of $12 million to $13 million, including annual incentive compensation payments and a half-yearly interest payment on our 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Projected annualized consumables pull-through for 2018</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4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Projected Annualized Pull-Through</w:t>
            </w:r>
          </w:p>
        </w:tc>
        <w:tc>
          <w:tcPr>
            <w:tcW w:w="5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Per Active Instrument/Year</w:t>
            </w:r>
          </w:p>
        </w:tc>
      </w:tr>
      <w:tr>
        <w:trPr>
          <w:trHeight w:val="264"/>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Access Array and Juno</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$22,000 to $27,000</w:t>
            </w:r>
          </w:p>
        </w:tc>
      </w:tr>
      <w:tr>
        <w:trPr>
          <w:trHeight w:val="264"/>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Biomark/Biomark HD and EP1</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$38,000 to $42,000</w:t>
            </w:r>
          </w:p>
        </w:tc>
      </w:tr>
      <w:tr>
        <w:trPr>
          <w:trHeight w:val="264"/>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C1</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$8,000 to $12,000</w:t>
            </w:r>
          </w:p>
        </w:tc>
      </w:tr>
      <w:tr>
        <w:trPr>
          <w:trHeight w:val="264"/>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Mass Cytometry</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$60,000 to $65,000</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Information</w:t>
      </w:r>
    </w:p>
    <w:p>
      <w:pPr>
        <w:spacing w:after="0" w:line="212" w:lineRule="exact"/>
        <w:rPr>
          <w:sz w:val="20"/>
          <w:szCs w:val="20"/>
          <w:color w:val="auto"/>
        </w:rPr>
      </w:pPr>
    </w:p>
    <w:p>
      <w:pPr>
        <w:jc w:val="both"/>
        <w:ind w:right="180"/>
        <w:spacing w:after="0" w:line="249" w:lineRule="auto"/>
        <w:rPr>
          <w:sz w:val="20"/>
          <w:szCs w:val="20"/>
          <w:color w:val="auto"/>
        </w:rPr>
      </w:pPr>
      <w:r>
        <w:rPr>
          <w:rFonts w:ascii="Arial" w:cs="Arial" w:eastAsia="Arial" w:hAnsi="Arial"/>
          <w:sz w:val="21"/>
          <w:szCs w:val="21"/>
          <w:color w:val="auto"/>
        </w:rPr>
        <w:t>Fluidigm will host a conference call at 2:00 p.m. PT (5:00 p.m. ET) today, February 8, to discuss fourth quarter and full year 2017 financial results and operational updates. Individuals interested in listening to the conference call may do so by dialing (877) 556-5248 for domestic callers, or (720) 545-0029 for international callers. Please reference Conference ID 4159848. Interested parties may access the live teleconference in the Investors section of the company’s website at http://investors.fluidigm.com/events.cfm. The link will not be active until 1:45 p.m. PT (4:45 p.m. ET) on February 8, 2018.</w:t>
      </w:r>
    </w:p>
    <w:p>
      <w:pPr>
        <w:spacing w:after="0" w:line="179" w:lineRule="exact"/>
        <w:rPr>
          <w:sz w:val="20"/>
          <w:szCs w:val="20"/>
          <w:color w:val="auto"/>
        </w:rPr>
      </w:pPr>
    </w:p>
    <w:p>
      <w:pPr>
        <w:jc w:val="both"/>
        <w:ind w:right="400"/>
        <w:spacing w:after="0"/>
        <w:rPr>
          <w:sz w:val="20"/>
          <w:szCs w:val="20"/>
          <w:color w:val="auto"/>
        </w:rPr>
      </w:pPr>
      <w:r>
        <w:rPr>
          <w:rFonts w:ascii="Arial" w:cs="Arial" w:eastAsia="Arial" w:hAnsi="Arial"/>
          <w:sz w:val="22"/>
          <w:szCs w:val="22"/>
          <w:color w:val="auto"/>
        </w:rPr>
        <w:t>A telephone replay of the teleconference will be available 90 minutes after the end of the call at (855) 859-2056 (domestic toll-free), or (404) 537-3406 (international toll), Conference ID 4159848. The conference call will also be archived on the Fluidigm Investors page at http://investors.fluidigm.com/.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three-and twelve-month periods ended December 31, 2017, and December 31, 2016, as well as projected for the first quarter of 2018.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expenses exclude estimates for stock-based compensation expense, depreciation, and</w:t>
      </w:r>
    </w:p>
    <w:p>
      <w:pPr>
        <w:sectPr>
          <w:pgSz w:w="11900" w:h="16851" w:orient="portrait"/>
          <w:cols w:equalWidth="0" w:num="1">
            <w:col w:w="11440"/>
          </w:cols>
          <w:pgMar w:left="240" w:top="118" w:right="219" w:bottom="0" w:gutter="0" w:footer="0" w:header="0"/>
        </w:sectPr>
      </w:pPr>
    </w:p>
    <w:bookmarkStart w:id="7" w:name="page8"/>
    <w:bookmarkEnd w:id="7"/>
    <w:p>
      <w:pPr>
        <w:ind w:right="260"/>
        <w:spacing w:after="0" w:line="274" w:lineRule="auto"/>
        <w:rPr>
          <w:sz w:val="20"/>
          <w:szCs w:val="20"/>
          <w:color w:val="auto"/>
        </w:rPr>
      </w:pPr>
      <w:r>
        <w:rPr>
          <w:rFonts w:ascii="Arial" w:cs="Arial" w:eastAsia="Arial" w:hAnsi="Arial"/>
          <w:sz w:val="19"/>
          <w:szCs w:val="19"/>
          <w:color w:val="auto"/>
        </w:rPr>
        <w:t>amortization; loss on disposal of property and equipment; future changes relating to developed and acquired technologies; other intangible assets; and income taxes, among other items, certain of which are presented in the table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4" w:lineRule="exact"/>
        <w:rPr>
          <w:sz w:val="20"/>
          <w:szCs w:val="20"/>
          <w:color w:val="auto"/>
        </w:rPr>
      </w:pPr>
    </w:p>
    <w:p>
      <w:pPr>
        <w:ind w:right="20"/>
        <w:spacing w:after="0" w:line="244"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expectations for growth and development in Fluidigm’s business lines, meeting financial commitments, strengthening Fluidigm’s balance sheet, improving customer experiences, expectations for the benefits of commercial agreements, cash flow expectations and cash management plans, and projected revenues, expenses, and cash flows for the first quarter of 2018.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risks relating to introductions of new products driving volatility in revenue from period to period; the future financial performance of Fluidigm product lines; challenges inherent in developing, manufacturing, launching, marketing, and selling new products; potential product performance and quality issues; the possible loss of key employees, customers, or suppliers; intellectual property risks; competition;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the Fluidigm Annual Report on Form 10-K for the year ended December 31, 2016, and in its other filings with the Securities and Exchange Commission, including the Fluidigm Quarterly Report on Form 10-Q for the quarter ended September 30, 2017. These forward-looking statements speak only as of the date hereof. Fluidigm disclaims any obligation to update these forward-looking statements except as may be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Fluidigm (NASDAQ:FLDM) develops, manufactures, and markets life science analytical and preparatory systems for markets such as mass cytometry, high-throughput genomics, and single-cell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1"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Fluidigm, the Fluidigm logo, Access Array, Advanta, Biomark, C1, EP1, Hyperion, Imaging Mass Cytometry, and Juno are trademarks and/or registered trademarks of Fluidigm Corporation. All other trademarks are the sole property of their respective owners.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38" w:lineRule="auto"/>
        <w:rPr>
          <w:sz w:val="20"/>
          <w:szCs w:val="20"/>
          <w:color w:val="auto"/>
        </w:rPr>
      </w:pPr>
      <w:r>
        <w:rPr>
          <w:rFonts w:ascii="Arial" w:cs="Arial" w:eastAsia="Arial" w:hAnsi="Arial"/>
          <w:sz w:val="22"/>
          <w:szCs w:val="22"/>
          <w:color w:val="auto"/>
        </w:rPr>
        <w:t>Ana Petrovic</w:t>
      </w:r>
    </w:p>
    <w:p>
      <w:pPr>
        <w:spacing w:after="0" w:line="230" w:lineRule="auto"/>
        <w:rPr>
          <w:sz w:val="20"/>
          <w:szCs w:val="20"/>
          <w:color w:val="auto"/>
        </w:rPr>
      </w:pPr>
      <w:r>
        <w:rPr>
          <w:rFonts w:ascii="Arial" w:cs="Arial" w:eastAsia="Arial" w:hAnsi="Arial"/>
          <w:sz w:val="22"/>
          <w:szCs w:val="22"/>
          <w:color w:val="auto"/>
        </w:rPr>
        <w:t>Director, Corporate Development and Investor Relations</w:t>
      </w:r>
    </w:p>
    <w:p>
      <w:pPr>
        <w:spacing w:after="0" w:line="231"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650 243 6628</w:t>
      </w:r>
    </w:p>
    <w:p>
      <w:pPr>
        <w:spacing w:after="0"/>
        <w:rPr>
          <w:sz w:val="20"/>
          <w:szCs w:val="20"/>
          <w:color w:val="auto"/>
        </w:rPr>
      </w:pPr>
      <w:r>
        <w:rPr>
          <w:rFonts w:ascii="Arial" w:cs="Arial" w:eastAsia="Arial" w:hAnsi="Arial"/>
          <w:sz w:val="22"/>
          <w:szCs w:val="22"/>
          <w:color w:val="auto"/>
        </w:rPr>
        <w:t>ana.petrovic@fluidigm.com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Senior Director, Corporate Communications</w:t>
      </w:r>
    </w:p>
    <w:p>
      <w:pPr>
        <w:spacing w:after="0" w:line="231"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650 243 6621</w:t>
      </w:r>
    </w:p>
    <w:p>
      <w:pPr>
        <w:spacing w:after="0"/>
        <w:rPr>
          <w:sz w:val="20"/>
          <w:szCs w:val="20"/>
          <w:color w:val="auto"/>
        </w:rPr>
      </w:pPr>
      <w:r>
        <w:rPr>
          <w:rFonts w:ascii="Arial" w:cs="Arial" w:eastAsia="Arial" w:hAnsi="Arial"/>
          <w:sz w:val="22"/>
          <w:szCs w:val="22"/>
          <w:color w:val="auto"/>
        </w:rPr>
        <w:t>mark.spearman@fluidigm.com</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ectPr>
          <w:pgSz w:w="11900" w:h="16838" w:orient="portrait"/>
          <w:cols w:equalWidth="0" w:num="1">
            <w:col w:w="11380"/>
          </w:cols>
          <w:pgMar w:left="240" w:top="118" w:right="27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1"/>
        </w:trPr>
        <w:tc>
          <w:tcPr>
            <w:tcW w:w="502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Arial" w:cs="Arial" w:eastAsia="Arial" w:hAnsi="Arial"/>
                <w:sz w:val="22"/>
                <w:szCs w:val="22"/>
                <w:b w:val="1"/>
                <w:bCs w:val="1"/>
                <w:color w:val="auto"/>
              </w:rPr>
              <w:t>(Unaudited)</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020" w:type="dxa"/>
            <w:vAlign w:val="bottom"/>
          </w:tcPr>
          <w:p>
            <w:pPr>
              <w:spacing w:after="0"/>
              <w:rPr>
                <w:sz w:val="24"/>
                <w:szCs w:val="24"/>
                <w:color w:val="auto"/>
              </w:rPr>
            </w:pPr>
          </w:p>
        </w:tc>
        <w:tc>
          <w:tcPr>
            <w:tcW w:w="3160" w:type="dxa"/>
            <w:vAlign w:val="bottom"/>
            <w:gridSpan w:val="6"/>
          </w:tcPr>
          <w:p>
            <w:pPr>
              <w:ind w:left="60"/>
              <w:spacing w:after="0"/>
              <w:rPr>
                <w:sz w:val="20"/>
                <w:szCs w:val="20"/>
                <w:color w:val="auto"/>
              </w:rPr>
            </w:pPr>
            <w:r>
              <w:rPr>
                <w:rFonts w:ascii="Arial" w:cs="Arial" w:eastAsia="Arial" w:hAnsi="Arial"/>
                <w:sz w:val="22"/>
                <w:szCs w:val="22"/>
                <w:b w:val="1"/>
                <w:bCs w:val="1"/>
                <w:color w:val="auto"/>
                <w:w w:val="93"/>
              </w:rPr>
              <w:t>Three Months Ended December</w:t>
            </w:r>
          </w:p>
        </w:tc>
        <w:tc>
          <w:tcPr>
            <w:tcW w:w="3220" w:type="dxa"/>
            <w:vAlign w:val="bottom"/>
            <w:gridSpan w:val="6"/>
          </w:tcPr>
          <w:p>
            <w:pPr>
              <w:ind w:left="80"/>
              <w:spacing w:after="0"/>
              <w:rPr>
                <w:sz w:val="20"/>
                <w:szCs w:val="20"/>
                <w:color w:val="auto"/>
              </w:rPr>
            </w:pPr>
            <w:r>
              <w:rPr>
                <w:rFonts w:ascii="Arial" w:cs="Arial" w:eastAsia="Arial" w:hAnsi="Arial"/>
                <w:sz w:val="22"/>
                <w:szCs w:val="22"/>
                <w:b w:val="1"/>
                <w:bCs w:val="1"/>
                <w:color w:val="auto"/>
                <w:w w:val="90"/>
              </w:rPr>
              <w:t>Twelve Months Ended December</w:t>
            </w:r>
          </w:p>
        </w:tc>
        <w:tc>
          <w:tcPr>
            <w:tcW w:w="0" w:type="dxa"/>
            <w:vAlign w:val="bottom"/>
          </w:tcPr>
          <w:p>
            <w:pPr>
              <w:spacing w:after="0"/>
              <w:rPr>
                <w:sz w:val="1"/>
                <w:szCs w:val="1"/>
                <w:color w:val="auto"/>
              </w:rPr>
            </w:pPr>
          </w:p>
        </w:tc>
      </w:tr>
      <w:tr>
        <w:trPr>
          <w:trHeight w:val="282"/>
        </w:trPr>
        <w:tc>
          <w:tcPr>
            <w:tcW w:w="5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22"/>
                <w:szCs w:val="22"/>
                <w:b w:val="1"/>
                <w:bCs w:val="1"/>
                <w:color w:val="auto"/>
              </w:rPr>
              <w:t>31,</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22"/>
                <w:szCs w:val="22"/>
                <w:b w:val="1"/>
                <w:bCs w:val="1"/>
                <w:color w:val="auto"/>
                <w:w w:val="84"/>
              </w:rPr>
              <w:t>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2017</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22"/>
                <w:szCs w:val="22"/>
                <w:color w:val="auto"/>
              </w:rPr>
              <w:t>Revenue:</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60"/>
              <w:spacing w:after="0"/>
              <w:rPr>
                <w:sz w:val="20"/>
                <w:szCs w:val="20"/>
                <w:color w:val="auto"/>
              </w:rPr>
            </w:pPr>
            <w:r>
              <w:rPr>
                <w:rFonts w:ascii="Arial" w:cs="Arial" w:eastAsia="Arial" w:hAnsi="Arial"/>
                <w:sz w:val="22"/>
                <w:szCs w:val="22"/>
                <w:color w:val="auto"/>
              </w:rPr>
              <w:t>Instruments</w:t>
            </w:r>
          </w:p>
        </w:tc>
        <w:tc>
          <w:tcPr>
            <w:tcW w:w="360" w:type="dxa"/>
            <w:vAlign w:val="bottom"/>
          </w:tcPr>
          <w:p>
            <w:pPr>
              <w:ind w:left="80"/>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11,322</w:t>
            </w:r>
          </w:p>
        </w:tc>
        <w:tc>
          <w:tcPr>
            <w:tcW w:w="100" w:type="dxa"/>
            <w:vAlign w:val="bottom"/>
          </w:tcPr>
          <w:p>
            <w:pPr>
              <w:spacing w:after="0"/>
              <w:rPr>
                <w:sz w:val="23"/>
                <w:szCs w:val="23"/>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10,652</w:t>
            </w:r>
          </w:p>
        </w:tc>
        <w:tc>
          <w:tcPr>
            <w:tcW w:w="80" w:type="dxa"/>
            <w:vAlign w:val="bottom"/>
          </w:tcPr>
          <w:p>
            <w:pPr>
              <w:spacing w:after="0"/>
              <w:rPr>
                <w:sz w:val="23"/>
                <w:szCs w:val="23"/>
                <w:color w:val="auto"/>
              </w:rPr>
            </w:pPr>
          </w:p>
        </w:tc>
        <w:tc>
          <w:tcPr>
            <w:tcW w:w="380" w:type="dxa"/>
            <w:vAlign w:val="bottom"/>
          </w:tcPr>
          <w:p>
            <w:pPr>
              <w:ind w:left="80"/>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42,505</w:t>
            </w:r>
          </w:p>
        </w:tc>
        <w:tc>
          <w:tcPr>
            <w:tcW w:w="540" w:type="dxa"/>
            <w:vAlign w:val="bottom"/>
            <w:gridSpan w:val="3"/>
          </w:tcPr>
          <w:p>
            <w:pPr>
              <w:jc w:val="right"/>
              <w:ind w:right="9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46,834</w:t>
            </w:r>
          </w:p>
        </w:tc>
        <w:tc>
          <w:tcPr>
            <w:tcW w:w="0" w:type="dxa"/>
            <w:vAlign w:val="bottom"/>
          </w:tcPr>
          <w:p>
            <w:pPr>
              <w:spacing w:after="0"/>
              <w:rPr>
                <w:sz w:val="1"/>
                <w:szCs w:val="1"/>
                <w:color w:val="auto"/>
              </w:rPr>
            </w:pPr>
          </w:p>
        </w:tc>
      </w:tr>
      <w:tr>
        <w:trPr>
          <w:trHeight w:val="275"/>
        </w:trPr>
        <w:tc>
          <w:tcPr>
            <w:tcW w:w="5020" w:type="dxa"/>
            <w:vAlign w:val="bottom"/>
          </w:tcPr>
          <w:p>
            <w:pPr>
              <w:ind w:left="160"/>
              <w:spacing w:after="0"/>
              <w:rPr>
                <w:sz w:val="20"/>
                <w:szCs w:val="20"/>
                <w:color w:val="auto"/>
              </w:rPr>
            </w:pPr>
            <w:r>
              <w:rPr>
                <w:rFonts w:ascii="Arial" w:cs="Arial" w:eastAsia="Arial" w:hAnsi="Arial"/>
                <w:sz w:val="22"/>
                <w:szCs w:val="22"/>
                <w:color w:val="auto"/>
              </w:rPr>
              <w:t>Consumables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11,694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10,256</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41,894</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42,169</w:t>
            </w:r>
          </w:p>
        </w:tc>
        <w:tc>
          <w:tcPr>
            <w:tcW w:w="0" w:type="dxa"/>
            <w:vAlign w:val="bottom"/>
          </w:tcPr>
          <w:p>
            <w:pPr>
              <w:spacing w:after="0"/>
              <w:rPr>
                <w:sz w:val="1"/>
                <w:szCs w:val="1"/>
                <w:color w:val="auto"/>
              </w:rPr>
            </w:pPr>
          </w:p>
        </w:tc>
      </w:tr>
      <w:tr>
        <w:trPr>
          <w:trHeight w:val="259"/>
        </w:trPr>
        <w:tc>
          <w:tcPr>
            <w:tcW w:w="5020" w:type="dxa"/>
            <w:vAlign w:val="bottom"/>
          </w:tcPr>
          <w:p>
            <w:pPr>
              <w:ind w:left="100"/>
              <w:spacing w:after="0"/>
              <w:rPr>
                <w:sz w:val="20"/>
                <w:szCs w:val="20"/>
                <w:color w:val="auto"/>
              </w:rPr>
            </w:pPr>
            <w:r>
              <w:rPr>
                <w:rFonts w:ascii="Arial" w:cs="Arial" w:eastAsia="Arial" w:hAnsi="Arial"/>
                <w:sz w:val="22"/>
                <w:szCs w:val="22"/>
                <w:color w:val="auto"/>
              </w:rPr>
              <w:t>Product revenue</w:t>
            </w:r>
          </w:p>
        </w:tc>
        <w:tc>
          <w:tcPr>
            <w:tcW w:w="3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23,016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20,908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84,399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89,003</w:t>
            </w:r>
          </w:p>
        </w:tc>
        <w:tc>
          <w:tcPr>
            <w:tcW w:w="0" w:type="dxa"/>
            <w:vAlign w:val="bottom"/>
          </w:tcPr>
          <w:p>
            <w:pPr>
              <w:spacing w:after="0"/>
              <w:rPr>
                <w:sz w:val="1"/>
                <w:szCs w:val="1"/>
                <w:color w:val="auto"/>
              </w:rPr>
            </w:pPr>
          </w:p>
        </w:tc>
      </w:tr>
      <w:tr>
        <w:trPr>
          <w:trHeight w:val="270"/>
        </w:trPr>
        <w:tc>
          <w:tcPr>
            <w:tcW w:w="5020" w:type="dxa"/>
            <w:vAlign w:val="bottom"/>
          </w:tcPr>
          <w:p>
            <w:pPr>
              <w:ind w:left="100"/>
              <w:spacing w:after="0"/>
              <w:rPr>
                <w:sz w:val="20"/>
                <w:szCs w:val="20"/>
                <w:color w:val="auto"/>
              </w:rPr>
            </w:pPr>
            <w:r>
              <w:rPr>
                <w:rFonts w:ascii="Arial" w:cs="Arial" w:eastAsia="Arial" w:hAnsi="Arial"/>
                <w:sz w:val="22"/>
                <w:szCs w:val="22"/>
                <w:color w:val="auto"/>
              </w:rPr>
              <w:t>Service revenue</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4,729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4,120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17,348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15,205</w:t>
            </w:r>
          </w:p>
        </w:tc>
        <w:tc>
          <w:tcPr>
            <w:tcW w:w="0" w:type="dxa"/>
            <w:vAlign w:val="bottom"/>
          </w:tcPr>
          <w:p>
            <w:pPr>
              <w:spacing w:after="0"/>
              <w:rPr>
                <w:sz w:val="1"/>
                <w:szCs w:val="1"/>
                <w:color w:val="auto"/>
              </w:rPr>
            </w:pPr>
          </w:p>
        </w:tc>
      </w:tr>
      <w:tr>
        <w:trPr>
          <w:trHeight w:val="275"/>
        </w:trPr>
        <w:tc>
          <w:tcPr>
            <w:tcW w:w="5020" w:type="dxa"/>
            <w:vAlign w:val="bottom"/>
          </w:tcPr>
          <w:p>
            <w:pPr>
              <w:ind w:left="100"/>
              <w:spacing w:after="0"/>
              <w:rPr>
                <w:sz w:val="20"/>
                <w:szCs w:val="20"/>
                <w:color w:val="auto"/>
              </w:rPr>
            </w:pPr>
            <w:r>
              <w:rPr>
                <w:rFonts w:ascii="Arial" w:cs="Arial" w:eastAsia="Arial" w:hAnsi="Arial"/>
                <w:sz w:val="22"/>
                <w:szCs w:val="22"/>
                <w:color w:val="auto"/>
              </w:rPr>
              <w:t>License revenue</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56</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190</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238</w:t>
            </w:r>
          </w:p>
        </w:tc>
        <w:tc>
          <w:tcPr>
            <w:tcW w:w="0" w:type="dxa"/>
            <w:vAlign w:val="bottom"/>
          </w:tcPr>
          <w:p>
            <w:pPr>
              <w:spacing w:after="0"/>
              <w:rPr>
                <w:sz w:val="1"/>
                <w:szCs w:val="1"/>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22"/>
                <w:szCs w:val="22"/>
                <w:color w:val="auto"/>
              </w:rPr>
              <w:t>Total revenue</w:t>
            </w:r>
          </w:p>
        </w:tc>
        <w:tc>
          <w:tcPr>
            <w:tcW w:w="3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27,745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25,084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101,937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104,446</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Costs and expenses: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00"/>
              <w:spacing w:after="0"/>
              <w:rPr>
                <w:sz w:val="20"/>
                <w:szCs w:val="20"/>
                <w:color w:val="auto"/>
              </w:rPr>
            </w:pPr>
            <w:r>
              <w:rPr>
                <w:rFonts w:ascii="Arial" w:cs="Arial" w:eastAsia="Arial" w:hAnsi="Arial"/>
                <w:sz w:val="22"/>
                <w:szCs w:val="22"/>
                <w:color w:val="auto"/>
              </w:rPr>
              <w:t>Cost of product revenue</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11,979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10,013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45,039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41,110</w:t>
            </w:r>
          </w:p>
        </w:tc>
        <w:tc>
          <w:tcPr>
            <w:tcW w:w="0" w:type="dxa"/>
            <w:vAlign w:val="bottom"/>
          </w:tcPr>
          <w:p>
            <w:pPr>
              <w:spacing w:after="0"/>
              <w:rPr>
                <w:sz w:val="1"/>
                <w:szCs w:val="1"/>
                <w:color w:val="auto"/>
              </w:rPr>
            </w:pPr>
          </w:p>
        </w:tc>
      </w:tr>
      <w:tr>
        <w:trPr>
          <w:trHeight w:val="270"/>
        </w:trPr>
        <w:tc>
          <w:tcPr>
            <w:tcW w:w="5020" w:type="dxa"/>
            <w:vAlign w:val="bottom"/>
          </w:tcPr>
          <w:p>
            <w:pPr>
              <w:ind w:left="100"/>
              <w:spacing w:after="0"/>
              <w:rPr>
                <w:sz w:val="20"/>
                <w:szCs w:val="20"/>
                <w:color w:val="auto"/>
              </w:rPr>
            </w:pPr>
            <w:r>
              <w:rPr>
                <w:rFonts w:ascii="Arial" w:cs="Arial" w:eastAsia="Arial" w:hAnsi="Arial"/>
                <w:sz w:val="22"/>
                <w:szCs w:val="22"/>
                <w:color w:val="auto"/>
              </w:rPr>
              <w:t>Cost of service revenue</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1,479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1,226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4,916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4,899</w:t>
            </w:r>
          </w:p>
        </w:tc>
        <w:tc>
          <w:tcPr>
            <w:tcW w:w="0" w:type="dxa"/>
            <w:vAlign w:val="bottom"/>
          </w:tcPr>
          <w:p>
            <w:pPr>
              <w:spacing w:after="0"/>
              <w:rPr>
                <w:sz w:val="1"/>
                <w:szCs w:val="1"/>
                <w:color w:val="auto"/>
              </w:rPr>
            </w:pPr>
          </w:p>
        </w:tc>
      </w:tr>
      <w:tr>
        <w:trPr>
          <w:trHeight w:val="270"/>
        </w:trPr>
        <w:tc>
          <w:tcPr>
            <w:tcW w:w="5020" w:type="dxa"/>
            <w:vAlign w:val="bottom"/>
          </w:tcPr>
          <w:p>
            <w:pPr>
              <w:ind w:left="100"/>
              <w:spacing w:after="0"/>
              <w:rPr>
                <w:sz w:val="20"/>
                <w:szCs w:val="20"/>
                <w:color w:val="auto"/>
              </w:rPr>
            </w:pPr>
            <w:r>
              <w:rPr>
                <w:rFonts w:ascii="Arial" w:cs="Arial" w:eastAsia="Arial" w:hAnsi="Arial"/>
                <w:sz w:val="22"/>
                <w:szCs w:val="22"/>
                <w:color w:val="auto"/>
              </w:rPr>
              <w:t>Research and development</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7,158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8,773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30,826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38,415</w:t>
            </w:r>
          </w:p>
        </w:tc>
        <w:tc>
          <w:tcPr>
            <w:tcW w:w="0" w:type="dxa"/>
            <w:vAlign w:val="bottom"/>
          </w:tcPr>
          <w:p>
            <w:pPr>
              <w:spacing w:after="0"/>
              <w:rPr>
                <w:sz w:val="1"/>
                <w:szCs w:val="1"/>
                <w:color w:val="auto"/>
              </w:rPr>
            </w:pPr>
          </w:p>
        </w:tc>
      </w:tr>
      <w:tr>
        <w:trPr>
          <w:trHeight w:val="275"/>
        </w:trPr>
        <w:tc>
          <w:tcPr>
            <w:tcW w:w="5020" w:type="dxa"/>
            <w:vAlign w:val="bottom"/>
          </w:tcPr>
          <w:p>
            <w:pPr>
              <w:ind w:left="100"/>
              <w:spacing w:after="0"/>
              <w:rPr>
                <w:sz w:val="20"/>
                <w:szCs w:val="20"/>
                <w:color w:val="auto"/>
              </w:rPr>
            </w:pPr>
            <w:r>
              <w:rPr>
                <w:rFonts w:ascii="Arial" w:cs="Arial" w:eastAsia="Arial" w:hAnsi="Arial"/>
                <w:sz w:val="22"/>
                <w:szCs w:val="22"/>
                <w:color w:val="auto"/>
              </w:rPr>
              <w:t>Selling, general and administrative</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15,863</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22,769</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79,516</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93,212</w:t>
            </w:r>
          </w:p>
        </w:tc>
        <w:tc>
          <w:tcPr>
            <w:tcW w:w="0" w:type="dxa"/>
            <w:vAlign w:val="bottom"/>
          </w:tcPr>
          <w:p>
            <w:pPr>
              <w:spacing w:after="0"/>
              <w:rPr>
                <w:sz w:val="1"/>
                <w:szCs w:val="1"/>
                <w:color w:val="auto"/>
              </w:rPr>
            </w:pPr>
          </w:p>
        </w:tc>
      </w:tr>
      <w:tr>
        <w:trPr>
          <w:trHeight w:val="267"/>
        </w:trPr>
        <w:tc>
          <w:tcPr>
            <w:tcW w:w="502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36,479</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42,781</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160,297</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177,636</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22"/>
                <w:szCs w:val="22"/>
                <w:color w:val="auto"/>
              </w:rPr>
              <w:t>Loss from operations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(8,734)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(17,697)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(58,360)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(73,190)</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22"/>
                <w:szCs w:val="22"/>
                <w:color w:val="auto"/>
              </w:rPr>
              <w:t>Interest expense</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(1,457)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(1,459)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(5,824)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(5,820)</w:t>
            </w:r>
          </w:p>
        </w:tc>
        <w:tc>
          <w:tcPr>
            <w:tcW w:w="0" w:type="dxa"/>
            <w:vAlign w:val="bottom"/>
          </w:tcPr>
          <w:p>
            <w:pPr>
              <w:spacing w:after="0"/>
              <w:rPr>
                <w:sz w:val="1"/>
                <w:szCs w:val="1"/>
                <w:color w:val="auto"/>
              </w:rPr>
            </w:pPr>
          </w:p>
        </w:tc>
      </w:tr>
      <w:tr>
        <w:trPr>
          <w:trHeight w:val="275"/>
        </w:trPr>
        <w:tc>
          <w:tcPr>
            <w:tcW w:w="5020" w:type="dxa"/>
            <w:vAlign w:val="bottom"/>
          </w:tcPr>
          <w:p>
            <w:pPr>
              <w:spacing w:after="0"/>
              <w:rPr>
                <w:sz w:val="20"/>
                <w:szCs w:val="20"/>
                <w:color w:val="auto"/>
              </w:rPr>
            </w:pPr>
            <w:r>
              <w:rPr>
                <w:rFonts w:ascii="Arial" w:cs="Arial" w:eastAsia="Arial" w:hAnsi="Arial"/>
                <w:sz w:val="22"/>
                <w:szCs w:val="22"/>
                <w:color w:val="auto"/>
              </w:rPr>
              <w:t>Other (expense) income, net</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(186)</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(640)</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385</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(1,167)</w:t>
            </w:r>
          </w:p>
        </w:tc>
        <w:tc>
          <w:tcPr>
            <w:tcW w:w="0" w:type="dxa"/>
            <w:vAlign w:val="bottom"/>
          </w:tcPr>
          <w:p>
            <w:pPr>
              <w:spacing w:after="0"/>
              <w:rPr>
                <w:sz w:val="1"/>
                <w:szCs w:val="1"/>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(10,377)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(19,796)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(63,799)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(80,177)</w:t>
            </w:r>
          </w:p>
        </w:tc>
        <w:tc>
          <w:tcPr>
            <w:tcW w:w="0" w:type="dxa"/>
            <w:vAlign w:val="bottom"/>
          </w:tcPr>
          <w:p>
            <w:pPr>
              <w:spacing w:after="0"/>
              <w:rPr>
                <w:sz w:val="1"/>
                <w:szCs w:val="1"/>
                <w:color w:val="auto"/>
              </w:rPr>
            </w:pPr>
          </w:p>
        </w:tc>
      </w:tr>
      <w:tr>
        <w:trPr>
          <w:trHeight w:val="276"/>
        </w:trPr>
        <w:tc>
          <w:tcPr>
            <w:tcW w:w="5020" w:type="dxa"/>
            <w:vAlign w:val="bottom"/>
          </w:tcPr>
          <w:p>
            <w:pPr>
              <w:spacing w:after="0"/>
              <w:rPr>
                <w:sz w:val="20"/>
                <w:szCs w:val="20"/>
                <w:color w:val="auto"/>
              </w:rPr>
            </w:pPr>
            <w:r>
              <w:rPr>
                <w:rFonts w:ascii="Arial" w:cs="Arial" w:eastAsia="Arial" w:hAnsi="Arial"/>
                <w:sz w:val="22"/>
                <w:szCs w:val="22"/>
                <w:color w:val="auto"/>
              </w:rPr>
              <w:t>Income tax (expense) benefit</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2,099</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3,264</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4,192</w:t>
            </w: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(10,456)</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(17,697)</w:t>
            </w:r>
          </w:p>
        </w:tc>
        <w:tc>
          <w:tcPr>
            <w:tcW w:w="80" w:type="dxa"/>
            <w:vAlign w:val="bottom"/>
          </w:tcPr>
          <w:p>
            <w:pPr>
              <w:spacing w:after="0"/>
              <w:rPr>
                <w:sz w:val="23"/>
                <w:szCs w:val="23"/>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(60,535)</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(75,985)</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02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60" w:type="dxa"/>
            <w:vAlign w:val="bottom"/>
          </w:tcPr>
          <w:p>
            <w:pPr>
              <w:ind w:left="80"/>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(0.27)</w:t>
            </w:r>
          </w:p>
        </w:tc>
        <w:tc>
          <w:tcPr>
            <w:tcW w:w="100" w:type="dxa"/>
            <w:vAlign w:val="bottom"/>
          </w:tcPr>
          <w:p>
            <w:pPr>
              <w:spacing w:after="0"/>
              <w:rPr>
                <w:sz w:val="24"/>
                <w:szCs w:val="24"/>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(0.61)</w:t>
            </w:r>
          </w:p>
        </w:tc>
        <w:tc>
          <w:tcPr>
            <w:tcW w:w="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(1.84)</w:t>
            </w:r>
          </w:p>
        </w:tc>
        <w:tc>
          <w:tcPr>
            <w:tcW w:w="540" w:type="dxa"/>
            <w:vAlign w:val="bottom"/>
            <w:gridSpan w:val="3"/>
          </w:tcPr>
          <w:p>
            <w:pPr>
              <w:jc w:val="right"/>
              <w:ind w:right="92"/>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(2.62)</w:t>
            </w:r>
          </w:p>
        </w:tc>
        <w:tc>
          <w:tcPr>
            <w:tcW w:w="0" w:type="dxa"/>
            <w:vAlign w:val="bottom"/>
          </w:tcPr>
          <w:p>
            <w:pPr>
              <w:spacing w:after="0"/>
              <w:rPr>
                <w:sz w:val="1"/>
                <w:szCs w:val="1"/>
                <w:color w:val="auto"/>
              </w:rPr>
            </w:pPr>
          </w:p>
        </w:tc>
      </w:tr>
      <w:tr>
        <w:trPr>
          <w:trHeight w:val="21"/>
        </w:trPr>
        <w:tc>
          <w:tcPr>
            <w:tcW w:w="5020" w:type="dxa"/>
            <w:vAlign w:val="bottom"/>
            <w:vMerge w:val="restart"/>
          </w:tcPr>
          <w:p>
            <w:pPr>
              <w:spacing w:after="0"/>
              <w:rPr>
                <w:sz w:val="20"/>
                <w:szCs w:val="20"/>
                <w:color w:val="auto"/>
              </w:rPr>
            </w:pPr>
            <w:r>
              <w:rPr>
                <w:rFonts w:ascii="Arial" w:cs="Arial" w:eastAsia="Arial" w:hAnsi="Arial"/>
                <w:sz w:val="22"/>
                <w:szCs w:val="22"/>
                <w:color w:val="auto"/>
                <w:w w:val="92"/>
              </w:rPr>
              <w:t>Shares used in computing net loss per share, 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9"/>
        </w:trPr>
        <w:tc>
          <w:tcPr>
            <w:tcW w:w="5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22"/>
                <w:szCs w:val="22"/>
                <w:color w:val="auto"/>
              </w:rPr>
              <w:t>38,704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22"/>
                <w:szCs w:val="22"/>
                <w:color w:val="auto"/>
              </w:rPr>
              <w:t>29,151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32,980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vMerge w:val="restart"/>
          </w:tcPr>
          <w:p>
            <w:pPr>
              <w:jc w:val="right"/>
              <w:ind w:right="52"/>
              <w:spacing w:after="0"/>
              <w:rPr>
                <w:sz w:val="20"/>
                <w:szCs w:val="20"/>
                <w:color w:val="auto"/>
              </w:rPr>
            </w:pPr>
            <w:r>
              <w:rPr>
                <w:rFonts w:ascii="Arial" w:cs="Arial" w:eastAsia="Arial" w:hAnsi="Arial"/>
                <w:sz w:val="22"/>
                <w:szCs w:val="22"/>
                <w:color w:val="auto"/>
              </w:rPr>
              <w:t>29,008</w:t>
            </w:r>
          </w:p>
        </w:tc>
        <w:tc>
          <w:tcPr>
            <w:tcW w:w="0" w:type="dxa"/>
            <w:vAlign w:val="bottom"/>
          </w:tcPr>
          <w:p>
            <w:pPr>
              <w:spacing w:after="0"/>
              <w:rPr>
                <w:sz w:val="1"/>
                <w:szCs w:val="1"/>
                <w:color w:val="auto"/>
              </w:rPr>
            </w:pPr>
          </w:p>
        </w:tc>
      </w:tr>
      <w:tr>
        <w:trPr>
          <w:trHeight w:val="251"/>
        </w:trPr>
        <w:tc>
          <w:tcPr>
            <w:tcW w:w="5020" w:type="dxa"/>
            <w:vAlign w:val="bottom"/>
          </w:tcPr>
          <w:p>
            <w:pPr>
              <w:spacing w:after="0" w:line="251" w:lineRule="exact"/>
              <w:rPr>
                <w:sz w:val="20"/>
                <w:szCs w:val="20"/>
                <w:color w:val="auto"/>
              </w:rPr>
            </w:pPr>
            <w:r>
              <w:rPr>
                <w:rFonts w:ascii="Arial" w:cs="Arial" w:eastAsia="Arial" w:hAnsi="Arial"/>
                <w:sz w:val="22"/>
                <w:szCs w:val="22"/>
                <w:color w:val="auto"/>
              </w:rPr>
              <w:t>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22"/>
          <w:szCs w:val="22"/>
          <w:i w:val="1"/>
          <w:i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December 31, 2017</w:t>
            </w:r>
          </w:p>
        </w:tc>
        <w:tc>
          <w:tcPr>
            <w:tcW w:w="340" w:type="dxa"/>
            <w:vAlign w:val="bottom"/>
          </w:tcPr>
          <w:p>
            <w:pPr>
              <w:spacing w:after="0"/>
              <w:rPr>
                <w:sz w:val="24"/>
                <w:szCs w:val="24"/>
                <w:color w:val="auto"/>
              </w:rPr>
            </w:pPr>
          </w:p>
        </w:tc>
        <w:tc>
          <w:tcPr>
            <w:tcW w:w="2360" w:type="dxa"/>
            <w:vAlign w:val="bottom"/>
          </w:tcPr>
          <w:p>
            <w:pPr>
              <w:jc w:val="right"/>
              <w:ind w:right="252"/>
              <w:spacing w:after="0"/>
              <w:rPr>
                <w:sz w:val="20"/>
                <w:szCs w:val="20"/>
                <w:color w:val="auto"/>
              </w:rPr>
            </w:pPr>
            <w:r>
              <w:rPr>
                <w:rFonts w:ascii="Arial" w:cs="Arial" w:eastAsia="Arial" w:hAnsi="Arial"/>
                <w:sz w:val="22"/>
                <w:szCs w:val="22"/>
                <w:b w:val="1"/>
                <w:bCs w:val="1"/>
                <w:color w:val="auto"/>
                <w:w w:val="84"/>
              </w:rPr>
              <w:t xml:space="preserve">December 31, 2016 </w:t>
            </w:r>
            <w:r>
              <w:rPr>
                <w:rFonts w:ascii="Arial" w:cs="Arial" w:eastAsia="Arial" w:hAnsi="Arial"/>
                <w:sz w:val="36"/>
                <w:szCs w:val="36"/>
                <w:b w:val="1"/>
                <w:bCs w:val="1"/>
                <w:color w:val="auto"/>
                <w:w w:val="84"/>
                <w:vertAlign w:val="subscript"/>
              </w:rPr>
              <w:t>(1)</w:t>
            </w:r>
          </w:p>
        </w:tc>
        <w:tc>
          <w:tcPr>
            <w:tcW w:w="0" w:type="dxa"/>
            <w:vAlign w:val="bottom"/>
          </w:tcPr>
          <w:p>
            <w:pPr>
              <w:spacing w:after="0"/>
              <w:rPr>
                <w:sz w:val="1"/>
                <w:szCs w:val="1"/>
                <w:color w:val="auto"/>
              </w:rPr>
            </w:pPr>
          </w:p>
        </w:tc>
      </w:tr>
      <w:tr>
        <w:trPr>
          <w:trHeight w:val="278"/>
        </w:trPr>
        <w:tc>
          <w:tcPr>
            <w:tcW w:w="616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2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(Unaudited)</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22"/>
                <w:szCs w:val="22"/>
                <w:color w:val="auto"/>
              </w:rPr>
              <w:t>Current assets:</w:t>
            </w:r>
          </w:p>
        </w:tc>
        <w:tc>
          <w:tcPr>
            <w:tcW w:w="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060" w:type="dxa"/>
            <w:vAlign w:val="bottom"/>
          </w:tcPr>
          <w:p>
            <w:pPr>
              <w:jc w:val="right"/>
              <w:spacing w:after="0"/>
              <w:rPr>
                <w:sz w:val="20"/>
                <w:szCs w:val="20"/>
                <w:color w:val="auto"/>
              </w:rPr>
            </w:pPr>
            <w:r>
              <w:rPr>
                <w:rFonts w:ascii="Arial" w:cs="Arial" w:eastAsia="Arial" w:hAnsi="Arial"/>
                <w:sz w:val="22"/>
                <w:szCs w:val="22"/>
                <w:color w:val="auto"/>
              </w:rPr>
              <w:t>58,056</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360" w:type="dxa"/>
            <w:vAlign w:val="bottom"/>
          </w:tcPr>
          <w:p>
            <w:pPr>
              <w:jc w:val="right"/>
              <w:spacing w:after="0"/>
              <w:rPr>
                <w:sz w:val="20"/>
                <w:szCs w:val="20"/>
                <w:color w:val="auto"/>
              </w:rPr>
            </w:pPr>
            <w:r>
              <w:rPr>
                <w:rFonts w:ascii="Arial" w:cs="Arial" w:eastAsia="Arial" w:hAnsi="Arial"/>
                <w:sz w:val="22"/>
                <w:szCs w:val="22"/>
                <w:color w:val="auto"/>
              </w:rPr>
              <w:t>35,045</w:t>
            </w:r>
          </w:p>
        </w:tc>
        <w:tc>
          <w:tcPr>
            <w:tcW w:w="0" w:type="dxa"/>
            <w:vAlign w:val="bottom"/>
          </w:tcPr>
          <w:p>
            <w:pPr>
              <w:spacing w:after="0"/>
              <w:rPr>
                <w:sz w:val="1"/>
                <w:szCs w:val="1"/>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2"/>
                <w:szCs w:val="22"/>
                <w:color w:val="auto"/>
              </w:rPr>
              <w:t>Short-term investments</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5,080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24,385</w:t>
            </w:r>
          </w:p>
        </w:tc>
        <w:tc>
          <w:tcPr>
            <w:tcW w:w="0" w:type="dxa"/>
            <w:vAlign w:val="bottom"/>
          </w:tcPr>
          <w:p>
            <w:pPr>
              <w:spacing w:after="0"/>
              <w:rPr>
                <w:sz w:val="1"/>
                <w:szCs w:val="1"/>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15,049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14,610</w:t>
            </w:r>
          </w:p>
        </w:tc>
        <w:tc>
          <w:tcPr>
            <w:tcW w:w="0" w:type="dxa"/>
            <w:vAlign w:val="bottom"/>
          </w:tcPr>
          <w:p>
            <w:pPr>
              <w:spacing w:after="0"/>
              <w:rPr>
                <w:sz w:val="1"/>
                <w:szCs w:val="1"/>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15,088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20,114</w:t>
            </w:r>
          </w:p>
        </w:tc>
        <w:tc>
          <w:tcPr>
            <w:tcW w:w="0" w:type="dxa"/>
            <w:vAlign w:val="bottom"/>
          </w:tcPr>
          <w:p>
            <w:pPr>
              <w:spacing w:after="0"/>
              <w:rPr>
                <w:sz w:val="1"/>
                <w:szCs w:val="1"/>
                <w:color w:val="auto"/>
              </w:rPr>
            </w:pPr>
          </w:p>
        </w:tc>
      </w:tr>
      <w:tr>
        <w:trPr>
          <w:trHeight w:val="275"/>
        </w:trPr>
        <w:tc>
          <w:tcPr>
            <w:tcW w:w="6160" w:type="dxa"/>
            <w:vAlign w:val="bottom"/>
          </w:tcPr>
          <w:p>
            <w:pPr>
              <w:ind w:left="100"/>
              <w:spacing w:after="0"/>
              <w:rPr>
                <w:sz w:val="20"/>
                <w:szCs w:val="20"/>
                <w:color w:val="auto"/>
              </w:rPr>
            </w:pPr>
            <w:r>
              <w:rPr>
                <w:rFonts w:ascii="Arial" w:cs="Arial" w:eastAsia="Arial" w:hAnsi="Arial"/>
                <w:sz w:val="22"/>
                <w:szCs w:val="22"/>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2,517</w:t>
            </w:r>
          </w:p>
        </w:tc>
        <w:tc>
          <w:tcPr>
            <w:tcW w:w="0" w:type="dxa"/>
            <w:vAlign w:val="bottom"/>
          </w:tcPr>
          <w:p>
            <w:pPr>
              <w:spacing w:after="0"/>
              <w:rPr>
                <w:sz w:val="1"/>
                <w:szCs w:val="1"/>
                <w:color w:val="auto"/>
              </w:rPr>
            </w:pPr>
          </w:p>
        </w:tc>
      </w:tr>
      <w:tr>
        <w:trPr>
          <w:trHeight w:val="259"/>
        </w:trPr>
        <w:tc>
          <w:tcPr>
            <w:tcW w:w="6160" w:type="dxa"/>
            <w:vAlign w:val="bottom"/>
          </w:tcPr>
          <w:p>
            <w:pPr>
              <w:spacing w:after="0"/>
              <w:rPr>
                <w:sz w:val="20"/>
                <w:szCs w:val="20"/>
                <w:color w:val="auto"/>
              </w:rPr>
            </w:pPr>
            <w:r>
              <w:rPr>
                <w:rFonts w:ascii="Arial" w:cs="Arial" w:eastAsia="Arial" w:hAnsi="Arial"/>
                <w:sz w:val="22"/>
                <w:szCs w:val="22"/>
                <w:color w:val="auto"/>
              </w:rPr>
              <w:t>Total current assets</w:t>
            </w:r>
          </w:p>
        </w:tc>
        <w:tc>
          <w:tcPr>
            <w:tcW w:w="28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94,801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96,671</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12,301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16,525</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7,541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9,291</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68,600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79,800</w:t>
            </w:r>
          </w:p>
        </w:tc>
        <w:tc>
          <w:tcPr>
            <w:tcW w:w="0" w:type="dxa"/>
            <w:vAlign w:val="bottom"/>
          </w:tcPr>
          <w:p>
            <w:pPr>
              <w:spacing w:after="0"/>
              <w:rPr>
                <w:sz w:val="1"/>
                <w:szCs w:val="1"/>
                <w:color w:val="auto"/>
              </w:rPr>
            </w:pPr>
          </w:p>
        </w:tc>
      </w:tr>
      <w:tr>
        <w:trPr>
          <w:trHeight w:val="276"/>
        </w:trPr>
        <w:tc>
          <w:tcPr>
            <w:tcW w:w="6160" w:type="dxa"/>
            <w:vAlign w:val="bottom"/>
          </w:tcPr>
          <w:p>
            <w:pPr>
              <w:spacing w:after="0"/>
              <w:rPr>
                <w:sz w:val="20"/>
                <w:szCs w:val="20"/>
                <w:color w:val="auto"/>
              </w:rPr>
            </w:pPr>
            <w:r>
              <w:rPr>
                <w:rFonts w:ascii="Arial" w:cs="Arial" w:eastAsia="Arial" w:hAnsi="Arial"/>
                <w:sz w:val="22"/>
                <w:szCs w:val="22"/>
                <w:color w:val="auto"/>
              </w:rPr>
              <w:t>Goodwill</w:t>
            </w: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6160" w:type="dxa"/>
            <w:vAlign w:val="bottom"/>
          </w:tcPr>
          <w:p>
            <w:pPr>
              <w:spacing w:after="0"/>
              <w:rPr>
                <w:sz w:val="20"/>
                <w:szCs w:val="20"/>
                <w:color w:val="auto"/>
              </w:rPr>
            </w:pPr>
            <w:r>
              <w:rPr>
                <w:rFonts w:ascii="Arial" w:cs="Arial" w:eastAsia="Arial" w:hAnsi="Arial"/>
                <w:sz w:val="22"/>
                <w:szCs w:val="22"/>
                <w:color w:val="auto"/>
              </w:rPr>
              <w:t>Total assets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287,351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c>
          <w:tcPr>
            <w:tcW w:w="0" w:type="dxa"/>
            <w:vAlign w:val="bottom"/>
          </w:tcPr>
          <w:p>
            <w:pPr>
              <w:spacing w:after="0"/>
              <w:rPr>
                <w:sz w:val="1"/>
                <w:szCs w:val="1"/>
                <w:color w:val="auto"/>
              </w:rPr>
            </w:pPr>
          </w:p>
        </w:tc>
      </w:tr>
      <w:tr>
        <w:trPr>
          <w:trHeight w:val="21"/>
        </w:trPr>
        <w:tc>
          <w:tcPr>
            <w:tcW w:w="616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22"/>
                <w:szCs w:val="22"/>
                <w:color w:val="auto"/>
              </w:rPr>
              <w:t>Current liabilities:</w:t>
            </w:r>
          </w:p>
        </w:tc>
        <w:tc>
          <w:tcPr>
            <w:tcW w:w="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060" w:type="dxa"/>
            <w:vAlign w:val="bottom"/>
          </w:tcPr>
          <w:p>
            <w:pPr>
              <w:jc w:val="right"/>
              <w:spacing w:after="0"/>
              <w:rPr>
                <w:sz w:val="20"/>
                <w:szCs w:val="20"/>
                <w:color w:val="auto"/>
              </w:rPr>
            </w:pPr>
            <w:r>
              <w:rPr>
                <w:rFonts w:ascii="Arial" w:cs="Arial" w:eastAsia="Arial" w:hAnsi="Arial"/>
                <w:sz w:val="22"/>
                <w:szCs w:val="22"/>
                <w:color w:val="auto"/>
              </w:rPr>
              <w:t>4,211</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360" w:type="dxa"/>
            <w:vAlign w:val="bottom"/>
          </w:tcPr>
          <w:p>
            <w:pPr>
              <w:jc w:val="right"/>
              <w:spacing w:after="0"/>
              <w:rPr>
                <w:sz w:val="20"/>
                <w:szCs w:val="20"/>
                <w:color w:val="auto"/>
              </w:rPr>
            </w:pPr>
            <w:r>
              <w:rPr>
                <w:rFonts w:ascii="Arial" w:cs="Arial" w:eastAsia="Arial" w:hAnsi="Arial"/>
                <w:sz w:val="22"/>
                <w:szCs w:val="22"/>
                <w:color w:val="auto"/>
              </w:rPr>
              <w:t>3,967</w:t>
            </w:r>
          </w:p>
        </w:tc>
        <w:tc>
          <w:tcPr>
            <w:tcW w:w="0" w:type="dxa"/>
            <w:vAlign w:val="bottom"/>
          </w:tcPr>
          <w:p>
            <w:pPr>
              <w:spacing w:after="0"/>
              <w:rPr>
                <w:sz w:val="1"/>
                <w:szCs w:val="1"/>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2"/>
                <w:szCs w:val="22"/>
                <w:color w:val="auto"/>
              </w:rPr>
              <w:t>Accrued compensation and related benefits</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10,535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3,996</w:t>
            </w:r>
          </w:p>
        </w:tc>
        <w:tc>
          <w:tcPr>
            <w:tcW w:w="0" w:type="dxa"/>
            <w:vAlign w:val="bottom"/>
          </w:tcPr>
          <w:p>
            <w:pPr>
              <w:spacing w:after="0"/>
              <w:rPr>
                <w:sz w:val="1"/>
                <w:szCs w:val="1"/>
                <w:color w:val="auto"/>
              </w:rPr>
            </w:pPr>
          </w:p>
        </w:tc>
      </w:tr>
      <w:tr>
        <w:trPr>
          <w:trHeight w:val="270"/>
        </w:trPr>
        <w:tc>
          <w:tcPr>
            <w:tcW w:w="6160" w:type="dxa"/>
            <w:vAlign w:val="bottom"/>
          </w:tcPr>
          <w:p>
            <w:pPr>
              <w:ind w:left="100"/>
              <w:spacing w:after="0"/>
              <w:rPr>
                <w:sz w:val="20"/>
                <w:szCs w:val="20"/>
                <w:color w:val="auto"/>
              </w:rPr>
            </w:pPr>
            <w:r>
              <w:rPr>
                <w:rFonts w:ascii="Arial" w:cs="Arial" w:eastAsia="Arial" w:hAnsi="Arial"/>
                <w:sz w:val="22"/>
                <w:szCs w:val="22"/>
                <w:color w:val="auto"/>
              </w:rPr>
              <w:t>Other accrued liabilities</w:t>
            </w:r>
          </w:p>
        </w:tc>
        <w:tc>
          <w:tcPr>
            <w:tcW w:w="28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8,490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12,374</w:t>
            </w:r>
          </w:p>
        </w:tc>
        <w:tc>
          <w:tcPr>
            <w:tcW w:w="0" w:type="dxa"/>
            <w:vAlign w:val="bottom"/>
          </w:tcPr>
          <w:p>
            <w:pPr>
              <w:spacing w:after="0"/>
              <w:rPr>
                <w:sz w:val="1"/>
                <w:szCs w:val="1"/>
                <w:color w:val="auto"/>
              </w:rPr>
            </w:pPr>
          </w:p>
        </w:tc>
      </w:tr>
      <w:tr>
        <w:trPr>
          <w:trHeight w:val="276"/>
        </w:trPr>
        <w:tc>
          <w:tcPr>
            <w:tcW w:w="6160" w:type="dxa"/>
            <w:vAlign w:val="bottom"/>
          </w:tcPr>
          <w:p>
            <w:pPr>
              <w:ind w:left="100"/>
              <w:spacing w:after="0"/>
              <w:rPr>
                <w:sz w:val="20"/>
                <w:szCs w:val="20"/>
                <w:color w:val="auto"/>
              </w:rPr>
            </w:pPr>
            <w:r>
              <w:rPr>
                <w:rFonts w:ascii="Arial" w:cs="Arial" w:eastAsia="Arial" w:hAnsi="Arial"/>
                <w:sz w:val="22"/>
                <w:szCs w:val="22"/>
                <w:color w:val="auto"/>
              </w:rPr>
              <w:t>Deferred revenue, current portion</w:t>
            </w: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10,238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9,163</w:t>
            </w:r>
          </w:p>
        </w:tc>
        <w:tc>
          <w:tcPr>
            <w:tcW w:w="0" w:type="dxa"/>
            <w:vAlign w:val="bottom"/>
          </w:tcPr>
          <w:p>
            <w:pPr>
              <w:spacing w:after="0"/>
              <w:rPr>
                <w:sz w:val="1"/>
                <w:szCs w:val="1"/>
                <w:color w:val="auto"/>
              </w:rPr>
            </w:pPr>
          </w:p>
        </w:tc>
      </w:tr>
    </w:tbl>
    <w:p>
      <w:pPr>
        <w:sectPr>
          <w:pgSz w:w="11900" w:h="16838" w:orient="portrait"/>
          <w:cols w:equalWidth="0" w:num="1">
            <w:col w:w="11400"/>
          </w:cols>
          <w:pgMar w:left="260" w:top="11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16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9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33,474</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29,500</w:t>
            </w:r>
          </w:p>
        </w:tc>
      </w:tr>
      <w:tr>
        <w:trPr>
          <w:trHeight w:val="270"/>
        </w:trPr>
        <w:tc>
          <w:tcPr>
            <w:tcW w:w="6160" w:type="dxa"/>
            <w:vAlign w:val="bottom"/>
          </w:tcPr>
          <w:p>
            <w:pPr>
              <w:spacing w:after="0"/>
              <w:rPr>
                <w:sz w:val="20"/>
                <w:szCs w:val="20"/>
                <w:color w:val="auto"/>
              </w:rPr>
            </w:pPr>
            <w:r>
              <w:rPr>
                <w:rFonts w:ascii="Arial" w:cs="Arial" w:eastAsia="Arial" w:hAnsi="Arial"/>
                <w:sz w:val="22"/>
                <w:szCs w:val="22"/>
                <w:color w:val="auto"/>
              </w:rPr>
              <w:t>Convertible notes, net</w:t>
            </w:r>
          </w:p>
        </w:tc>
        <w:tc>
          <w:tcPr>
            <w:tcW w:w="9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195,238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194,951</w:t>
            </w:r>
          </w:p>
        </w:tc>
      </w:tr>
      <w:tr>
        <w:trPr>
          <w:trHeight w:val="270"/>
        </w:trPr>
        <w:tc>
          <w:tcPr>
            <w:tcW w:w="616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9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16,919</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21,140</w:t>
            </w:r>
          </w:p>
        </w:tc>
      </w:tr>
      <w:tr>
        <w:trPr>
          <w:trHeight w:val="275"/>
        </w:trPr>
        <w:tc>
          <w:tcPr>
            <w:tcW w:w="616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9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10,785</w:t>
            </w:r>
          </w:p>
        </w:tc>
        <w:tc>
          <w:tcPr>
            <w:tcW w:w="1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7,571</w:t>
            </w:r>
          </w:p>
        </w:tc>
      </w:tr>
      <w:tr>
        <w:trPr>
          <w:trHeight w:val="259"/>
        </w:trPr>
        <w:tc>
          <w:tcPr>
            <w:tcW w:w="6160" w:type="dxa"/>
            <w:vAlign w:val="bottom"/>
          </w:tcPr>
          <w:p>
            <w:pPr>
              <w:spacing w:after="0"/>
              <w:rPr>
                <w:sz w:val="20"/>
                <w:szCs w:val="20"/>
                <w:color w:val="auto"/>
              </w:rPr>
            </w:pPr>
            <w:r>
              <w:rPr>
                <w:rFonts w:ascii="Arial" w:cs="Arial" w:eastAsia="Arial" w:hAnsi="Arial"/>
                <w:sz w:val="22"/>
                <w:szCs w:val="22"/>
                <w:color w:val="auto"/>
              </w:rPr>
              <w:t>Total liabilities</w:t>
            </w:r>
          </w:p>
        </w:tc>
        <w:tc>
          <w:tcPr>
            <w:tcW w:w="9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256,416</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253,162</w:t>
            </w:r>
          </w:p>
        </w:tc>
      </w:tr>
      <w:tr>
        <w:trPr>
          <w:trHeight w:val="276"/>
        </w:trPr>
        <w:tc>
          <w:tcPr>
            <w:tcW w:w="616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30,935</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53,233</w:t>
            </w:r>
          </w:p>
        </w:tc>
      </w:tr>
      <w:tr>
        <w:trPr>
          <w:trHeight w:val="265"/>
        </w:trPr>
        <w:tc>
          <w:tcPr>
            <w:tcW w:w="616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94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287,351</w:t>
            </w:r>
          </w:p>
        </w:tc>
        <w:tc>
          <w:tcPr>
            <w:tcW w:w="100" w:type="dxa"/>
            <w:vAlign w:val="bottom"/>
          </w:tcPr>
          <w:p>
            <w:pPr>
              <w:spacing w:after="0"/>
              <w:rPr>
                <w:sz w:val="23"/>
                <w:szCs w:val="23"/>
                <w:color w:val="auto"/>
              </w:rPr>
            </w:pPr>
          </w:p>
        </w:tc>
        <w:tc>
          <w:tcPr>
            <w:tcW w:w="1160" w:type="dxa"/>
            <w:vAlign w:val="bottom"/>
            <w:tcBorders>
              <w:bottom w:val="single" w:sz="8" w:color="auto"/>
            </w:tcBorders>
          </w:tcPr>
          <w:p>
            <w:pPr>
              <w:jc w:val="right"/>
              <w:ind w:right="732"/>
              <w:spacing w:after="0"/>
              <w:rPr>
                <w:sz w:val="20"/>
                <w:szCs w:val="20"/>
                <w:color w:val="auto"/>
              </w:rPr>
            </w:pPr>
            <w:r>
              <w:rPr>
                <w:rFonts w:ascii="Arial" w:cs="Arial" w:eastAsia="Arial" w:hAnsi="Arial"/>
                <w:sz w:val="22"/>
                <w:szCs w:val="22"/>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r>
      <w:tr>
        <w:trPr>
          <w:trHeight w:val="21"/>
        </w:trPr>
        <w:tc>
          <w:tcPr>
            <w:tcW w:w="6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22"/>
                <w:szCs w:val="22"/>
                <w:b w:val="1"/>
                <w:bCs w:val="1"/>
                <w:color w:val="auto"/>
                <w:w w:val="88"/>
              </w:rPr>
              <w:t>Twelve Months Ended December 31,</w:t>
            </w:r>
          </w:p>
        </w:tc>
      </w:tr>
      <w:tr>
        <w:trPr>
          <w:trHeight w:val="265"/>
        </w:trPr>
        <w:tc>
          <w:tcPr>
            <w:tcW w:w="73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9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b w:val="1"/>
                <w:bCs w:val="1"/>
                <w:color w:val="auto"/>
              </w:rPr>
              <w:t>2016</w:t>
            </w:r>
          </w:p>
        </w:tc>
      </w:tr>
      <w:tr>
        <w:trPr>
          <w:trHeight w:val="256"/>
        </w:trPr>
        <w:tc>
          <w:tcPr>
            <w:tcW w:w="734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Net loss</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(60,535)</w:t>
            </w:r>
          </w:p>
        </w:tc>
        <w:tc>
          <w:tcPr>
            <w:tcW w:w="120" w:type="dxa"/>
            <w:vAlign w:val="bottom"/>
          </w:tcPr>
          <w:p>
            <w:pPr>
              <w:spacing w:after="0"/>
              <w:rPr>
                <w:sz w:val="23"/>
                <w:szCs w:val="23"/>
                <w:color w:val="auto"/>
              </w:rPr>
            </w:pPr>
          </w:p>
        </w:tc>
        <w:tc>
          <w:tcPr>
            <w:tcW w:w="5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(75,985)</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7,409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6,738</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9,092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13,858</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11,200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11,200</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Other non-cash items</w:t>
            </w: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(468)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339</w:t>
            </w:r>
          </w:p>
        </w:tc>
      </w:tr>
      <w:tr>
        <w:trPr>
          <w:trHeight w:val="275"/>
        </w:trPr>
        <w:tc>
          <w:tcPr>
            <w:tcW w:w="734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9,204</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4,712</w:t>
            </w:r>
          </w:p>
        </w:tc>
      </w:tr>
      <w:tr>
        <w:trPr>
          <w:trHeight w:val="272"/>
        </w:trPr>
        <w:tc>
          <w:tcPr>
            <w:tcW w:w="734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(24,098)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(39,138)</w:t>
            </w:r>
          </w:p>
        </w:tc>
      </w:tr>
      <w:tr>
        <w:trPr>
          <w:trHeight w:val="528"/>
        </w:trPr>
        <w:tc>
          <w:tcPr>
            <w:tcW w:w="734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(6,276)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(38,594)</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25,550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86,431</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Proceeds from sale of investment in Verinata</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2,330</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(1,566)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(5,065)</w:t>
            </w:r>
          </w:p>
        </w:tc>
      </w:tr>
      <w:tr>
        <w:trPr>
          <w:trHeight w:val="275"/>
        </w:trPr>
        <w:tc>
          <w:tcPr>
            <w:tcW w:w="7340" w:type="dxa"/>
            <w:vAlign w:val="bottom"/>
          </w:tcPr>
          <w:p>
            <w:pPr>
              <w:spacing w:after="0"/>
              <w:rPr>
                <w:sz w:val="20"/>
                <w:szCs w:val="20"/>
                <w:color w:val="auto"/>
              </w:rPr>
            </w:pPr>
            <w:r>
              <w:rPr>
                <w:rFonts w:ascii="Arial" w:cs="Arial" w:eastAsia="Arial" w:hAnsi="Arial"/>
                <w:sz w:val="22"/>
                <w:szCs w:val="22"/>
                <w:color w:val="auto"/>
              </w:rPr>
              <w:t>Purchases of intangible assets</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r>
      <w:tr>
        <w:trPr>
          <w:trHeight w:val="272"/>
        </w:trPr>
        <w:tc>
          <w:tcPr>
            <w:tcW w:w="7340" w:type="dxa"/>
            <w:vAlign w:val="bottom"/>
          </w:tcPr>
          <w:p>
            <w:pPr>
              <w:spacing w:after="0"/>
              <w:rPr>
                <w:sz w:val="20"/>
                <w:szCs w:val="20"/>
                <w:color w:val="auto"/>
              </w:rPr>
            </w:pPr>
            <w:r>
              <w:rPr>
                <w:rFonts w:ascii="Arial" w:cs="Arial" w:eastAsia="Arial" w:hAnsi="Arial"/>
                <w:sz w:val="22"/>
                <w:szCs w:val="22"/>
                <w:color w:val="auto"/>
              </w:rPr>
              <w:t>Net cash provided by investing activities</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17,658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45,102</w:t>
            </w:r>
          </w:p>
        </w:tc>
      </w:tr>
      <w:tr>
        <w:trPr>
          <w:trHeight w:val="528"/>
        </w:trPr>
        <w:tc>
          <w:tcPr>
            <w:tcW w:w="734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Proceeds from issuance of common stock</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29,015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152"/>
              <w:spacing w:after="0"/>
              <w:rPr>
                <w:sz w:val="20"/>
                <w:szCs w:val="20"/>
                <w:color w:val="auto"/>
              </w:rPr>
            </w:pPr>
            <w:r>
              <w:rPr>
                <w:rFonts w:ascii="Arial" w:cs="Arial" w:eastAsia="Arial" w:hAnsi="Arial"/>
                <w:sz w:val="22"/>
                <w:szCs w:val="22"/>
                <w:color w:val="auto"/>
              </w:rPr>
              <w:t>-</w:t>
            </w:r>
          </w:p>
        </w:tc>
      </w:tr>
      <w:tr>
        <w:trPr>
          <w:trHeight w:val="270"/>
        </w:trPr>
        <w:tc>
          <w:tcPr>
            <w:tcW w:w="7340" w:type="dxa"/>
            <w:vAlign w:val="bottom"/>
          </w:tcPr>
          <w:p>
            <w:pPr>
              <w:spacing w:after="0"/>
              <w:rPr>
                <w:sz w:val="20"/>
                <w:szCs w:val="20"/>
                <w:color w:val="auto"/>
              </w:rPr>
            </w:pPr>
            <w:r>
              <w:rPr>
                <w:rFonts w:ascii="Arial" w:cs="Arial" w:eastAsia="Arial" w:hAnsi="Arial"/>
                <w:sz w:val="22"/>
                <w:szCs w:val="22"/>
                <w:color w:val="auto"/>
              </w:rPr>
              <w:t>Proceeds from exercise of stock options</w:t>
            </w:r>
          </w:p>
        </w:tc>
        <w:tc>
          <w:tcPr>
            <w:tcW w:w="260" w:type="dxa"/>
            <w:vAlign w:val="bottom"/>
          </w:tcPr>
          <w:p>
            <w:pPr>
              <w:spacing w:after="0"/>
              <w:rPr>
                <w:sz w:val="23"/>
                <w:szCs w:val="23"/>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100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227</w:t>
            </w:r>
          </w:p>
        </w:tc>
      </w:tr>
      <w:tr>
        <w:trPr>
          <w:trHeight w:val="275"/>
        </w:trPr>
        <w:tc>
          <w:tcPr>
            <w:tcW w:w="7340" w:type="dxa"/>
            <w:vAlign w:val="bottom"/>
          </w:tcPr>
          <w:p>
            <w:pPr>
              <w:spacing w:after="0"/>
              <w:rPr>
                <w:sz w:val="20"/>
                <w:szCs w:val="20"/>
                <w:color w:val="auto"/>
              </w:rPr>
            </w:pPr>
            <w:r>
              <w:rPr>
                <w:rFonts w:ascii="Arial" w:cs="Arial" w:eastAsia="Arial" w:hAnsi="Arial"/>
                <w:sz w:val="22"/>
                <w:szCs w:val="22"/>
                <w:color w:val="auto"/>
              </w:rPr>
              <w:t>Payments for taxes related to net share settlement of equity awards</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(111)</w:t>
            </w:r>
          </w:p>
        </w:tc>
      </w:tr>
      <w:tr>
        <w:trPr>
          <w:trHeight w:val="259"/>
        </w:trPr>
        <w:tc>
          <w:tcPr>
            <w:tcW w:w="734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260" w:type="dxa"/>
            <w:vAlign w:val="bottom"/>
          </w:tcPr>
          <w:p>
            <w:pPr>
              <w:spacing w:after="0"/>
              <w:rPr>
                <w:sz w:val="22"/>
                <w:szCs w:val="22"/>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28,997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116</w:t>
            </w:r>
          </w:p>
        </w:tc>
      </w:tr>
      <w:tr>
        <w:trPr>
          <w:trHeight w:val="275"/>
        </w:trPr>
        <w:tc>
          <w:tcPr>
            <w:tcW w:w="734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454</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(152)</w:t>
            </w:r>
          </w:p>
        </w:tc>
      </w:tr>
      <w:tr>
        <w:trPr>
          <w:trHeight w:val="259"/>
        </w:trPr>
        <w:tc>
          <w:tcPr>
            <w:tcW w:w="7340" w:type="dxa"/>
            <w:vAlign w:val="bottom"/>
          </w:tcPr>
          <w:p>
            <w:pPr>
              <w:spacing w:after="0"/>
              <w:rPr>
                <w:sz w:val="20"/>
                <w:szCs w:val="20"/>
                <w:color w:val="auto"/>
              </w:rPr>
            </w:pPr>
            <w:r>
              <w:rPr>
                <w:rFonts w:ascii="Arial" w:cs="Arial" w:eastAsia="Arial" w:hAnsi="Arial"/>
                <w:sz w:val="22"/>
                <w:szCs w:val="22"/>
                <w:color w:val="auto"/>
              </w:rPr>
              <w:t>Net increase in cash and cash equivalents</w:t>
            </w:r>
          </w:p>
        </w:tc>
        <w:tc>
          <w:tcPr>
            <w:tcW w:w="260" w:type="dxa"/>
            <w:vAlign w:val="bottom"/>
          </w:tcPr>
          <w:p>
            <w:pPr>
              <w:spacing w:after="0"/>
              <w:rPr>
                <w:sz w:val="22"/>
                <w:szCs w:val="22"/>
                <w:color w:val="auto"/>
              </w:rPr>
            </w:pPr>
          </w:p>
        </w:tc>
        <w:tc>
          <w:tcPr>
            <w:tcW w:w="1620" w:type="dxa"/>
            <w:vAlign w:val="bottom"/>
          </w:tcPr>
          <w:p>
            <w:pPr>
              <w:jc w:val="right"/>
              <w:ind w:right="52"/>
              <w:spacing w:after="0"/>
              <w:rPr>
                <w:sz w:val="20"/>
                <w:szCs w:val="20"/>
                <w:color w:val="auto"/>
              </w:rPr>
            </w:pPr>
            <w:r>
              <w:rPr>
                <w:rFonts w:ascii="Arial" w:cs="Arial" w:eastAsia="Arial" w:hAnsi="Arial"/>
                <w:sz w:val="22"/>
                <w:szCs w:val="22"/>
                <w:color w:val="auto"/>
              </w:rPr>
              <w:t>23,011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60" w:type="dxa"/>
            <w:vAlign w:val="bottom"/>
          </w:tcPr>
          <w:p>
            <w:pPr>
              <w:jc w:val="right"/>
              <w:ind w:right="92"/>
              <w:spacing w:after="0"/>
              <w:rPr>
                <w:sz w:val="20"/>
                <w:szCs w:val="20"/>
                <w:color w:val="auto"/>
              </w:rPr>
            </w:pPr>
            <w:r>
              <w:rPr>
                <w:rFonts w:ascii="Arial" w:cs="Arial" w:eastAsia="Arial" w:hAnsi="Arial"/>
                <w:sz w:val="22"/>
                <w:szCs w:val="22"/>
                <w:color w:val="auto"/>
              </w:rPr>
              <w:t>5,928</w:t>
            </w:r>
          </w:p>
        </w:tc>
      </w:tr>
      <w:tr>
        <w:trPr>
          <w:trHeight w:val="276"/>
        </w:trPr>
        <w:tc>
          <w:tcPr>
            <w:tcW w:w="734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35,045</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29,117</w:t>
            </w:r>
          </w:p>
        </w:tc>
      </w:tr>
      <w:tr>
        <w:trPr>
          <w:trHeight w:val="265"/>
        </w:trPr>
        <w:tc>
          <w:tcPr>
            <w:tcW w:w="734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58,056</w:t>
            </w:r>
          </w:p>
        </w:tc>
        <w:tc>
          <w:tcPr>
            <w:tcW w:w="120" w:type="dxa"/>
            <w:vAlign w:val="bottom"/>
          </w:tcPr>
          <w:p>
            <w:pPr>
              <w:spacing w:after="0"/>
              <w:rPr>
                <w:sz w:val="23"/>
                <w:szCs w:val="23"/>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35,045</w:t>
            </w:r>
          </w:p>
        </w:tc>
      </w:tr>
      <w:tr>
        <w:trPr>
          <w:trHeight w:val="21"/>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tcPr>
          <w:p>
            <w:pPr>
              <w:spacing w:after="0"/>
              <w:rPr>
                <w:sz w:val="24"/>
                <w:szCs w:val="24"/>
                <w:color w:val="auto"/>
              </w:rPr>
            </w:pPr>
          </w:p>
        </w:tc>
        <w:tc>
          <w:tcPr>
            <w:tcW w:w="3440" w:type="dxa"/>
            <w:vAlign w:val="bottom"/>
            <w:gridSpan w:val="6"/>
          </w:tcPr>
          <w:p>
            <w:pPr>
              <w:ind w:left="20"/>
              <w:spacing w:after="0"/>
              <w:rPr>
                <w:sz w:val="20"/>
                <w:szCs w:val="20"/>
                <w:color w:val="auto"/>
              </w:rPr>
            </w:pPr>
            <w:r>
              <w:rPr>
                <w:rFonts w:ascii="Arial" w:cs="Arial" w:eastAsia="Arial" w:hAnsi="Arial"/>
                <w:sz w:val="22"/>
                <w:szCs w:val="22"/>
                <w:b w:val="1"/>
                <w:bCs w:val="1"/>
                <w:color w:val="auto"/>
                <w:w w:val="92"/>
              </w:rPr>
              <w:t>Three Months Ended December 31,</w:t>
            </w:r>
          </w:p>
        </w:tc>
        <w:tc>
          <w:tcPr>
            <w:tcW w:w="3500" w:type="dxa"/>
            <w:vAlign w:val="bottom"/>
            <w:gridSpan w:val="5"/>
          </w:tcPr>
          <w:p>
            <w:pPr>
              <w:jc w:val="right"/>
              <w:spacing w:after="0"/>
              <w:rPr>
                <w:sz w:val="20"/>
                <w:szCs w:val="20"/>
                <w:color w:val="auto"/>
              </w:rPr>
            </w:pPr>
            <w:r>
              <w:rPr>
                <w:rFonts w:ascii="Arial" w:cs="Arial" w:eastAsia="Arial" w:hAnsi="Arial"/>
                <w:sz w:val="22"/>
                <w:szCs w:val="22"/>
                <w:b w:val="1"/>
                <w:bCs w:val="1"/>
                <w:color w:val="auto"/>
                <w:w w:val="89"/>
              </w:rPr>
              <w:t>Twelve Months Ended December 31,</w:t>
            </w:r>
          </w:p>
        </w:tc>
      </w:tr>
      <w:tr>
        <w:trPr>
          <w:trHeight w:val="265"/>
        </w:trPr>
        <w:tc>
          <w:tcPr>
            <w:tcW w:w="44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2016</w:t>
            </w:r>
          </w:p>
        </w:tc>
      </w:tr>
      <w:tr>
        <w:trPr>
          <w:trHeight w:val="526"/>
        </w:trPr>
        <w:tc>
          <w:tcPr>
            <w:tcW w:w="4460" w:type="dxa"/>
            <w:vAlign w:val="bottom"/>
          </w:tcPr>
          <w:p>
            <w:pPr>
              <w:spacing w:after="0"/>
              <w:rPr>
                <w:sz w:val="20"/>
                <w:szCs w:val="20"/>
                <w:color w:val="auto"/>
              </w:rPr>
            </w:pPr>
            <w:r>
              <w:rPr>
                <w:rFonts w:ascii="Arial" w:cs="Arial" w:eastAsia="Arial" w:hAnsi="Arial"/>
                <w:sz w:val="22"/>
                <w:szCs w:val="22"/>
                <w:color w:val="auto"/>
              </w:rPr>
              <w:t>Net loss (GAAP)</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(10,456)</w:t>
            </w:r>
          </w:p>
        </w:tc>
        <w:tc>
          <w:tcPr>
            <w:tcW w:w="12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32"/>
              <w:spacing w:after="0"/>
              <w:rPr>
                <w:sz w:val="20"/>
                <w:szCs w:val="20"/>
                <w:color w:val="auto"/>
              </w:rPr>
            </w:pPr>
            <w:r>
              <w:rPr>
                <w:rFonts w:ascii="Arial" w:cs="Arial" w:eastAsia="Arial" w:hAnsi="Arial"/>
                <w:sz w:val="22"/>
                <w:szCs w:val="22"/>
                <w:color w:val="auto"/>
              </w:rPr>
              <w:t>(17,697)</w:t>
            </w:r>
          </w:p>
        </w:tc>
        <w:tc>
          <w:tcPr>
            <w:tcW w:w="80" w:type="dxa"/>
            <w:vAlign w:val="bottom"/>
          </w:tcPr>
          <w:p>
            <w:pPr>
              <w:spacing w:after="0"/>
              <w:rPr>
                <w:sz w:val="24"/>
                <w:szCs w:val="24"/>
                <w:color w:val="auto"/>
              </w:rPr>
            </w:pP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(60,535)</w:t>
            </w:r>
          </w:p>
        </w:tc>
        <w:tc>
          <w:tcPr>
            <w:tcW w:w="100" w:type="dxa"/>
            <w:vAlign w:val="bottom"/>
          </w:tcPr>
          <w:p>
            <w:pPr>
              <w:spacing w:after="0"/>
              <w:rPr>
                <w:sz w:val="24"/>
                <w:szCs w:val="24"/>
                <w:color w:val="auto"/>
              </w:rPr>
            </w:pP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152"/>
              <w:spacing w:after="0"/>
              <w:rPr>
                <w:sz w:val="20"/>
                <w:szCs w:val="20"/>
                <w:color w:val="auto"/>
              </w:rPr>
            </w:pPr>
            <w:r>
              <w:rPr>
                <w:rFonts w:ascii="Arial" w:cs="Arial" w:eastAsia="Arial" w:hAnsi="Arial"/>
                <w:sz w:val="22"/>
                <w:szCs w:val="22"/>
                <w:color w:val="auto"/>
              </w:rPr>
              <w:t>(75,985)</w:t>
            </w:r>
          </w:p>
        </w:tc>
      </w:tr>
      <w:tr>
        <w:trPr>
          <w:trHeight w:val="275"/>
        </w:trPr>
        <w:tc>
          <w:tcPr>
            <w:tcW w:w="44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1,995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2,825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9,092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212"/>
              <w:spacing w:after="0"/>
              <w:rPr>
                <w:sz w:val="20"/>
                <w:szCs w:val="20"/>
                <w:color w:val="auto"/>
              </w:rPr>
            </w:pPr>
            <w:r>
              <w:rPr>
                <w:rFonts w:ascii="Arial" w:cs="Arial" w:eastAsia="Arial" w:hAnsi="Arial"/>
                <w:sz w:val="22"/>
                <w:szCs w:val="22"/>
                <w:color w:val="auto"/>
              </w:rPr>
              <w:t>13,858</w:t>
            </w:r>
          </w:p>
        </w:tc>
      </w:tr>
    </w:tbl>
    <w:p>
      <w:pPr>
        <w:sectPr>
          <w:pgSz w:w="11900" w:h="16838" w:orient="portrait"/>
          <w:cols w:equalWidth="0" w:num="1">
            <w:col w:w="11400"/>
          </w:cols>
          <w:pgMar w:left="260" w:top="11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4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11,200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Interest expense (b)</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1,457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1,459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5,824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5,820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1,514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1,637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7,091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6,262</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w w:val="94"/>
              </w:rPr>
              <w:t>Benefit from acquisition related income taxes (c)</w:t>
            </w:r>
          </w:p>
        </w:tc>
        <w:tc>
          <w:tcPr>
            <w:tcW w:w="36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(433)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32"/>
              <w:spacing w:after="0"/>
              <w:rPr>
                <w:sz w:val="20"/>
                <w:szCs w:val="20"/>
                <w:color w:val="auto"/>
              </w:rPr>
            </w:pPr>
            <w:r>
              <w:rPr>
                <w:rFonts w:ascii="Arial" w:cs="Arial" w:eastAsia="Arial" w:hAnsi="Arial"/>
                <w:sz w:val="22"/>
                <w:szCs w:val="22"/>
                <w:color w:val="auto"/>
              </w:rPr>
              <w:t>(408)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(2,968)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22"/>
                <w:szCs w:val="22"/>
                <w:color w:val="auto"/>
              </w:rPr>
              <w:t>(2,805)</w:t>
            </w:r>
          </w:p>
        </w:tc>
        <w:tc>
          <w:tcPr>
            <w:tcW w:w="0" w:type="dxa"/>
            <w:vAlign w:val="bottom"/>
          </w:tcPr>
          <w:p>
            <w:pPr>
              <w:spacing w:after="0"/>
              <w:rPr>
                <w:sz w:val="1"/>
                <w:szCs w:val="1"/>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134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75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135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Arial" w:cs="Arial" w:eastAsia="Arial" w:hAnsi="Arial"/>
                <w:sz w:val="22"/>
                <w:szCs w:val="22"/>
                <w:color w:val="auto"/>
              </w:rPr>
              <w:t>Net loss (Non-GAAP)</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(2,989)</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(9,309)</w:t>
            </w:r>
          </w:p>
        </w:tc>
        <w:tc>
          <w:tcPr>
            <w:tcW w:w="80" w:type="dxa"/>
            <w:vAlign w:val="bottom"/>
          </w:tcPr>
          <w:p>
            <w:pPr>
              <w:spacing w:after="0"/>
              <w:rPr>
                <w:sz w:val="23"/>
                <w:szCs w:val="2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(30,161)</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(41,563)</w:t>
            </w:r>
          </w:p>
        </w:tc>
        <w:tc>
          <w:tcPr>
            <w:tcW w:w="0" w:type="dxa"/>
            <w:vAlign w:val="bottom"/>
          </w:tcPr>
          <w:p>
            <w:pPr>
              <w:spacing w:after="0"/>
              <w:rPr>
                <w:sz w:val="1"/>
                <w:szCs w:val="1"/>
                <w:color w:val="auto"/>
              </w:rPr>
            </w:pPr>
          </w:p>
        </w:tc>
      </w:tr>
      <w:tr>
        <w:trPr>
          <w:trHeight w:val="21"/>
        </w:trPr>
        <w:tc>
          <w:tcPr>
            <w:tcW w:w="4460" w:type="dxa"/>
            <w:vAlign w:val="bottom"/>
            <w:vMerge w:val="restart"/>
          </w:tcPr>
          <w:p>
            <w:pPr>
              <w:spacing w:after="0"/>
              <w:rPr>
                <w:sz w:val="20"/>
                <w:szCs w:val="20"/>
                <w:color w:val="auto"/>
              </w:rPr>
            </w:pPr>
            <w:r>
              <w:rPr>
                <w:rFonts w:ascii="Arial" w:cs="Arial" w:eastAsia="Arial" w:hAnsi="Arial"/>
                <w:sz w:val="22"/>
                <w:szCs w:val="22"/>
                <w:color w:val="auto"/>
                <w:w w:val="98"/>
              </w:rPr>
              <w:t>Shares used in net loss per share calculation -</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44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vMerge w:val="restart"/>
          </w:tcPr>
          <w:p>
            <w:pPr>
              <w:jc w:val="right"/>
              <w:ind w:right="172"/>
              <w:spacing w:after="0"/>
              <w:rPr>
                <w:sz w:val="20"/>
                <w:szCs w:val="20"/>
                <w:color w:val="auto"/>
              </w:rPr>
            </w:pPr>
            <w:r>
              <w:rPr>
                <w:rFonts w:ascii="Arial" w:cs="Arial" w:eastAsia="Arial" w:hAnsi="Arial"/>
                <w:sz w:val="22"/>
                <w:szCs w:val="22"/>
                <w:color w:val="auto"/>
              </w:rPr>
              <w:t>38,704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22"/>
                <w:szCs w:val="22"/>
                <w:color w:val="auto"/>
              </w:rPr>
              <w:t>29,151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vMerge w:val="restart"/>
          </w:tcPr>
          <w:p>
            <w:pPr>
              <w:jc w:val="right"/>
              <w:ind w:right="192"/>
              <w:spacing w:after="0"/>
              <w:rPr>
                <w:sz w:val="20"/>
                <w:szCs w:val="20"/>
                <w:color w:val="auto"/>
              </w:rPr>
            </w:pPr>
            <w:r>
              <w:rPr>
                <w:rFonts w:ascii="Arial" w:cs="Arial" w:eastAsia="Arial" w:hAnsi="Arial"/>
                <w:sz w:val="22"/>
                <w:szCs w:val="22"/>
                <w:color w:val="auto"/>
              </w:rPr>
              <w:t>32,980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restart"/>
          </w:tcPr>
          <w:p>
            <w:pPr>
              <w:jc w:val="right"/>
              <w:ind w:right="212"/>
              <w:spacing w:after="0"/>
              <w:rPr>
                <w:sz w:val="20"/>
                <w:szCs w:val="20"/>
                <w:color w:val="auto"/>
              </w:rPr>
            </w:pPr>
            <w:r>
              <w:rPr>
                <w:rFonts w:ascii="Arial" w:cs="Arial" w:eastAsia="Arial" w:hAnsi="Arial"/>
                <w:sz w:val="22"/>
                <w:szCs w:val="22"/>
                <w:color w:val="auto"/>
              </w:rPr>
              <w:t>29,008</w:t>
            </w:r>
          </w:p>
        </w:tc>
        <w:tc>
          <w:tcPr>
            <w:tcW w:w="0" w:type="dxa"/>
            <w:vAlign w:val="bottom"/>
          </w:tcPr>
          <w:p>
            <w:pPr>
              <w:spacing w:after="0"/>
              <w:rPr>
                <w:sz w:val="1"/>
                <w:szCs w:val="1"/>
                <w:color w:val="auto"/>
              </w:rPr>
            </w:pPr>
          </w:p>
        </w:tc>
      </w:tr>
      <w:tr>
        <w:trPr>
          <w:trHeight w:val="274"/>
        </w:trPr>
        <w:tc>
          <w:tcPr>
            <w:tcW w:w="4460" w:type="dxa"/>
            <w:vAlign w:val="bottom"/>
          </w:tcPr>
          <w:p>
            <w:pPr>
              <w:ind w:left="120"/>
              <w:spacing w:after="0"/>
              <w:rPr>
                <w:sz w:val="20"/>
                <w:szCs w:val="20"/>
                <w:color w:val="auto"/>
              </w:rPr>
            </w:pPr>
            <w:r>
              <w:rPr>
                <w:rFonts w:ascii="Arial" w:cs="Arial" w:eastAsia="Arial" w:hAnsi="Arial"/>
                <w:sz w:val="22"/>
                <w:szCs w:val="22"/>
                <w:color w:val="auto"/>
              </w:rPr>
              <w:t>basic and diluted (GAAP and Non-GAAP)</w:t>
            </w: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460" w:type="dxa"/>
            <w:vAlign w:val="bottom"/>
          </w:tcPr>
          <w:p>
            <w:pPr>
              <w:spacing w:after="0"/>
              <w:rPr>
                <w:sz w:val="20"/>
                <w:szCs w:val="20"/>
                <w:color w:val="auto"/>
              </w:rPr>
            </w:pPr>
            <w:r>
              <w:rPr>
                <w:rFonts w:ascii="Arial" w:cs="Arial" w:eastAsia="Arial" w:hAnsi="Arial"/>
                <w:sz w:val="22"/>
                <w:szCs w:val="22"/>
                <w:color w:val="auto"/>
                <w:w w:val="99"/>
              </w:rPr>
              <w:t>Net loss per share - basic and diluted (GAAP)</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(0.27)</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(0.61)</w:t>
            </w:r>
          </w:p>
        </w:tc>
        <w:tc>
          <w:tcPr>
            <w:tcW w:w="80" w:type="dxa"/>
            <w:vAlign w:val="bottom"/>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(1.84)</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(2.62)</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Arial" w:cs="Arial" w:eastAsia="Arial" w:hAnsi="Arial"/>
                <w:sz w:val="22"/>
                <w:szCs w:val="22"/>
                <w:color w:val="auto"/>
                <w:w w:val="90"/>
              </w:rPr>
              <w:t>Net loss per share - basic and diluted (Non-GAAP)</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(0.08)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(0.32)</w:t>
            </w:r>
          </w:p>
        </w:tc>
        <w:tc>
          <w:tcPr>
            <w:tcW w:w="80" w:type="dxa"/>
            <w:vAlign w:val="bottom"/>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(0.91)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0"/>
        </w:trPr>
        <w:tc>
          <w:tcPr>
            <w:tcW w:w="10160" w:type="dxa"/>
            <w:vAlign w:val="bottom"/>
            <w:gridSpan w:val="11"/>
          </w:tcPr>
          <w:p>
            <w:pPr>
              <w:jc w:val="center"/>
              <w:ind w:left="1132"/>
              <w:spacing w:after="0"/>
              <w:rPr>
                <w:sz w:val="20"/>
                <w:szCs w:val="20"/>
                <w:color w:val="auto"/>
              </w:rPr>
            </w:pPr>
            <w:r>
              <w:rPr>
                <w:rFonts w:ascii="Arial" w:cs="Arial" w:eastAsia="Arial" w:hAnsi="Arial"/>
                <w:sz w:val="22"/>
                <w:szCs w:val="22"/>
                <w:b w:val="1"/>
                <w:bCs w:val="1"/>
                <w:color w:val="auto"/>
              </w:rPr>
              <w:t>ITEMIZED RECONCILIATION BETWEEN GAAP AND NON-GAAP PRODUCT MARGIN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4460" w:type="dxa"/>
            <w:vAlign w:val="bottom"/>
          </w:tcPr>
          <w:p>
            <w:pPr>
              <w:spacing w:after="0"/>
              <w:rPr>
                <w:sz w:val="24"/>
                <w:szCs w:val="24"/>
                <w:color w:val="auto"/>
              </w:rPr>
            </w:pPr>
          </w:p>
        </w:tc>
        <w:tc>
          <w:tcPr>
            <w:tcW w:w="3440" w:type="dxa"/>
            <w:vAlign w:val="bottom"/>
            <w:gridSpan w:val="6"/>
          </w:tcPr>
          <w:p>
            <w:pPr>
              <w:ind w:left="20"/>
              <w:spacing w:after="0"/>
              <w:rPr>
                <w:sz w:val="20"/>
                <w:szCs w:val="20"/>
                <w:color w:val="auto"/>
              </w:rPr>
            </w:pPr>
            <w:r>
              <w:rPr>
                <w:rFonts w:ascii="Arial" w:cs="Arial" w:eastAsia="Arial" w:hAnsi="Arial"/>
                <w:sz w:val="22"/>
                <w:szCs w:val="22"/>
                <w:b w:val="1"/>
                <w:bCs w:val="1"/>
                <w:color w:val="auto"/>
                <w:w w:val="92"/>
              </w:rPr>
              <w:t>Three Months Ended December 31,</w:t>
            </w:r>
          </w:p>
        </w:tc>
        <w:tc>
          <w:tcPr>
            <w:tcW w:w="3500" w:type="dxa"/>
            <w:vAlign w:val="bottom"/>
            <w:gridSpan w:val="5"/>
          </w:tcPr>
          <w:p>
            <w:pPr>
              <w:ind w:left="40"/>
              <w:spacing w:after="0"/>
              <w:rPr>
                <w:sz w:val="20"/>
                <w:szCs w:val="20"/>
                <w:color w:val="auto"/>
              </w:rPr>
            </w:pPr>
            <w:r>
              <w:rPr>
                <w:rFonts w:ascii="Arial" w:cs="Arial" w:eastAsia="Arial" w:hAnsi="Arial"/>
                <w:sz w:val="22"/>
                <w:szCs w:val="22"/>
                <w:b w:val="1"/>
                <w:bCs w:val="1"/>
                <w:color w:val="auto"/>
                <w:w w:val="90"/>
              </w:rPr>
              <w:t>Twelve Months Ended December 31,</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22"/>
                <w:szCs w:val="22"/>
                <w:color w:val="auto"/>
              </w:rPr>
              <w:t>Product margin (GAAP)</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11,037</w:t>
            </w:r>
          </w:p>
        </w:tc>
        <w:tc>
          <w:tcPr>
            <w:tcW w:w="120" w:type="dxa"/>
            <w:vAlign w:val="bottom"/>
          </w:tcPr>
          <w:p>
            <w:pPr>
              <w:spacing w:after="0"/>
              <w:rPr>
                <w:sz w:val="22"/>
                <w:szCs w:val="22"/>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10,895</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39,360</w:t>
            </w:r>
          </w:p>
        </w:tc>
        <w:tc>
          <w:tcPr>
            <w:tcW w:w="100" w:type="dxa"/>
            <w:vAlign w:val="bottom"/>
          </w:tcPr>
          <w:p>
            <w:pPr>
              <w:spacing w:after="0"/>
              <w:rPr>
                <w:sz w:val="22"/>
                <w:szCs w:val="22"/>
                <w:color w:val="auto"/>
              </w:rPr>
            </w:pPr>
          </w:p>
        </w:tc>
        <w:tc>
          <w:tcPr>
            <w:tcW w:w="48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47,893</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11,200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538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554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2,165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2,211</w:t>
            </w:r>
          </w:p>
        </w:tc>
        <w:tc>
          <w:tcPr>
            <w:tcW w:w="0" w:type="dxa"/>
            <w:vAlign w:val="bottom"/>
          </w:tcPr>
          <w:p>
            <w:pPr>
              <w:spacing w:after="0"/>
              <w:rPr>
                <w:sz w:val="1"/>
                <w:szCs w:val="1"/>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223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294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1,077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1,347</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Arial" w:cs="Arial" w:eastAsia="Arial" w:hAnsi="Arial"/>
                <w:sz w:val="22"/>
                <w:szCs w:val="22"/>
                <w:color w:val="auto"/>
              </w:rPr>
              <w:t>Product margin (Non-GAAP)</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14,598</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14,543</w:t>
            </w:r>
          </w:p>
        </w:tc>
        <w:tc>
          <w:tcPr>
            <w:tcW w:w="80" w:type="dxa"/>
            <w:vAlign w:val="bottom"/>
          </w:tcPr>
          <w:p>
            <w:pPr>
              <w:spacing w:after="0"/>
              <w:rPr>
                <w:sz w:val="23"/>
                <w:szCs w:val="2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53,802</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62,651</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460" w:type="dxa"/>
            <w:vAlign w:val="bottom"/>
          </w:tcPr>
          <w:p>
            <w:pPr>
              <w:spacing w:after="0"/>
              <w:rPr>
                <w:sz w:val="20"/>
                <w:szCs w:val="20"/>
                <w:color w:val="auto"/>
              </w:rPr>
            </w:pPr>
            <w:r>
              <w:rPr>
                <w:rFonts w:ascii="Arial" w:cs="Arial" w:eastAsia="Arial" w:hAnsi="Arial"/>
                <w:sz w:val="22"/>
                <w:szCs w:val="22"/>
                <w:color w:val="auto"/>
              </w:rPr>
              <w:t>Product margin percentage (GAAP)</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48.0%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52.1%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12"/>
              <w:spacing w:after="0"/>
              <w:rPr>
                <w:sz w:val="20"/>
                <w:szCs w:val="20"/>
                <w:color w:val="auto"/>
              </w:rPr>
            </w:pPr>
            <w:r>
              <w:rPr>
                <w:rFonts w:ascii="Arial" w:cs="Arial" w:eastAsia="Arial" w:hAnsi="Arial"/>
                <w:sz w:val="22"/>
                <w:szCs w:val="22"/>
                <w:color w:val="auto"/>
              </w:rPr>
              <w:t>46.6%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53.8%</w:t>
            </w: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0"/>
                <w:szCs w:val="20"/>
                <w:color w:val="auto"/>
              </w:rPr>
            </w:pPr>
            <w:r>
              <w:rPr>
                <w:rFonts w:ascii="Arial" w:cs="Arial" w:eastAsia="Arial" w:hAnsi="Arial"/>
                <w:sz w:val="22"/>
                <w:szCs w:val="22"/>
                <w:color w:val="auto"/>
              </w:rPr>
              <w:t>Product margin percentage (Non-GAAP)</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63.4%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22"/>
                <w:szCs w:val="22"/>
                <w:color w:val="auto"/>
              </w:rPr>
              <w:t>69.6%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22"/>
                <w:szCs w:val="22"/>
                <w:color w:val="auto"/>
              </w:rPr>
              <w:t>63.7%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22"/>
                <w:szCs w:val="22"/>
                <w:color w:val="auto"/>
              </w:rPr>
              <w:t>70.4%</w:t>
            </w:r>
          </w:p>
        </w:tc>
        <w:tc>
          <w:tcPr>
            <w:tcW w:w="0" w:type="dxa"/>
            <w:vAlign w:val="bottom"/>
          </w:tcPr>
          <w:p>
            <w:pPr>
              <w:spacing w:after="0"/>
              <w:rPr>
                <w:sz w:val="1"/>
                <w:szCs w:val="1"/>
                <w:color w:val="auto"/>
              </w:rPr>
            </w:pPr>
          </w:p>
        </w:tc>
      </w:tr>
      <w:tr>
        <w:trPr>
          <w:trHeight w:val="810"/>
        </w:trPr>
        <w:tc>
          <w:tcPr>
            <w:tcW w:w="11400" w:type="dxa"/>
            <w:vAlign w:val="bottom"/>
            <w:gridSpan w:val="12"/>
          </w:tcPr>
          <w:p>
            <w:pPr>
              <w:jc w:val="center"/>
              <w:spacing w:after="0"/>
              <w:rPr>
                <w:sz w:val="20"/>
                <w:szCs w:val="20"/>
                <w:color w:val="auto"/>
              </w:rPr>
            </w:pPr>
            <w:r>
              <w:rPr>
                <w:rFonts w:ascii="Arial" w:cs="Arial" w:eastAsia="Arial" w:hAnsi="Arial"/>
                <w:sz w:val="22"/>
                <w:szCs w:val="22"/>
                <w:b w:val="1"/>
                <w:bCs w:val="1"/>
                <w:color w:val="auto"/>
                <w:w w:val="99"/>
              </w:rPr>
              <w:t>ITEMIZED RECONCILIATION BETWEEN GAAP AND NON-GAAP OPERATING EXPENSES</w:t>
            </w:r>
          </w:p>
        </w:tc>
        <w:tc>
          <w:tcPr>
            <w:tcW w:w="0" w:type="dxa"/>
            <w:vAlign w:val="bottom"/>
          </w:tcPr>
          <w:p>
            <w:pPr>
              <w:spacing w:after="0"/>
              <w:rPr>
                <w:sz w:val="1"/>
                <w:szCs w:val="1"/>
                <w:color w:val="auto"/>
              </w:rPr>
            </w:pPr>
          </w:p>
        </w:tc>
      </w:tr>
      <w:tr>
        <w:trPr>
          <w:trHeight w:val="542"/>
        </w:trPr>
        <w:tc>
          <w:tcPr>
            <w:tcW w:w="4460" w:type="dxa"/>
            <w:vAlign w:val="bottom"/>
          </w:tcPr>
          <w:p>
            <w:pPr>
              <w:spacing w:after="0"/>
              <w:rPr>
                <w:sz w:val="24"/>
                <w:szCs w:val="24"/>
                <w:color w:val="auto"/>
              </w:rPr>
            </w:pPr>
          </w:p>
        </w:tc>
        <w:tc>
          <w:tcPr>
            <w:tcW w:w="3440" w:type="dxa"/>
            <w:vAlign w:val="bottom"/>
            <w:gridSpan w:val="6"/>
          </w:tcPr>
          <w:p>
            <w:pPr>
              <w:ind w:left="20"/>
              <w:spacing w:after="0"/>
              <w:rPr>
                <w:sz w:val="20"/>
                <w:szCs w:val="20"/>
                <w:color w:val="auto"/>
              </w:rPr>
            </w:pPr>
            <w:r>
              <w:rPr>
                <w:rFonts w:ascii="Arial" w:cs="Arial" w:eastAsia="Arial" w:hAnsi="Arial"/>
                <w:sz w:val="22"/>
                <w:szCs w:val="22"/>
                <w:b w:val="1"/>
                <w:bCs w:val="1"/>
                <w:color w:val="auto"/>
                <w:w w:val="92"/>
              </w:rPr>
              <w:t>Three Months Ended December 31,</w:t>
            </w:r>
          </w:p>
        </w:tc>
        <w:tc>
          <w:tcPr>
            <w:tcW w:w="3500" w:type="dxa"/>
            <w:vAlign w:val="bottom"/>
            <w:gridSpan w:val="5"/>
          </w:tcPr>
          <w:p>
            <w:pPr>
              <w:ind w:left="40"/>
              <w:spacing w:after="0"/>
              <w:rPr>
                <w:sz w:val="20"/>
                <w:szCs w:val="20"/>
                <w:color w:val="auto"/>
              </w:rPr>
            </w:pPr>
            <w:r>
              <w:rPr>
                <w:rFonts w:ascii="Arial" w:cs="Arial" w:eastAsia="Arial" w:hAnsi="Arial"/>
                <w:sz w:val="22"/>
                <w:szCs w:val="22"/>
                <w:b w:val="1"/>
                <w:bCs w:val="1"/>
                <w:color w:val="auto"/>
                <w:w w:val="90"/>
              </w:rPr>
              <w:t>Twelve Months Ended December 31,</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23,021</w:t>
            </w:r>
          </w:p>
        </w:tc>
        <w:tc>
          <w:tcPr>
            <w:tcW w:w="120" w:type="dxa"/>
            <w:vAlign w:val="bottom"/>
          </w:tcPr>
          <w:p>
            <w:pPr>
              <w:spacing w:after="0"/>
              <w:rPr>
                <w:sz w:val="22"/>
                <w:szCs w:val="22"/>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31,542</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110,342</w:t>
            </w:r>
          </w:p>
        </w:tc>
        <w:tc>
          <w:tcPr>
            <w:tcW w:w="100" w:type="dxa"/>
            <w:vAlign w:val="bottom"/>
          </w:tcPr>
          <w:p>
            <w:pPr>
              <w:spacing w:after="0"/>
              <w:rPr>
                <w:sz w:val="22"/>
                <w:szCs w:val="22"/>
                <w:color w:val="auto"/>
              </w:rPr>
            </w:pPr>
          </w:p>
        </w:tc>
        <w:tc>
          <w:tcPr>
            <w:tcW w:w="48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131,627</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36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(1,772)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32"/>
              <w:spacing w:after="0"/>
              <w:rPr>
                <w:sz w:val="20"/>
                <w:szCs w:val="20"/>
                <w:color w:val="auto"/>
              </w:rPr>
            </w:pPr>
            <w:r>
              <w:rPr>
                <w:rFonts w:ascii="Arial" w:cs="Arial" w:eastAsia="Arial" w:hAnsi="Arial"/>
                <w:sz w:val="22"/>
                <w:szCs w:val="22"/>
                <w:color w:val="auto"/>
              </w:rPr>
              <w:t>(2,531)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(8,015)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22"/>
                <w:szCs w:val="22"/>
                <w:color w:val="auto"/>
              </w:rPr>
              <w:t>(12,511)</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6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(976)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32"/>
              <w:spacing w:after="0"/>
              <w:rPr>
                <w:sz w:val="20"/>
                <w:szCs w:val="20"/>
                <w:color w:val="auto"/>
              </w:rPr>
            </w:pPr>
            <w:r>
              <w:rPr>
                <w:rFonts w:ascii="Arial" w:cs="Arial" w:eastAsia="Arial" w:hAnsi="Arial"/>
                <w:sz w:val="22"/>
                <w:szCs w:val="22"/>
                <w:color w:val="auto"/>
              </w:rPr>
              <w:t>(1,083)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(4,926)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22"/>
                <w:szCs w:val="22"/>
                <w:color w:val="auto"/>
              </w:rPr>
              <w:t>(4,051)</w:t>
            </w:r>
          </w:p>
        </w:tc>
        <w:tc>
          <w:tcPr>
            <w:tcW w:w="0" w:type="dxa"/>
            <w:vAlign w:val="bottom"/>
          </w:tcPr>
          <w:p>
            <w:pPr>
              <w:spacing w:after="0"/>
              <w:rPr>
                <w:sz w:val="1"/>
                <w:szCs w:val="1"/>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22"/>
                <w:szCs w:val="22"/>
                <w:color w:val="auto"/>
                <w:w w:val="96"/>
              </w:rPr>
              <w:t>Loss on disposal of property and equipment (e)</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(134)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(75)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(135)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20,139</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27,853</w:t>
            </w:r>
          </w:p>
        </w:tc>
        <w:tc>
          <w:tcPr>
            <w:tcW w:w="80" w:type="dxa"/>
            <w:vAlign w:val="bottom"/>
          </w:tcPr>
          <w:p>
            <w:pPr>
              <w:spacing w:after="0"/>
              <w:rPr>
                <w:sz w:val="23"/>
                <w:szCs w:val="2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97,266</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114,978</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0"/>
        </w:trPr>
        <w:tc>
          <w:tcPr>
            <w:tcW w:w="11400" w:type="dxa"/>
            <w:vAlign w:val="bottom"/>
            <w:gridSpan w:val="12"/>
          </w:tcPr>
          <w:p>
            <w:pPr>
              <w:jc w:val="center"/>
              <w:spacing w:after="0"/>
              <w:rPr>
                <w:sz w:val="20"/>
                <w:szCs w:val="20"/>
                <w:color w:val="auto"/>
              </w:rPr>
            </w:pPr>
            <w:r>
              <w:rPr>
                <w:rFonts w:ascii="Arial" w:cs="Arial" w:eastAsia="Arial" w:hAnsi="Arial"/>
                <w:sz w:val="22"/>
                <w:szCs w:val="22"/>
                <w:b w:val="1"/>
                <w:bCs w:val="1"/>
                <w:color w:val="auto"/>
                <w:w w:val="99"/>
              </w:rPr>
              <w:t>ITEMIZED RECONCILIATION BETWEEN GAAP AND NON-GAAP LOSS FROM OPERATIONS</w:t>
            </w:r>
          </w:p>
        </w:tc>
        <w:tc>
          <w:tcPr>
            <w:tcW w:w="0" w:type="dxa"/>
            <w:vAlign w:val="bottom"/>
          </w:tcPr>
          <w:p>
            <w:pPr>
              <w:spacing w:after="0"/>
              <w:rPr>
                <w:sz w:val="1"/>
                <w:szCs w:val="1"/>
                <w:color w:val="auto"/>
              </w:rPr>
            </w:pPr>
          </w:p>
        </w:tc>
      </w:tr>
      <w:tr>
        <w:trPr>
          <w:trHeight w:val="542"/>
        </w:trPr>
        <w:tc>
          <w:tcPr>
            <w:tcW w:w="4460" w:type="dxa"/>
            <w:vAlign w:val="bottom"/>
          </w:tcPr>
          <w:p>
            <w:pPr>
              <w:spacing w:after="0"/>
              <w:rPr>
                <w:sz w:val="24"/>
                <w:szCs w:val="24"/>
                <w:color w:val="auto"/>
              </w:rPr>
            </w:pPr>
          </w:p>
        </w:tc>
        <w:tc>
          <w:tcPr>
            <w:tcW w:w="3440" w:type="dxa"/>
            <w:vAlign w:val="bottom"/>
            <w:gridSpan w:val="6"/>
          </w:tcPr>
          <w:p>
            <w:pPr>
              <w:ind w:left="20"/>
              <w:spacing w:after="0"/>
              <w:rPr>
                <w:sz w:val="20"/>
                <w:szCs w:val="20"/>
                <w:color w:val="auto"/>
              </w:rPr>
            </w:pPr>
            <w:r>
              <w:rPr>
                <w:rFonts w:ascii="Arial" w:cs="Arial" w:eastAsia="Arial" w:hAnsi="Arial"/>
                <w:sz w:val="22"/>
                <w:szCs w:val="22"/>
                <w:b w:val="1"/>
                <w:bCs w:val="1"/>
                <w:color w:val="auto"/>
                <w:w w:val="92"/>
              </w:rPr>
              <w:t>Three Months Ended December 31,</w:t>
            </w:r>
          </w:p>
        </w:tc>
        <w:tc>
          <w:tcPr>
            <w:tcW w:w="3500" w:type="dxa"/>
            <w:vAlign w:val="bottom"/>
            <w:gridSpan w:val="5"/>
          </w:tcPr>
          <w:p>
            <w:pPr>
              <w:ind w:left="40"/>
              <w:spacing w:after="0"/>
              <w:rPr>
                <w:sz w:val="20"/>
                <w:szCs w:val="20"/>
                <w:color w:val="auto"/>
              </w:rPr>
            </w:pPr>
            <w:r>
              <w:rPr>
                <w:rFonts w:ascii="Arial" w:cs="Arial" w:eastAsia="Arial" w:hAnsi="Arial"/>
                <w:sz w:val="22"/>
                <w:szCs w:val="22"/>
                <w:b w:val="1"/>
                <w:bCs w:val="1"/>
                <w:color w:val="auto"/>
                <w:w w:val="90"/>
              </w:rPr>
              <w:t>Twelve Months Ended December 31,</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2017</w:t>
            </w: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(8,734)</w:t>
            </w:r>
          </w:p>
        </w:tc>
        <w:tc>
          <w:tcPr>
            <w:tcW w:w="120" w:type="dxa"/>
            <w:vAlign w:val="bottom"/>
          </w:tcPr>
          <w:p>
            <w:pPr>
              <w:spacing w:after="0"/>
              <w:rPr>
                <w:sz w:val="22"/>
                <w:szCs w:val="22"/>
                <w:color w:val="auto"/>
              </w:rPr>
            </w:pPr>
          </w:p>
        </w:tc>
        <w:tc>
          <w:tcPr>
            <w:tcW w:w="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Pr>
          <w:p>
            <w:pPr>
              <w:jc w:val="right"/>
              <w:ind w:right="132"/>
              <w:spacing w:after="0"/>
              <w:rPr>
                <w:sz w:val="20"/>
                <w:szCs w:val="20"/>
                <w:color w:val="auto"/>
              </w:rPr>
            </w:pPr>
            <w:r>
              <w:rPr>
                <w:rFonts w:ascii="Arial" w:cs="Arial" w:eastAsia="Arial" w:hAnsi="Arial"/>
                <w:sz w:val="22"/>
                <w:szCs w:val="22"/>
                <w:color w:val="auto"/>
              </w:rPr>
              <w:t>(17,697)</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Arial" w:cs="Arial" w:eastAsia="Arial" w:hAnsi="Arial"/>
                <w:sz w:val="22"/>
                <w:szCs w:val="22"/>
                <w:color w:val="auto"/>
              </w:rPr>
              <w:t>$</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rPr>
              <w:t>(58,360)</w:t>
            </w:r>
          </w:p>
        </w:tc>
        <w:tc>
          <w:tcPr>
            <w:tcW w:w="100" w:type="dxa"/>
            <w:vAlign w:val="bottom"/>
          </w:tcPr>
          <w:p>
            <w:pPr>
              <w:spacing w:after="0"/>
              <w:rPr>
                <w:sz w:val="22"/>
                <w:szCs w:val="22"/>
                <w:color w:val="auto"/>
              </w:rPr>
            </w:pPr>
          </w:p>
        </w:tc>
        <w:tc>
          <w:tcPr>
            <w:tcW w:w="48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152"/>
              <w:spacing w:after="0"/>
              <w:rPr>
                <w:sz w:val="20"/>
                <w:szCs w:val="20"/>
                <w:color w:val="auto"/>
              </w:rPr>
            </w:pPr>
            <w:r>
              <w:rPr>
                <w:rFonts w:ascii="Arial" w:cs="Arial" w:eastAsia="Arial" w:hAnsi="Arial"/>
                <w:sz w:val="22"/>
                <w:szCs w:val="22"/>
                <w:color w:val="auto"/>
              </w:rPr>
              <w:t>(73,190)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1,995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2,825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9,092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13,858</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11,200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11,200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60" w:type="dxa"/>
            <w:vAlign w:val="bottom"/>
          </w:tcPr>
          <w:p>
            <w:pPr>
              <w:spacing w:after="0"/>
              <w:rPr>
                <w:sz w:val="23"/>
                <w:szCs w:val="23"/>
                <w:color w:val="auto"/>
              </w:rPr>
            </w:pPr>
          </w:p>
        </w:tc>
        <w:tc>
          <w:tcPr>
            <w:tcW w:w="1240" w:type="dxa"/>
            <w:vAlign w:val="bottom"/>
          </w:tcPr>
          <w:p>
            <w:pPr>
              <w:jc w:val="right"/>
              <w:ind w:right="172"/>
              <w:spacing w:after="0"/>
              <w:rPr>
                <w:sz w:val="20"/>
                <w:szCs w:val="20"/>
                <w:color w:val="auto"/>
              </w:rPr>
            </w:pPr>
            <w:r>
              <w:rPr>
                <w:rFonts w:ascii="Arial" w:cs="Arial" w:eastAsia="Arial" w:hAnsi="Arial"/>
                <w:sz w:val="22"/>
                <w:szCs w:val="22"/>
                <w:color w:val="auto"/>
              </w:rPr>
              <w:t>1,514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Arial" w:cs="Arial" w:eastAsia="Arial" w:hAnsi="Arial"/>
                <w:sz w:val="22"/>
                <w:szCs w:val="22"/>
                <w:color w:val="auto"/>
              </w:rPr>
              <w:t>1,637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2"/>
              <w:spacing w:after="0"/>
              <w:rPr>
                <w:sz w:val="20"/>
                <w:szCs w:val="20"/>
                <w:color w:val="auto"/>
              </w:rPr>
            </w:pPr>
            <w:r>
              <w:rPr>
                <w:rFonts w:ascii="Arial" w:cs="Arial" w:eastAsia="Arial" w:hAnsi="Arial"/>
                <w:sz w:val="22"/>
                <w:szCs w:val="22"/>
                <w:color w:val="auto"/>
              </w:rPr>
              <w:t>7,091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22"/>
                <w:szCs w:val="22"/>
                <w:color w:val="auto"/>
              </w:rPr>
              <w:t>6,262</w:t>
            </w:r>
          </w:p>
        </w:tc>
        <w:tc>
          <w:tcPr>
            <w:tcW w:w="0" w:type="dxa"/>
            <w:vAlign w:val="bottom"/>
          </w:tcPr>
          <w:p>
            <w:pPr>
              <w:spacing w:after="0"/>
              <w:rPr>
                <w:sz w:val="1"/>
                <w:szCs w:val="1"/>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22"/>
                <w:szCs w:val="22"/>
                <w:color w:val="auto"/>
                <w:w w:val="96"/>
              </w:rPr>
              <w:t>Loss on disposal of property and equipment (e)</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134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75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135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(2,291)</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(10,360)</w:t>
            </w:r>
          </w:p>
        </w:tc>
        <w:tc>
          <w:tcPr>
            <w:tcW w:w="80" w:type="dxa"/>
            <w:vAlign w:val="bottom"/>
          </w:tcPr>
          <w:p>
            <w:pPr>
              <w:spacing w:after="0"/>
              <w:rPr>
                <w:sz w:val="23"/>
                <w:szCs w:val="2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(30,842)</w:t>
            </w:r>
          </w:p>
        </w:tc>
        <w:tc>
          <w:tcPr>
            <w:tcW w:w="100" w:type="dxa"/>
            <w:vAlign w:val="bottom"/>
          </w:tcPr>
          <w:p>
            <w:pPr>
              <w:spacing w:after="0"/>
              <w:rPr>
                <w:sz w:val="23"/>
                <w:szCs w:val="23"/>
                <w:color w:val="auto"/>
              </w:rPr>
            </w:pPr>
          </w:p>
        </w:tc>
        <w:tc>
          <w:tcPr>
            <w:tcW w:w="4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(41,783)</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on Senior Convertible Notes</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400"/>
      </w:cols>
      <w:pgMar w:left="260" w:top="118" w:right="239" w:bottom="7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2019-12-29T02:05:43Z</dcterms:created>
  <dcterms:modified xsi:type="dcterms:W3CDTF">2019-12-29T02:05:43Z</dcterms:modified>
</cp:coreProperties>
</file>