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February 10,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724"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340"/>
          </w:cols>
          <w:pgMar w:left="240" w:top="724"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460" w:firstLine="292"/>
        <w:spacing w:after="0" w:line="501" w:lineRule="auto"/>
        <w:tabs>
          <w:tab w:leader="none" w:pos="479"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On February 10, 2020, Fluidigm Corporation issued a press release reporting its financial results for the fourth quarter and full year ended December 31, 2019. A copy of the press release is furnished herewith as Exhibit 99.1.</w:t>
      </w:r>
    </w:p>
    <w:p>
      <w:pPr>
        <w:spacing w:after="0" w:line="170"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446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46"/>
        </w:trPr>
        <w:tc>
          <w:tcPr>
            <w:tcW w:w="1440" w:type="dxa"/>
            <w:vAlign w:val="bottom"/>
            <w:gridSpan w:val="3"/>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9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Fluidigm Corporation Press Release dated February 10, 2020.</w:t>
              </w:r>
            </w:hyperlink>
          </w:p>
        </w:tc>
      </w:tr>
      <w:tr>
        <w:trPr>
          <w:trHeight w:val="260"/>
        </w:trPr>
        <w:tc>
          <w:tcPr>
            <w:tcW w:w="20" w:type="dxa"/>
            <w:vAlign w:val="bottom"/>
            <w:tcBorders>
              <w:bottom w:val="single" w:sz="8" w:color="808080"/>
            </w:tcBorders>
          </w:tcPr>
          <w:p>
            <w:pPr>
              <w:spacing w:after="0"/>
              <w:rPr>
                <w:sz w:val="22"/>
                <w:szCs w:val="22"/>
                <w:color w:val="auto"/>
              </w:rPr>
            </w:pPr>
          </w:p>
        </w:tc>
        <w:tc>
          <w:tcPr>
            <w:tcW w:w="320" w:type="dxa"/>
            <w:vAlign w:val="bottom"/>
            <w:tcBorders>
              <w:top w:val="single" w:sz="8" w:color="0000EE"/>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4460" w:type="dxa"/>
            <w:vAlign w:val="bottom"/>
            <w:tcBorders>
              <w:top w:val="single" w:sz="8" w:color="0000EE"/>
              <w:bottom w:val="single" w:sz="8" w:color="808080"/>
            </w:tcBorders>
          </w:tcPr>
          <w:p>
            <w:pPr>
              <w:spacing w:after="0"/>
              <w:rPr>
                <w:sz w:val="22"/>
                <w:szCs w:val="22"/>
                <w:color w:val="auto"/>
              </w:rPr>
            </w:pPr>
          </w:p>
        </w:tc>
        <w:tc>
          <w:tcPr>
            <w:tcW w:w="552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880" w:type="dxa"/>
            <w:vAlign w:val="bottom"/>
            <w:gridSpan w:val="3"/>
          </w:tcPr>
          <w:p>
            <w:pPr>
              <w:ind w:left="188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February 10, 2020</w:t>
            </w:r>
          </w:p>
        </w:tc>
        <w:tc>
          <w:tcPr>
            <w:tcW w:w="3880" w:type="dxa"/>
            <w:vAlign w:val="bottom"/>
            <w:gridSpan w:val="3"/>
          </w:tcPr>
          <w:p>
            <w:pPr>
              <w:ind w:left="1880"/>
              <w:spacing w:after="0"/>
              <w:rPr>
                <w:sz w:val="20"/>
                <w:szCs w:val="20"/>
                <w:color w:val="auto"/>
              </w:rPr>
            </w:pPr>
            <w:r>
              <w:rPr>
                <w:rFonts w:ascii="Arial" w:cs="Arial" w:eastAsia="Arial" w:hAnsi="Arial"/>
                <w:sz w:val="18"/>
                <w:szCs w:val="18"/>
                <w:color w:val="auto"/>
              </w:rPr>
              <w:t>By: /s/ Vikram Jog</w:t>
            </w:r>
          </w:p>
        </w:tc>
      </w:tr>
      <w:tr>
        <w:trPr>
          <w:trHeight w:val="222"/>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8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Fluidigm Announces Fourth Quarter and Full Year 2019 Financial Results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Fourth quarter revenue of $32.4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Full year 2019 revenue increased 4 percent to $117.2 million; full year mass cytometry revenue increased 23 percent</w:t>
      </w:r>
    </w:p>
    <w:p>
      <w:pPr>
        <w:spacing w:after="0" w:line="268" w:lineRule="exact"/>
        <w:rPr>
          <w:sz w:val="20"/>
          <w:szCs w:val="20"/>
          <w:color w:val="auto"/>
        </w:rPr>
      </w:pPr>
    </w:p>
    <w:p>
      <w:pPr>
        <w:jc w:val="center"/>
        <w:ind w:left="260" w:right="820"/>
        <w:spacing w:after="0" w:line="532" w:lineRule="auto"/>
        <w:rPr>
          <w:sz w:val="20"/>
          <w:szCs w:val="20"/>
          <w:color w:val="auto"/>
        </w:rPr>
      </w:pPr>
      <w:r>
        <w:rPr>
          <w:rFonts w:ascii="Arial" w:cs="Arial" w:eastAsia="Arial" w:hAnsi="Arial"/>
          <w:sz w:val="18"/>
          <w:szCs w:val="18"/>
          <w:b w:val="1"/>
          <w:bCs w:val="1"/>
          <w:i w:val="1"/>
          <w:iCs w:val="1"/>
          <w:color w:val="auto"/>
        </w:rPr>
        <w:t>Landmark Nature publication demonstrates potential clinical value of using Imaging Mass Cytometry Covance selects Fluidigm CyTOF technology to develop highly multiplexed human immune profiling services</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SOUTH SAN FRANCISCO, Feb. 10, 2020 (GLOBE NEWSWIRE) -- Fluidigm Corporation (NASDAQ:FLDM) today announced financial results for the fourth quarter and full year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Fourth Quarter 2019</w:t>
      </w:r>
    </w:p>
    <w:p>
      <w:pPr>
        <w:spacing w:after="0" w:line="206" w:lineRule="exact"/>
        <w:rPr>
          <w:sz w:val="20"/>
          <w:szCs w:val="20"/>
          <w:color w:val="auto"/>
        </w:rPr>
      </w:pPr>
    </w:p>
    <w:p>
      <w:pPr>
        <w:ind w:left="540" w:right="220"/>
        <w:spacing w:after="0" w:line="236" w:lineRule="auto"/>
        <w:rPr>
          <w:sz w:val="20"/>
          <w:szCs w:val="20"/>
          <w:color w:val="auto"/>
        </w:rPr>
      </w:pPr>
      <w:r>
        <w:rPr>
          <w:rFonts w:ascii="Arial" w:cs="Arial" w:eastAsia="Arial" w:hAnsi="Arial"/>
          <w:sz w:val="22"/>
          <w:szCs w:val="22"/>
          <w:color w:val="auto"/>
        </w:rPr>
        <w:t>Revenue of $32.4 million was flat, with instrument revenue growth of 16 percent, compared to the fourth quarter of 2018. GAAP net loss for the quarter was $12.7 million, compared with a GAAP net loss of $14.8 million for the fourth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7" w:lineRule="auto"/>
        <w:rPr>
          <w:sz w:val="20"/>
          <w:szCs w:val="20"/>
          <w:color w:val="auto"/>
        </w:rPr>
      </w:pPr>
      <w:r>
        <w:rPr>
          <w:rFonts w:ascii="Arial" w:cs="Arial" w:eastAsia="Arial" w:hAnsi="Arial"/>
          <w:sz w:val="22"/>
          <w:szCs w:val="22"/>
          <w:color w:val="auto"/>
        </w:rPr>
        <w:t>Non-GAAP net loss was $2.3 million for the quarter, compared with a $2.4 million non-GAAP net loss for the fourth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Full Year 2019</w:t>
      </w:r>
    </w:p>
    <w:p>
      <w:pPr>
        <w:spacing w:after="0" w:line="206" w:lineRule="exact"/>
        <w:rPr>
          <w:sz w:val="20"/>
          <w:szCs w:val="20"/>
          <w:color w:val="auto"/>
        </w:rPr>
      </w:pPr>
    </w:p>
    <w:p>
      <w:pPr>
        <w:ind w:left="540" w:right="20"/>
        <w:spacing w:after="0" w:line="239" w:lineRule="auto"/>
        <w:rPr>
          <w:sz w:val="20"/>
          <w:szCs w:val="20"/>
          <w:color w:val="auto"/>
        </w:rPr>
      </w:pPr>
      <w:r>
        <w:rPr>
          <w:rFonts w:ascii="Arial" w:cs="Arial" w:eastAsia="Arial" w:hAnsi="Arial"/>
          <w:sz w:val="22"/>
          <w:szCs w:val="22"/>
          <w:color w:val="auto"/>
        </w:rPr>
        <w:t>Revenue increased 4 percent to $117.2 million from $113.0 million in full year 2018, with mass cytometry revenue growth of 23 percent, compared to full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0"/>
        <w:spacing w:after="0" w:line="234" w:lineRule="auto"/>
        <w:rPr>
          <w:sz w:val="20"/>
          <w:szCs w:val="20"/>
          <w:color w:val="auto"/>
        </w:rPr>
      </w:pPr>
      <w:r>
        <w:rPr>
          <w:rFonts w:ascii="Arial" w:cs="Arial" w:eastAsia="Arial" w:hAnsi="Arial"/>
          <w:sz w:val="22"/>
          <w:szCs w:val="22"/>
          <w:color w:val="auto"/>
        </w:rPr>
        <w:t>GAAP net loss was $64.8 million, compared with a GAAP net loss of $59.0 million for the full year of 2018. Non-GAAP net loss was $23.7 million for the full year, compared with a non-GAAP net loss of $20.7 million for the full year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-419735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-265430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“With solid execution on new commercial and marketing strategies, the fourth quarter reflected strong sequential quarterly growth driven by customer adoption of Imaging Mass Cytometry™. For the full year, we drove innovation, launching over 10 new products for our mass cytometry business, as well as new microfluidics content to drive penetration of new key accounts. We also reduced our debt, exiting the year with a stronger balance sheet,” said Chris Linthwaite, President and CEO.</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“Adoption across new markets has been an important driver for our mass cytometry business. In the last few months, we achieved</w:t>
      </w:r>
    </w:p>
    <w:p>
      <w:pPr>
        <w:spacing w:after="0" w:line="48"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color w:val="auto"/>
        </w:rPr>
        <w:t>further penetration in the pharma/biotech segment with a large CRO adopting CyTOF</w:t>
      </w:r>
      <w:r>
        <w:rPr>
          <w:rFonts w:ascii="Arial" w:cs="Arial" w:eastAsia="Arial" w:hAnsi="Arial"/>
          <w:sz w:val="33"/>
          <w:szCs w:val="33"/>
          <w:color w:val="auto"/>
          <w:vertAlign w:val="superscript"/>
        </w:rPr>
        <w:t>®</w:t>
      </w:r>
      <w:r>
        <w:rPr>
          <w:rFonts w:ascii="Arial" w:cs="Arial" w:eastAsia="Arial" w:hAnsi="Arial"/>
          <w:sz w:val="20"/>
          <w:szCs w:val="20"/>
          <w:color w:val="auto"/>
        </w:rPr>
        <w:t xml:space="preserve"> for commercializing sophisticated biomarker discovery and clinical support services,” added Linthwaite. “A landmark study published in </w:t>
      </w:r>
      <w:r>
        <w:rPr>
          <w:rFonts w:ascii="Arial" w:cs="Arial" w:eastAsia="Arial" w:hAnsi="Arial"/>
          <w:sz w:val="20"/>
          <w:szCs w:val="20"/>
          <w:i w:val="1"/>
          <w:iCs w:val="1"/>
          <w:color w:val="auto"/>
        </w:rPr>
        <w:t>Nature</w:t>
      </w:r>
      <w:r>
        <w:rPr>
          <w:rFonts w:ascii="Arial" w:cs="Arial" w:eastAsia="Arial" w:hAnsi="Arial"/>
          <w:sz w:val="20"/>
          <w:szCs w:val="20"/>
          <w:color w:val="auto"/>
        </w:rPr>
        <w:t>, a collaboration between the University of Zurich and a Swiss consortium of pathologists and hospital systems, demonstrated the importance of high-parameter protein image analysis of breast cancer tumors for patient stratification. Entering 2020, we expect to advance mass cytometry technology further into the health care ecosystem while reinvigorating our microfluidics franchise. We are well-positioned for accelerating growth, particularly in the latter part of the year.”</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GAAP to non-GAAP financial measures can be found in the tables of this news release.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2019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category: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Category</w:t>
            </w:r>
          </w:p>
        </w:tc>
        <w:tc>
          <w:tcPr>
            <w:tcW w:w="3620" w:type="dxa"/>
            <w:vAlign w:val="bottom"/>
            <w:tcBorders>
              <w:top w:val="single" w:sz="8" w:color="auto"/>
            </w:tcBorders>
          </w:tcPr>
          <w:p>
            <w:pPr>
              <w:jc w:val="center"/>
              <w:ind w:left="372"/>
              <w:spacing w:after="0" w:line="243" w:lineRule="exact"/>
              <w:rPr>
                <w:sz w:val="20"/>
                <w:szCs w:val="20"/>
                <w:color w:val="auto"/>
              </w:rPr>
            </w:pPr>
            <w:r>
              <w:rPr>
                <w:rFonts w:ascii="Arial" w:cs="Arial" w:eastAsia="Arial" w:hAnsi="Arial"/>
                <w:sz w:val="22"/>
                <w:szCs w:val="22"/>
                <w:b w:val="1"/>
                <w:bCs w:val="1"/>
                <w:color w:val="auto"/>
                <w:w w:val="87"/>
              </w:rPr>
              <w:t>Revenue by Category</w:t>
            </w:r>
          </w:p>
        </w:tc>
        <w:tc>
          <w:tcPr>
            <w:tcW w:w="2820" w:type="dxa"/>
            <w:vAlign w:val="bottom"/>
            <w:tcBorders>
              <w:top w:val="single" w:sz="8" w:color="auto"/>
            </w:tcBorders>
          </w:tcPr>
          <w:p>
            <w:pPr>
              <w:jc w:val="center"/>
              <w:ind w:right="152"/>
              <w:spacing w:after="0" w:line="243" w:lineRule="exact"/>
              <w:rPr>
                <w:sz w:val="20"/>
                <w:szCs w:val="20"/>
                <w:color w:val="auto"/>
              </w:rPr>
            </w:pPr>
            <w:r>
              <w:rPr>
                <w:rFonts w:ascii="Arial" w:cs="Arial" w:eastAsia="Arial" w:hAnsi="Arial"/>
                <w:sz w:val="22"/>
                <w:szCs w:val="22"/>
                <w:b w:val="1"/>
                <w:bCs w:val="1"/>
                <w:color w:val="auto"/>
                <w:w w:val="89"/>
              </w:rPr>
              <w:t>Year-over-Year</w:t>
            </w:r>
          </w:p>
        </w:tc>
        <w:tc>
          <w:tcPr>
            <w:tcW w:w="2740" w:type="dxa"/>
            <w:vAlign w:val="bottom"/>
            <w:tcBorders>
              <w:top w:val="single" w:sz="8" w:color="auto"/>
            </w:tcBorders>
          </w:tcPr>
          <w:p>
            <w:pPr>
              <w:jc w:val="center"/>
              <w:ind w:right="12"/>
              <w:spacing w:after="0" w:line="243" w:lineRule="exact"/>
              <w:rPr>
                <w:sz w:val="20"/>
                <w:szCs w:val="20"/>
                <w:color w:val="auto"/>
              </w:rPr>
            </w:pPr>
            <w:r>
              <w:rPr>
                <w:rFonts w:ascii="Arial" w:cs="Arial" w:eastAsia="Arial" w:hAnsi="Arial"/>
                <w:sz w:val="22"/>
                <w:szCs w:val="22"/>
                <w:b w:val="1"/>
                <w:bCs w:val="1"/>
                <w:color w:val="auto"/>
                <w:w w:val="93"/>
              </w:rPr>
              <w:t>% of Total</w:t>
            </w:r>
          </w:p>
        </w:tc>
      </w:tr>
      <w:tr>
        <w:trPr>
          <w:trHeight w:val="282"/>
        </w:trPr>
        <w:tc>
          <w:tcPr>
            <w:tcW w:w="22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b w:val="1"/>
                <w:bCs w:val="1"/>
                <w:color w:val="auto"/>
                <w:w w:val="86"/>
              </w:rPr>
              <w:t>Change</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w:t>
            </w:r>
          </w:p>
        </w:tc>
      </w:tr>
      <w:tr>
        <w:trPr>
          <w:trHeight w:val="257"/>
        </w:trPr>
        <w:tc>
          <w:tcPr>
            <w:tcW w:w="2240" w:type="dxa"/>
            <w:vAlign w:val="bottom"/>
          </w:tcPr>
          <w:p>
            <w:pPr>
              <w:ind w:left="20"/>
              <w:spacing w:after="0"/>
              <w:rPr>
                <w:sz w:val="20"/>
                <w:szCs w:val="20"/>
                <w:color w:val="auto"/>
              </w:rPr>
            </w:pPr>
            <w:r>
              <w:rPr>
                <w:rFonts w:ascii="Arial" w:cs="Arial" w:eastAsia="Arial" w:hAnsi="Arial"/>
                <w:sz w:val="22"/>
                <w:szCs w:val="22"/>
                <w:color w:val="auto"/>
              </w:rPr>
              <w:t>Instruments</w:t>
            </w:r>
          </w:p>
        </w:tc>
        <w:tc>
          <w:tcPr>
            <w:tcW w:w="3620" w:type="dxa"/>
            <w:vAlign w:val="bottom"/>
          </w:tcPr>
          <w:p>
            <w:pPr>
              <w:jc w:val="center"/>
              <w:ind w:left="392"/>
              <w:spacing w:after="0"/>
              <w:rPr>
                <w:sz w:val="20"/>
                <w:szCs w:val="20"/>
                <w:color w:val="auto"/>
              </w:rPr>
            </w:pPr>
            <w:r>
              <w:rPr>
                <w:rFonts w:ascii="Arial" w:cs="Arial" w:eastAsia="Arial" w:hAnsi="Arial"/>
                <w:sz w:val="22"/>
                <w:szCs w:val="22"/>
                <w:color w:val="auto"/>
                <w:w w:val="93"/>
              </w:rPr>
              <w:t>$15.8 million</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90"/>
              </w:rPr>
              <w:t>16%</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49%</w:t>
            </w:r>
          </w:p>
        </w:tc>
      </w:tr>
      <w:tr>
        <w:trPr>
          <w:trHeight w:val="270"/>
        </w:trPr>
        <w:tc>
          <w:tcPr>
            <w:tcW w:w="2240" w:type="dxa"/>
            <w:vAlign w:val="bottom"/>
          </w:tcPr>
          <w:p>
            <w:pPr>
              <w:ind w:left="20"/>
              <w:spacing w:after="0"/>
              <w:rPr>
                <w:sz w:val="20"/>
                <w:szCs w:val="20"/>
                <w:color w:val="auto"/>
              </w:rPr>
            </w:pPr>
            <w:r>
              <w:rPr>
                <w:rFonts w:ascii="Arial" w:cs="Arial" w:eastAsia="Arial" w:hAnsi="Arial"/>
                <w:sz w:val="22"/>
                <w:szCs w:val="22"/>
                <w:color w:val="auto"/>
              </w:rPr>
              <w:t>Consumables</w:t>
            </w:r>
          </w:p>
        </w:tc>
        <w:tc>
          <w:tcPr>
            <w:tcW w:w="3620" w:type="dxa"/>
            <w:vAlign w:val="bottom"/>
          </w:tcPr>
          <w:p>
            <w:pPr>
              <w:jc w:val="center"/>
              <w:ind w:left="392"/>
              <w:spacing w:after="0"/>
              <w:rPr>
                <w:sz w:val="20"/>
                <w:szCs w:val="20"/>
                <w:color w:val="auto"/>
              </w:rPr>
            </w:pPr>
            <w:r>
              <w:rPr>
                <w:rFonts w:ascii="Arial" w:cs="Arial" w:eastAsia="Arial" w:hAnsi="Arial"/>
                <w:sz w:val="22"/>
                <w:szCs w:val="22"/>
                <w:color w:val="auto"/>
                <w:w w:val="93"/>
              </w:rPr>
              <w:t>$10.9 million</w:t>
            </w:r>
          </w:p>
        </w:tc>
        <w:tc>
          <w:tcPr>
            <w:tcW w:w="2820" w:type="dxa"/>
            <w:vAlign w:val="bottom"/>
          </w:tcPr>
          <w:p>
            <w:pPr>
              <w:jc w:val="center"/>
              <w:ind w:right="132"/>
              <w:spacing w:after="0"/>
              <w:rPr>
                <w:sz w:val="20"/>
                <w:szCs w:val="20"/>
                <w:color w:val="auto"/>
              </w:rPr>
            </w:pPr>
            <w:r>
              <w:rPr>
                <w:rFonts w:ascii="Arial" w:cs="Arial" w:eastAsia="Arial" w:hAnsi="Arial"/>
                <w:sz w:val="22"/>
                <w:szCs w:val="22"/>
                <w:color w:val="auto"/>
                <w:w w:val="91"/>
              </w:rPr>
              <w:t>(19%)</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33%</w:t>
            </w:r>
          </w:p>
        </w:tc>
      </w:tr>
      <w:tr>
        <w:trPr>
          <w:trHeight w:val="270"/>
        </w:trPr>
        <w:tc>
          <w:tcPr>
            <w:tcW w:w="2240" w:type="dxa"/>
            <w:vAlign w:val="bottom"/>
          </w:tcPr>
          <w:p>
            <w:pPr>
              <w:ind w:left="20"/>
              <w:spacing w:after="0"/>
              <w:rPr>
                <w:sz w:val="20"/>
                <w:szCs w:val="20"/>
                <w:color w:val="auto"/>
              </w:rPr>
            </w:pPr>
            <w:r>
              <w:rPr>
                <w:rFonts w:ascii="Arial" w:cs="Arial" w:eastAsia="Arial" w:hAnsi="Arial"/>
                <w:sz w:val="22"/>
                <w:szCs w:val="22"/>
                <w:color w:val="auto"/>
              </w:rPr>
              <w:t>Service</w:t>
            </w:r>
          </w:p>
        </w:tc>
        <w:tc>
          <w:tcPr>
            <w:tcW w:w="3620" w:type="dxa"/>
            <w:vAlign w:val="bottom"/>
          </w:tcPr>
          <w:p>
            <w:pPr>
              <w:jc w:val="center"/>
              <w:ind w:left="372"/>
              <w:spacing w:after="0"/>
              <w:rPr>
                <w:sz w:val="20"/>
                <w:szCs w:val="20"/>
                <w:color w:val="auto"/>
              </w:rPr>
            </w:pPr>
            <w:r>
              <w:rPr>
                <w:rFonts w:ascii="Arial" w:cs="Arial" w:eastAsia="Arial" w:hAnsi="Arial"/>
                <w:sz w:val="22"/>
                <w:szCs w:val="22"/>
                <w:color w:val="auto"/>
                <w:w w:val="95"/>
              </w:rPr>
              <w:t>$5.4 million</w:t>
            </w:r>
          </w:p>
        </w:tc>
        <w:tc>
          <w:tcPr>
            <w:tcW w:w="2820" w:type="dxa"/>
            <w:vAlign w:val="bottom"/>
          </w:tcPr>
          <w:p>
            <w:pPr>
              <w:jc w:val="center"/>
              <w:ind w:right="132"/>
              <w:spacing w:after="0"/>
              <w:rPr>
                <w:sz w:val="20"/>
                <w:szCs w:val="20"/>
                <w:color w:val="auto"/>
              </w:rPr>
            </w:pPr>
            <w:r>
              <w:rPr>
                <w:rFonts w:ascii="Arial" w:cs="Arial" w:eastAsia="Arial" w:hAnsi="Arial"/>
                <w:sz w:val="22"/>
                <w:szCs w:val="22"/>
                <w:color w:val="auto"/>
                <w:w w:val="94"/>
              </w:rPr>
              <w:t>4%</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17%</w:t>
            </w:r>
          </w:p>
        </w:tc>
      </w:tr>
      <w:tr>
        <w:trPr>
          <w:trHeight w:val="27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Grant</w:t>
            </w:r>
          </w:p>
        </w:tc>
        <w:tc>
          <w:tcPr>
            <w:tcW w:w="3620" w:type="dxa"/>
            <w:vAlign w:val="bottom"/>
            <w:tcBorders>
              <w:bottom w:val="single" w:sz="8" w:color="auto"/>
            </w:tcBorders>
          </w:tcPr>
          <w:p>
            <w:pPr>
              <w:jc w:val="center"/>
              <w:ind w:left="372"/>
              <w:spacing w:after="0"/>
              <w:rPr>
                <w:sz w:val="20"/>
                <w:szCs w:val="20"/>
                <w:color w:val="auto"/>
              </w:rPr>
            </w:pPr>
            <w:r>
              <w:rPr>
                <w:rFonts w:ascii="Arial" w:cs="Arial" w:eastAsia="Arial" w:hAnsi="Arial"/>
                <w:sz w:val="22"/>
                <w:szCs w:val="22"/>
                <w:color w:val="auto"/>
                <w:w w:val="95"/>
              </w:rPr>
              <w:t>$0.4 million</w:t>
            </w:r>
          </w:p>
        </w:tc>
        <w:tc>
          <w:tcPr>
            <w:tcW w:w="282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color w:val="auto"/>
              </w:rPr>
              <w:t>N/A</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1%</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market:</w:t>
      </w:r>
    </w:p>
    <w:p>
      <w:pPr>
        <w:spacing w:after="0" w:line="206" w:lineRule="exact"/>
        <w:rPr>
          <w:sz w:val="20"/>
          <w:szCs w:val="20"/>
          <w:color w:val="auto"/>
        </w:rPr>
      </w:pPr>
    </w:p>
    <w:p>
      <w:pPr>
        <w:ind w:left="540" w:right="240"/>
        <w:spacing w:after="0"/>
        <w:rPr>
          <w:sz w:val="20"/>
          <w:szCs w:val="20"/>
          <w:color w:val="auto"/>
        </w:rPr>
      </w:pPr>
      <w:r>
        <w:rPr>
          <w:rFonts w:ascii="Arial" w:cs="Arial" w:eastAsia="Arial" w:hAnsi="Arial"/>
          <w:sz w:val="22"/>
          <w:szCs w:val="22"/>
          <w:color w:val="auto"/>
        </w:rPr>
        <w:t>Mass cytometry revenue increased 13 percent to $21.5 million from $19.1 million in the prior year period. Mass cytometry product revenue increased 10 percent to $17.8 million from $16.2 million in the prior year due to higher sales of both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80"/>
        <w:spacing w:after="0"/>
        <w:rPr>
          <w:sz w:val="20"/>
          <w:szCs w:val="20"/>
          <w:color w:val="auto"/>
        </w:rPr>
      </w:pPr>
      <w:r>
        <w:rPr>
          <w:rFonts w:ascii="Arial" w:cs="Arial" w:eastAsia="Arial" w:hAnsi="Arial"/>
          <w:sz w:val="22"/>
          <w:szCs w:val="22"/>
          <w:color w:val="auto"/>
        </w:rPr>
        <w:t>Microfluidics revenue decreased 18 percent to $10.9 million from $13.2 million in the prior year period. Microfluidics product revenue decreased 19 percent to $8.9 million from $11.0 million in the prior year period primarily due to lower sales of consumables partially offset by higher sales of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bookmarkStart w:id="4" w:name="page5"/>
    <w:bookmarkEnd w:id="4"/>
    <w:p>
      <w:pPr>
        <w:spacing w:after="0" w:line="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Total revenue by geographic area: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2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Geographic Area</w:t>
            </w:r>
          </w:p>
        </w:tc>
        <w:tc>
          <w:tcPr>
            <w:tcW w:w="3500" w:type="dxa"/>
            <w:vAlign w:val="bottom"/>
            <w:tcBorders>
              <w:top w:val="single" w:sz="8" w:color="auto"/>
            </w:tcBorders>
          </w:tcPr>
          <w:p>
            <w:pPr>
              <w:jc w:val="center"/>
              <w:ind w:left="152"/>
              <w:spacing w:after="0" w:line="243" w:lineRule="exact"/>
              <w:rPr>
                <w:sz w:val="20"/>
                <w:szCs w:val="20"/>
                <w:color w:val="auto"/>
              </w:rPr>
            </w:pPr>
            <w:r>
              <w:rPr>
                <w:rFonts w:ascii="Arial" w:cs="Arial" w:eastAsia="Arial" w:hAnsi="Arial"/>
                <w:sz w:val="22"/>
                <w:szCs w:val="22"/>
                <w:b w:val="1"/>
                <w:bCs w:val="1"/>
                <w:color w:val="auto"/>
                <w:w w:val="87"/>
              </w:rPr>
              <w:t>Revenue by Geography</w:t>
            </w:r>
          </w:p>
        </w:tc>
        <w:tc>
          <w:tcPr>
            <w:tcW w:w="2760" w:type="dxa"/>
            <w:vAlign w:val="bottom"/>
            <w:tcBorders>
              <w:top w:val="single" w:sz="8" w:color="auto"/>
            </w:tcBorders>
          </w:tcPr>
          <w:p>
            <w:pPr>
              <w:jc w:val="right"/>
              <w:ind w:right="732"/>
              <w:spacing w:after="0" w:line="243" w:lineRule="exact"/>
              <w:rPr>
                <w:sz w:val="20"/>
                <w:szCs w:val="20"/>
                <w:color w:val="auto"/>
              </w:rPr>
            </w:pPr>
            <w:r>
              <w:rPr>
                <w:rFonts w:ascii="Arial" w:cs="Arial" w:eastAsia="Arial" w:hAnsi="Arial"/>
                <w:sz w:val="22"/>
                <w:szCs w:val="22"/>
                <w:b w:val="1"/>
                <w:bCs w:val="1"/>
                <w:color w:val="auto"/>
              </w:rPr>
              <w:t>Year-over-Year</w:t>
            </w:r>
          </w:p>
        </w:tc>
        <w:tc>
          <w:tcPr>
            <w:tcW w:w="2740" w:type="dxa"/>
            <w:vAlign w:val="bottom"/>
            <w:tcBorders>
              <w:top w:val="single" w:sz="8" w:color="auto"/>
            </w:tcBorders>
          </w:tcPr>
          <w:p>
            <w:pPr>
              <w:jc w:val="center"/>
              <w:ind w:right="12"/>
              <w:spacing w:after="0" w:line="243" w:lineRule="exact"/>
              <w:rPr>
                <w:sz w:val="20"/>
                <w:szCs w:val="20"/>
                <w:color w:val="auto"/>
              </w:rPr>
            </w:pPr>
            <w:r>
              <w:rPr>
                <w:rFonts w:ascii="Arial" w:cs="Arial" w:eastAsia="Arial" w:hAnsi="Arial"/>
                <w:sz w:val="22"/>
                <w:szCs w:val="22"/>
                <w:b w:val="1"/>
                <w:bCs w:val="1"/>
                <w:color w:val="auto"/>
                <w:w w:val="93"/>
              </w:rPr>
              <w:t>% of Total</w:t>
            </w:r>
          </w:p>
        </w:tc>
      </w:tr>
      <w:tr>
        <w:trPr>
          <w:trHeight w:val="282"/>
        </w:trPr>
        <w:tc>
          <w:tcPr>
            <w:tcW w:w="24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ind w:right="1072"/>
              <w:spacing w:after="0"/>
              <w:rPr>
                <w:sz w:val="20"/>
                <w:szCs w:val="20"/>
                <w:color w:val="auto"/>
              </w:rPr>
            </w:pPr>
            <w:r>
              <w:rPr>
                <w:rFonts w:ascii="Arial" w:cs="Arial" w:eastAsia="Arial" w:hAnsi="Arial"/>
                <w:sz w:val="22"/>
                <w:szCs w:val="22"/>
                <w:b w:val="1"/>
                <w:bCs w:val="1"/>
                <w:color w:val="auto"/>
              </w:rPr>
              <w:t>Change</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w:t>
            </w:r>
          </w:p>
        </w:tc>
      </w:tr>
      <w:tr>
        <w:trPr>
          <w:trHeight w:val="257"/>
        </w:trPr>
        <w:tc>
          <w:tcPr>
            <w:tcW w:w="2420" w:type="dxa"/>
            <w:vAlign w:val="bottom"/>
          </w:tcPr>
          <w:p>
            <w:pPr>
              <w:ind w:left="20"/>
              <w:spacing w:after="0"/>
              <w:rPr>
                <w:sz w:val="20"/>
                <w:szCs w:val="20"/>
                <w:color w:val="auto"/>
              </w:rPr>
            </w:pPr>
            <w:r>
              <w:rPr>
                <w:rFonts w:ascii="Arial" w:cs="Arial" w:eastAsia="Arial" w:hAnsi="Arial"/>
                <w:sz w:val="22"/>
                <w:szCs w:val="22"/>
                <w:color w:val="auto"/>
              </w:rPr>
              <w:t>Americas</w:t>
            </w:r>
          </w:p>
        </w:tc>
        <w:tc>
          <w:tcPr>
            <w:tcW w:w="3500" w:type="dxa"/>
            <w:vAlign w:val="bottom"/>
          </w:tcPr>
          <w:p>
            <w:pPr>
              <w:jc w:val="center"/>
              <w:ind w:left="152"/>
              <w:spacing w:after="0"/>
              <w:rPr>
                <w:sz w:val="20"/>
                <w:szCs w:val="20"/>
                <w:color w:val="auto"/>
              </w:rPr>
            </w:pPr>
            <w:r>
              <w:rPr>
                <w:rFonts w:ascii="Arial" w:cs="Arial" w:eastAsia="Arial" w:hAnsi="Arial"/>
                <w:sz w:val="22"/>
                <w:szCs w:val="22"/>
                <w:color w:val="auto"/>
                <w:w w:val="93"/>
              </w:rPr>
              <w:t>$11.8 million</w:t>
            </w:r>
          </w:p>
        </w:tc>
        <w:tc>
          <w:tcPr>
            <w:tcW w:w="2760" w:type="dxa"/>
            <w:vAlign w:val="bottom"/>
          </w:tcPr>
          <w:p>
            <w:pPr>
              <w:jc w:val="right"/>
              <w:ind w:right="1152"/>
              <w:spacing w:after="0"/>
              <w:rPr>
                <w:sz w:val="20"/>
                <w:szCs w:val="20"/>
                <w:color w:val="auto"/>
              </w:rPr>
            </w:pPr>
            <w:r>
              <w:rPr>
                <w:rFonts w:ascii="Arial" w:cs="Arial" w:eastAsia="Arial" w:hAnsi="Arial"/>
                <w:sz w:val="22"/>
                <w:szCs w:val="22"/>
                <w:color w:val="auto"/>
              </w:rPr>
              <w:t>(17%)</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36%</w:t>
            </w:r>
          </w:p>
        </w:tc>
      </w:tr>
      <w:tr>
        <w:trPr>
          <w:trHeight w:val="270"/>
        </w:trPr>
        <w:tc>
          <w:tcPr>
            <w:tcW w:w="2420" w:type="dxa"/>
            <w:vAlign w:val="bottom"/>
          </w:tcPr>
          <w:p>
            <w:pPr>
              <w:ind w:left="20"/>
              <w:spacing w:after="0"/>
              <w:rPr>
                <w:sz w:val="20"/>
                <w:szCs w:val="20"/>
                <w:color w:val="auto"/>
              </w:rPr>
            </w:pPr>
            <w:r>
              <w:rPr>
                <w:rFonts w:ascii="Arial" w:cs="Arial" w:eastAsia="Arial" w:hAnsi="Arial"/>
                <w:sz w:val="22"/>
                <w:szCs w:val="22"/>
                <w:color w:val="auto"/>
              </w:rPr>
              <w:t>EMEA</w:t>
            </w:r>
          </w:p>
        </w:tc>
        <w:tc>
          <w:tcPr>
            <w:tcW w:w="3500" w:type="dxa"/>
            <w:vAlign w:val="bottom"/>
          </w:tcPr>
          <w:p>
            <w:pPr>
              <w:jc w:val="center"/>
              <w:ind w:left="152"/>
              <w:spacing w:after="0"/>
              <w:rPr>
                <w:sz w:val="20"/>
                <w:szCs w:val="20"/>
                <w:color w:val="auto"/>
              </w:rPr>
            </w:pPr>
            <w:r>
              <w:rPr>
                <w:rFonts w:ascii="Arial" w:cs="Arial" w:eastAsia="Arial" w:hAnsi="Arial"/>
                <w:sz w:val="22"/>
                <w:szCs w:val="22"/>
                <w:color w:val="auto"/>
                <w:w w:val="93"/>
              </w:rPr>
              <w:t>$11.6 million</w:t>
            </w:r>
          </w:p>
        </w:tc>
        <w:tc>
          <w:tcPr>
            <w:tcW w:w="2760" w:type="dxa"/>
            <w:vAlign w:val="bottom"/>
          </w:tcPr>
          <w:p>
            <w:pPr>
              <w:jc w:val="right"/>
              <w:ind w:right="1212"/>
              <w:spacing w:after="0"/>
              <w:rPr>
                <w:sz w:val="20"/>
                <w:szCs w:val="20"/>
                <w:color w:val="auto"/>
              </w:rPr>
            </w:pPr>
            <w:r>
              <w:rPr>
                <w:rFonts w:ascii="Arial" w:cs="Arial" w:eastAsia="Arial" w:hAnsi="Arial"/>
                <w:sz w:val="22"/>
                <w:szCs w:val="22"/>
                <w:color w:val="auto"/>
              </w:rPr>
              <w:t>13%</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36%</w:t>
            </w:r>
          </w:p>
        </w:tc>
      </w:tr>
      <w:tr>
        <w:trPr>
          <w:trHeight w:val="27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Asia-Pacific</w:t>
            </w:r>
          </w:p>
        </w:tc>
        <w:tc>
          <w:tcPr>
            <w:tcW w:w="3500" w:type="dxa"/>
            <w:vAlign w:val="bottom"/>
            <w:tcBorders>
              <w:bottom w:val="single" w:sz="8" w:color="auto"/>
            </w:tcBorders>
          </w:tcPr>
          <w:p>
            <w:pPr>
              <w:jc w:val="center"/>
              <w:ind w:left="132"/>
              <w:spacing w:after="0"/>
              <w:rPr>
                <w:sz w:val="20"/>
                <w:szCs w:val="20"/>
                <w:color w:val="auto"/>
              </w:rPr>
            </w:pPr>
            <w:r>
              <w:rPr>
                <w:rFonts w:ascii="Arial" w:cs="Arial" w:eastAsia="Arial" w:hAnsi="Arial"/>
                <w:sz w:val="22"/>
                <w:szCs w:val="22"/>
                <w:color w:val="auto"/>
                <w:w w:val="95"/>
              </w:rPr>
              <w:t>$9.1 million</w:t>
            </w:r>
          </w:p>
        </w:tc>
        <w:tc>
          <w:tcPr>
            <w:tcW w:w="2760" w:type="dxa"/>
            <w:vAlign w:val="bottom"/>
            <w:tcBorders>
              <w:bottom w:val="single" w:sz="8" w:color="auto"/>
            </w:tcBorders>
          </w:tcPr>
          <w:p>
            <w:pPr>
              <w:jc w:val="right"/>
              <w:ind w:right="1212"/>
              <w:spacing w:after="0"/>
              <w:rPr>
                <w:sz w:val="20"/>
                <w:szCs w:val="20"/>
                <w:color w:val="auto"/>
              </w:rPr>
            </w:pPr>
            <w:r>
              <w:rPr>
                <w:rFonts w:ascii="Arial" w:cs="Arial" w:eastAsia="Arial" w:hAnsi="Arial"/>
                <w:sz w:val="22"/>
                <w:szCs w:val="22"/>
                <w:color w:val="auto"/>
              </w:rPr>
              <w:t>15%</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28%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Gross margin:</w:t>
      </w:r>
    </w:p>
    <w:p>
      <w:pPr>
        <w:spacing w:after="0" w:line="206"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GAAP gross margin was 55.1 percent in the fourth quarter of 2019, compared to 58.2 percent in the year ago period and 53.0 percent in the third quarter of 2019. Non-GAAP gross margin was 65.3 percent in the fourth quarter of 2019, compared to 69.3 percent in the year ago period and 65.5 percent in the third quarter of 2019. The year-over-year decrease in gross margin was primarily due to unfavorable product mix and lower average selling prices. Sequentially, the decrease in non-GAAP gross margin was primarily due to lower average selling prices partially offset by favorable product mix, higher plant utilization, and lower inventory reserves. In the case of GAAP margin, the year-over-year decrease was coupled with lower stock-based compensation expenses. The sequential increase was due to fixed amortization over higher revenue.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and cash equivalents, short-term investments, and restricted cash as of December 31, 2019:</w:t>
      </w:r>
    </w:p>
    <w:p>
      <w:pPr>
        <w:spacing w:after="0" w:line="233"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Cash and cash equivalents, short-term investments, and restricted cash as of December 31, 2019, were $60.7 million, including $37.0 million in short-term securities and $2.1 million in restricted cash. Cash and cash equivalents, short-term investments, and restricted cash as of September 30, 2019, were $64.8 million, including $36.9 million in short-term securities and $2.1 million in restricted cash.</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and Business Progress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expansion:</w:t>
      </w:r>
    </w:p>
    <w:p>
      <w:pPr>
        <w:spacing w:after="0" w:line="212" w:lineRule="exact"/>
        <w:rPr>
          <w:sz w:val="20"/>
          <w:szCs w:val="20"/>
          <w:color w:val="auto"/>
        </w:rPr>
      </w:pPr>
    </w:p>
    <w:p>
      <w:pPr>
        <w:ind w:left="540" w:right="640"/>
        <w:spacing w:after="0" w:line="251" w:lineRule="auto"/>
        <w:rPr>
          <w:sz w:val="20"/>
          <w:szCs w:val="20"/>
          <w:color w:val="auto"/>
        </w:rPr>
      </w:pPr>
      <w:r>
        <w:rPr>
          <w:rFonts w:ascii="Arial" w:cs="Arial" w:eastAsia="Arial" w:hAnsi="Arial"/>
          <w:sz w:val="22"/>
          <w:szCs w:val="22"/>
          <w:color w:val="auto"/>
        </w:rPr>
        <w:t>Our mass cytometry active installed instrument base increased to 292 at the end of the fourth quarter. This included 85 imaging-enabled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40"/>
        <w:spacing w:after="0" w:line="236" w:lineRule="auto"/>
        <w:rPr>
          <w:sz w:val="20"/>
          <w:szCs w:val="20"/>
          <w:color w:val="auto"/>
        </w:rPr>
      </w:pPr>
      <w:r>
        <w:rPr>
          <w:rFonts w:ascii="Arial" w:cs="Arial" w:eastAsia="Arial" w:hAnsi="Arial"/>
          <w:sz w:val="22"/>
          <w:szCs w:val="22"/>
          <w:color w:val="auto"/>
        </w:rPr>
        <w:t>Covance, a global contract research organization, selected CyTOF technology and Maxpar Direct Immune Profiling Assay to develop highly multiplexed immune profiling services. As utilization of mass cytometry in early-stage clinical studies grows, pharma and biotech customers will require global service providers that can scale with them. Covance has the capabilities to provide sophisticated and scalable biomarker discovery and clinical support services to large customers on a worldwide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-728345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5" w:lineRule="exact"/>
        <w:rPr>
          <w:sz w:val="20"/>
          <w:szCs w:val="20"/>
          <w:color w:val="auto"/>
        </w:rPr>
      </w:pPr>
    </w:p>
    <w:p>
      <w:pPr>
        <w:ind w:left="540" w:right="500"/>
        <w:spacing w:after="0"/>
        <w:rPr>
          <w:sz w:val="20"/>
          <w:szCs w:val="20"/>
          <w:color w:val="auto"/>
        </w:rPr>
      </w:pPr>
      <w:r>
        <w:rPr>
          <w:rFonts w:ascii="Arial" w:cs="Arial" w:eastAsia="Arial" w:hAnsi="Arial"/>
          <w:sz w:val="22"/>
          <w:szCs w:val="22"/>
          <w:color w:val="auto"/>
        </w:rPr>
        <w:t>A new Center of Excellence for Imaging Mass Cytometry was established at the Georgetown Lombardi Comprehensive Cancer Center. This partnership represents an important milestone in our strategy to accelerate the global adoption of Imaging Mass Cytometry through content expansion for cancer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ind w:left="540" w:right="320"/>
        <w:spacing w:after="0" w:line="232" w:lineRule="auto"/>
        <w:rPr>
          <w:sz w:val="20"/>
          <w:szCs w:val="20"/>
          <w:color w:val="auto"/>
        </w:rPr>
      </w:pPr>
      <w:r>
        <w:rPr>
          <w:rFonts w:ascii="Arial" w:cs="Arial" w:eastAsia="Arial" w:hAnsi="Arial"/>
          <w:sz w:val="19"/>
          <w:szCs w:val="19"/>
          <w:color w:val="auto"/>
        </w:rPr>
        <w:t>MOgene, a genomics services provider based in St. Louis, announced that it has selected the Fluidigm</w:t>
      </w:r>
      <w:r>
        <w:rPr>
          <w:rFonts w:ascii="Arial" w:cs="Arial" w:eastAsia="Arial" w:hAnsi="Arial"/>
          <w:sz w:val="31"/>
          <w:szCs w:val="31"/>
          <w:color w:val="auto"/>
          <w:vertAlign w:val="superscript"/>
        </w:rPr>
        <w:t>®</w:t>
      </w:r>
      <w:r>
        <w:rPr>
          <w:rFonts w:ascii="Arial" w:cs="Arial" w:eastAsia="Arial" w:hAnsi="Arial"/>
          <w:sz w:val="19"/>
          <w:szCs w:val="19"/>
          <w:color w:val="auto"/>
        </w:rPr>
        <w:t xml:space="preserve"> Advanta™ RNA-Seq NGS Library Prep Kit, Advanta RNA Fusions and Solid Tumor NGS Library Prep Assays, and microfluidics-based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-261620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Juno</w:t>
      </w:r>
      <w:r>
        <w:rPr>
          <w:rFonts w:ascii="Arial" w:cs="Arial" w:eastAsia="Arial" w:hAnsi="Arial"/>
          <w:sz w:val="36"/>
          <w:szCs w:val="36"/>
          <w:color w:val="auto"/>
          <w:vertAlign w:val="superscript"/>
        </w:rPr>
        <w:t>™</w:t>
      </w:r>
      <w:r>
        <w:rPr>
          <w:rFonts w:ascii="Arial" w:cs="Arial" w:eastAsia="Arial" w:hAnsi="Arial"/>
          <w:sz w:val="22"/>
          <w:szCs w:val="22"/>
          <w:color w:val="auto"/>
        </w:rPr>
        <w:t xml:space="preserve"> system to expand its next-generation sequencing (NGS) services portfolio.</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Clinical trials and publications:</w:t>
      </w:r>
    </w:p>
    <w:p>
      <w:pPr>
        <w:spacing w:after="0" w:line="212" w:lineRule="exact"/>
        <w:rPr>
          <w:sz w:val="20"/>
          <w:szCs w:val="20"/>
          <w:color w:val="auto"/>
        </w:rPr>
      </w:pPr>
    </w:p>
    <w:p>
      <w:pPr>
        <w:ind w:left="540" w:right="40"/>
        <w:spacing w:after="0" w:line="235" w:lineRule="auto"/>
        <w:rPr>
          <w:sz w:val="20"/>
          <w:szCs w:val="20"/>
          <w:color w:val="auto"/>
        </w:rPr>
      </w:pPr>
      <w:r>
        <w:rPr>
          <w:rFonts w:ascii="Arial" w:cs="Arial" w:eastAsia="Arial" w:hAnsi="Arial"/>
          <w:sz w:val="22"/>
          <w:szCs w:val="22"/>
          <w:color w:val="auto"/>
        </w:rPr>
        <w:t xml:space="preserve">A landmark retrospective clinical study was published in </w:t>
      </w:r>
      <w:r>
        <w:rPr>
          <w:rFonts w:ascii="Arial" w:cs="Arial" w:eastAsia="Arial" w:hAnsi="Arial"/>
          <w:sz w:val="22"/>
          <w:szCs w:val="22"/>
          <w:i w:val="1"/>
          <w:iCs w:val="1"/>
          <w:color w:val="auto"/>
        </w:rPr>
        <w:t>Nature</w:t>
      </w:r>
      <w:r>
        <w:rPr>
          <w:rFonts w:ascii="Arial" w:cs="Arial" w:eastAsia="Arial" w:hAnsi="Arial"/>
          <w:sz w:val="22"/>
          <w:szCs w:val="22"/>
          <w:color w:val="auto"/>
        </w:rPr>
        <w:t>. The 352-patient study resulted from a collaboration between researchers at the University of Zurich, the University of Cambridge, and the University of Basel. In this clinical study, Imaging Mass Cytometry enabled the researchers to simultaneously visualize and analyze patient breast cancer tissue in greater detail to identify multiple detailed subcategories of breast cancer, beyond current standards. This imaging approach increases the precision of tumor analysis and classification and could potentially improve personalized medicine for breast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-882015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CyTOF technology is now being used in 75 clinical trials, up 25 percent since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1"/>
          <w:szCs w:val="21"/>
          <w:color w:val="auto"/>
        </w:rPr>
        <w:t>There are more than 1,000 publications for mass cytometry, including more than 45 for Imaging Mass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recognition:</w:t>
      </w:r>
    </w:p>
    <w:p>
      <w:pPr>
        <w:spacing w:after="0" w:line="212" w:lineRule="exact"/>
        <w:rPr>
          <w:sz w:val="20"/>
          <w:szCs w:val="20"/>
          <w:color w:val="auto"/>
        </w:rPr>
      </w:pPr>
    </w:p>
    <w:p>
      <w:pPr>
        <w:ind w:left="540" w:right="720"/>
        <w:spacing w:after="0" w:line="251" w:lineRule="auto"/>
        <w:rPr>
          <w:sz w:val="20"/>
          <w:szCs w:val="20"/>
          <w:color w:val="auto"/>
        </w:rPr>
      </w:pPr>
      <w:r>
        <w:rPr>
          <w:rFonts w:ascii="Arial" w:cs="Arial" w:eastAsia="Arial" w:hAnsi="Arial"/>
          <w:sz w:val="22"/>
          <w:szCs w:val="22"/>
          <w:color w:val="auto"/>
        </w:rPr>
        <w:t>Fluidigm was named to Greater Toronto’s Top Employers for 2020, an annual list of organizations with exceptionally positive and engaging environments that inspire and motivate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540" w:right="100"/>
        <w:spacing w:after="0" w:line="195" w:lineRule="auto"/>
        <w:rPr>
          <w:sz w:val="20"/>
          <w:szCs w:val="20"/>
          <w:color w:val="auto"/>
        </w:rPr>
      </w:pPr>
      <w:r>
        <w:rPr>
          <w:rFonts w:ascii="Arial" w:cs="Arial" w:eastAsia="Arial" w:hAnsi="Arial"/>
          <w:sz w:val="21"/>
          <w:szCs w:val="21"/>
          <w:color w:val="auto"/>
        </w:rPr>
        <w:t>Fluidigm received the Life Science Industry Award for the Best New Product in Cell Biology for the Maxpar</w:t>
      </w:r>
      <w:r>
        <w:rPr>
          <w:rFonts w:ascii="Arial" w:cs="Arial" w:eastAsia="Arial" w:hAnsi="Arial"/>
          <w:sz w:val="35"/>
          <w:szCs w:val="35"/>
          <w:color w:val="auto"/>
          <w:vertAlign w:val="superscript"/>
        </w:rPr>
        <w:t>®</w:t>
      </w:r>
      <w:r>
        <w:rPr>
          <w:rFonts w:ascii="Arial" w:cs="Arial" w:eastAsia="Arial" w:hAnsi="Arial"/>
          <w:sz w:val="21"/>
          <w:szCs w:val="21"/>
          <w:color w:val="auto"/>
        </w:rPr>
        <w:t xml:space="preserve"> Direct</w:t>
      </w:r>
      <w:r>
        <w:rPr>
          <w:rFonts w:ascii="Arial" w:cs="Arial" w:eastAsia="Arial" w:hAnsi="Arial"/>
          <w:sz w:val="35"/>
          <w:szCs w:val="35"/>
          <w:color w:val="auto"/>
          <w:vertAlign w:val="superscript"/>
        </w:rPr>
        <w:t>™</w:t>
      </w:r>
      <w:r>
        <w:rPr>
          <w:rFonts w:ascii="Arial" w:cs="Arial" w:eastAsia="Arial" w:hAnsi="Arial"/>
          <w:sz w:val="21"/>
          <w:szCs w:val="21"/>
          <w:color w:val="auto"/>
        </w:rPr>
        <w:t xml:space="preserve"> Immune Profiling System, the first complete sample-to-answer solution that provides translational and clinical researchers with a simple, easy-to-use workflow to comprehensively profile immune cell phenotypes with the potential to drive a deeper understanding of the immune system and accelerate therapeutic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-573405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90" w:orient="portrait"/>
          <w:cols w:equalWidth="0" w:num="1">
            <w:col w:w="11420"/>
          </w:cols>
          <w:pgMar w:left="240" w:top="118"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Full Year 2019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category: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2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Category</w:t>
            </w:r>
          </w:p>
        </w:tc>
        <w:tc>
          <w:tcPr>
            <w:tcW w:w="3340" w:type="dxa"/>
            <w:vAlign w:val="bottom"/>
            <w:tcBorders>
              <w:top w:val="single" w:sz="8" w:color="auto"/>
            </w:tcBorders>
          </w:tcPr>
          <w:p>
            <w:pPr>
              <w:jc w:val="center"/>
              <w:ind w:left="92"/>
              <w:spacing w:after="0" w:line="243" w:lineRule="exact"/>
              <w:rPr>
                <w:sz w:val="20"/>
                <w:szCs w:val="20"/>
                <w:color w:val="auto"/>
              </w:rPr>
            </w:pPr>
            <w:r>
              <w:rPr>
                <w:rFonts w:ascii="Arial" w:cs="Arial" w:eastAsia="Arial" w:hAnsi="Arial"/>
                <w:sz w:val="22"/>
                <w:szCs w:val="22"/>
                <w:b w:val="1"/>
                <w:bCs w:val="1"/>
                <w:color w:val="auto"/>
                <w:w w:val="87"/>
              </w:rPr>
              <w:t>Revenue by Category</w:t>
            </w:r>
          </w:p>
        </w:tc>
        <w:tc>
          <w:tcPr>
            <w:tcW w:w="2820" w:type="dxa"/>
            <w:vAlign w:val="bottom"/>
            <w:tcBorders>
              <w:top w:val="single" w:sz="8" w:color="auto"/>
            </w:tcBorders>
          </w:tcPr>
          <w:p>
            <w:pPr>
              <w:jc w:val="center"/>
              <w:ind w:right="152"/>
              <w:spacing w:after="0" w:line="243" w:lineRule="exact"/>
              <w:rPr>
                <w:sz w:val="20"/>
                <w:szCs w:val="20"/>
                <w:color w:val="auto"/>
              </w:rPr>
            </w:pPr>
            <w:r>
              <w:rPr>
                <w:rFonts w:ascii="Arial" w:cs="Arial" w:eastAsia="Arial" w:hAnsi="Arial"/>
                <w:sz w:val="22"/>
                <w:szCs w:val="22"/>
                <w:b w:val="1"/>
                <w:bCs w:val="1"/>
                <w:color w:val="auto"/>
                <w:w w:val="89"/>
              </w:rPr>
              <w:t>Year-over-Year</w:t>
            </w:r>
          </w:p>
        </w:tc>
        <w:tc>
          <w:tcPr>
            <w:tcW w:w="2740" w:type="dxa"/>
            <w:vAlign w:val="bottom"/>
            <w:tcBorders>
              <w:top w:val="single" w:sz="8" w:color="auto"/>
            </w:tcBorders>
          </w:tcPr>
          <w:p>
            <w:pPr>
              <w:jc w:val="center"/>
              <w:ind w:right="12"/>
              <w:spacing w:after="0" w:line="243" w:lineRule="exact"/>
              <w:rPr>
                <w:sz w:val="20"/>
                <w:szCs w:val="20"/>
                <w:color w:val="auto"/>
              </w:rPr>
            </w:pPr>
            <w:r>
              <w:rPr>
                <w:rFonts w:ascii="Arial" w:cs="Arial" w:eastAsia="Arial" w:hAnsi="Arial"/>
                <w:sz w:val="22"/>
                <w:szCs w:val="22"/>
                <w:b w:val="1"/>
                <w:bCs w:val="1"/>
                <w:color w:val="auto"/>
                <w:w w:val="93"/>
              </w:rPr>
              <w:t>% of Total</w:t>
            </w:r>
          </w:p>
        </w:tc>
      </w:tr>
      <w:tr>
        <w:trPr>
          <w:trHeight w:val="282"/>
        </w:trPr>
        <w:tc>
          <w:tcPr>
            <w:tcW w:w="25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b w:val="1"/>
                <w:bCs w:val="1"/>
                <w:color w:val="auto"/>
                <w:w w:val="86"/>
              </w:rPr>
              <w:t>Change</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w:t>
            </w:r>
          </w:p>
        </w:tc>
      </w:tr>
      <w:tr>
        <w:trPr>
          <w:trHeight w:val="257"/>
        </w:trPr>
        <w:tc>
          <w:tcPr>
            <w:tcW w:w="2520" w:type="dxa"/>
            <w:vAlign w:val="bottom"/>
          </w:tcPr>
          <w:p>
            <w:pPr>
              <w:ind w:left="20"/>
              <w:spacing w:after="0"/>
              <w:rPr>
                <w:sz w:val="20"/>
                <w:szCs w:val="20"/>
                <w:color w:val="auto"/>
              </w:rPr>
            </w:pPr>
            <w:r>
              <w:rPr>
                <w:rFonts w:ascii="Arial" w:cs="Arial" w:eastAsia="Arial" w:hAnsi="Arial"/>
                <w:sz w:val="22"/>
                <w:szCs w:val="22"/>
                <w:color w:val="auto"/>
              </w:rPr>
              <w:t>Instruments</w:t>
            </w:r>
          </w:p>
        </w:tc>
        <w:tc>
          <w:tcPr>
            <w:tcW w:w="3340" w:type="dxa"/>
            <w:vAlign w:val="bottom"/>
          </w:tcPr>
          <w:p>
            <w:pPr>
              <w:jc w:val="center"/>
              <w:ind w:left="112"/>
              <w:spacing w:after="0"/>
              <w:rPr>
                <w:sz w:val="20"/>
                <w:szCs w:val="20"/>
                <w:color w:val="auto"/>
              </w:rPr>
            </w:pPr>
            <w:r>
              <w:rPr>
                <w:rFonts w:ascii="Arial" w:cs="Arial" w:eastAsia="Arial" w:hAnsi="Arial"/>
                <w:sz w:val="22"/>
                <w:szCs w:val="22"/>
                <w:color w:val="auto"/>
                <w:w w:val="93"/>
              </w:rPr>
              <w:t>$50.0 million</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90"/>
              </w:rPr>
              <w:t>10%</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43%</w:t>
            </w:r>
          </w:p>
        </w:tc>
      </w:tr>
      <w:tr>
        <w:trPr>
          <w:trHeight w:val="270"/>
        </w:trPr>
        <w:tc>
          <w:tcPr>
            <w:tcW w:w="2520" w:type="dxa"/>
            <w:vAlign w:val="bottom"/>
          </w:tcPr>
          <w:p>
            <w:pPr>
              <w:ind w:left="20"/>
              <w:spacing w:after="0"/>
              <w:rPr>
                <w:sz w:val="20"/>
                <w:szCs w:val="20"/>
                <w:color w:val="auto"/>
              </w:rPr>
            </w:pPr>
            <w:r>
              <w:rPr>
                <w:rFonts w:ascii="Arial" w:cs="Arial" w:eastAsia="Arial" w:hAnsi="Arial"/>
                <w:sz w:val="22"/>
                <w:szCs w:val="22"/>
                <w:color w:val="auto"/>
              </w:rPr>
              <w:t>Consumables</w:t>
            </w:r>
          </w:p>
        </w:tc>
        <w:tc>
          <w:tcPr>
            <w:tcW w:w="3340" w:type="dxa"/>
            <w:vAlign w:val="bottom"/>
          </w:tcPr>
          <w:p>
            <w:pPr>
              <w:jc w:val="center"/>
              <w:ind w:left="112"/>
              <w:spacing w:after="0"/>
              <w:rPr>
                <w:sz w:val="20"/>
                <w:szCs w:val="20"/>
                <w:color w:val="auto"/>
              </w:rPr>
            </w:pPr>
            <w:r>
              <w:rPr>
                <w:rFonts w:ascii="Arial" w:cs="Arial" w:eastAsia="Arial" w:hAnsi="Arial"/>
                <w:sz w:val="22"/>
                <w:szCs w:val="22"/>
                <w:color w:val="auto"/>
                <w:w w:val="93"/>
              </w:rPr>
              <w:t>$45.4 million</w:t>
            </w:r>
          </w:p>
        </w:tc>
        <w:tc>
          <w:tcPr>
            <w:tcW w:w="2820" w:type="dxa"/>
            <w:vAlign w:val="bottom"/>
          </w:tcPr>
          <w:p>
            <w:pPr>
              <w:jc w:val="center"/>
              <w:ind w:right="132"/>
              <w:spacing w:after="0"/>
              <w:rPr>
                <w:sz w:val="20"/>
                <w:szCs w:val="20"/>
                <w:color w:val="auto"/>
              </w:rPr>
            </w:pPr>
            <w:r>
              <w:rPr>
                <w:rFonts w:ascii="Arial" w:cs="Arial" w:eastAsia="Arial" w:hAnsi="Arial"/>
                <w:sz w:val="22"/>
                <w:szCs w:val="22"/>
                <w:color w:val="auto"/>
                <w:w w:val="90"/>
              </w:rPr>
              <w:t>(6%)</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39%</w:t>
            </w:r>
          </w:p>
        </w:tc>
      </w:tr>
      <w:tr>
        <w:trPr>
          <w:trHeight w:val="270"/>
        </w:trPr>
        <w:tc>
          <w:tcPr>
            <w:tcW w:w="2520" w:type="dxa"/>
            <w:vAlign w:val="bottom"/>
          </w:tcPr>
          <w:p>
            <w:pPr>
              <w:ind w:left="20"/>
              <w:spacing w:after="0"/>
              <w:rPr>
                <w:sz w:val="20"/>
                <w:szCs w:val="20"/>
                <w:color w:val="auto"/>
              </w:rPr>
            </w:pPr>
            <w:r>
              <w:rPr>
                <w:rFonts w:ascii="Arial" w:cs="Arial" w:eastAsia="Arial" w:hAnsi="Arial"/>
                <w:sz w:val="22"/>
                <w:szCs w:val="22"/>
                <w:color w:val="auto"/>
              </w:rPr>
              <w:t>Service</w:t>
            </w:r>
          </w:p>
        </w:tc>
        <w:tc>
          <w:tcPr>
            <w:tcW w:w="3340" w:type="dxa"/>
            <w:vAlign w:val="bottom"/>
          </w:tcPr>
          <w:p>
            <w:pPr>
              <w:jc w:val="center"/>
              <w:ind w:left="112"/>
              <w:spacing w:after="0"/>
              <w:rPr>
                <w:sz w:val="20"/>
                <w:szCs w:val="20"/>
                <w:color w:val="auto"/>
              </w:rPr>
            </w:pPr>
            <w:r>
              <w:rPr>
                <w:rFonts w:ascii="Arial" w:cs="Arial" w:eastAsia="Arial" w:hAnsi="Arial"/>
                <w:sz w:val="22"/>
                <w:szCs w:val="22"/>
                <w:color w:val="auto"/>
                <w:w w:val="93"/>
              </w:rPr>
              <w:t>$21.3 million</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90"/>
              </w:rPr>
              <w:t>10%</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18%</w:t>
            </w:r>
          </w:p>
        </w:tc>
      </w:tr>
      <w:tr>
        <w:trPr>
          <w:trHeight w:val="276"/>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Grant</w:t>
            </w:r>
          </w:p>
        </w:tc>
        <w:tc>
          <w:tcPr>
            <w:tcW w:w="3340" w:type="dxa"/>
            <w:vAlign w:val="bottom"/>
            <w:tcBorders>
              <w:bottom w:val="single" w:sz="8" w:color="auto"/>
            </w:tcBorders>
          </w:tcPr>
          <w:p>
            <w:pPr>
              <w:jc w:val="center"/>
              <w:ind w:left="92"/>
              <w:spacing w:after="0"/>
              <w:rPr>
                <w:sz w:val="20"/>
                <w:szCs w:val="20"/>
                <w:color w:val="auto"/>
              </w:rPr>
            </w:pPr>
            <w:r>
              <w:rPr>
                <w:rFonts w:ascii="Arial" w:cs="Arial" w:eastAsia="Arial" w:hAnsi="Arial"/>
                <w:sz w:val="22"/>
                <w:szCs w:val="22"/>
                <w:color w:val="auto"/>
                <w:w w:val="95"/>
              </w:rPr>
              <w:t>$0.5 million</w:t>
            </w:r>
          </w:p>
        </w:tc>
        <w:tc>
          <w:tcPr>
            <w:tcW w:w="282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color w:val="auto"/>
              </w:rPr>
              <w:t>N/A</w:t>
            </w:r>
          </w:p>
        </w:tc>
        <w:tc>
          <w:tcPr>
            <w:tcW w:w="274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color w:val="auto"/>
              </w:rPr>
              <w:t>N/A</w:t>
            </w:r>
          </w:p>
        </w:tc>
      </w:tr>
      <w:tr>
        <w:trPr>
          <w:trHeight w:val="464"/>
        </w:trPr>
        <w:tc>
          <w:tcPr>
            <w:tcW w:w="2520" w:type="dxa"/>
            <w:vAlign w:val="bottom"/>
          </w:tcPr>
          <w:p>
            <w:pPr>
              <w:spacing w:after="0"/>
              <w:rPr>
                <w:sz w:val="20"/>
                <w:szCs w:val="20"/>
                <w:color w:val="auto"/>
              </w:rPr>
            </w:pPr>
            <w:r>
              <w:rPr>
                <w:rFonts w:ascii="Arial" w:cs="Arial" w:eastAsia="Arial" w:hAnsi="Arial"/>
                <w:sz w:val="22"/>
                <w:szCs w:val="22"/>
                <w:i w:val="1"/>
                <w:iCs w:val="1"/>
                <w:color w:val="auto"/>
              </w:rPr>
              <w:t>Revenue by market:</w:t>
            </w:r>
          </w:p>
        </w:tc>
        <w:tc>
          <w:tcPr>
            <w:tcW w:w="3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185" w:lineRule="exact"/>
        <w:rPr>
          <w:sz w:val="20"/>
          <w:szCs w:val="20"/>
          <w:color w:val="auto"/>
        </w:rPr>
      </w:pPr>
    </w:p>
    <w:p>
      <w:pPr>
        <w:ind w:left="540" w:right="120"/>
        <w:spacing w:after="0"/>
        <w:rPr>
          <w:sz w:val="20"/>
          <w:szCs w:val="20"/>
          <w:color w:val="auto"/>
        </w:rPr>
      </w:pPr>
      <w:r>
        <w:rPr>
          <w:rFonts w:ascii="Arial" w:cs="Arial" w:eastAsia="Arial" w:hAnsi="Arial"/>
          <w:sz w:val="22"/>
          <w:szCs w:val="22"/>
          <w:color w:val="auto"/>
        </w:rPr>
        <w:t>Mass cytometry revenue increased 23 percent to $73.3 million from $59.6 million in the prior year period. Mass cytometry product revenue increased 20 percent to $59.4 million from $49.3 million in the prior year period due to higher sales of both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440"/>
        <w:spacing w:after="0"/>
        <w:rPr>
          <w:sz w:val="20"/>
          <w:szCs w:val="20"/>
          <w:color w:val="auto"/>
        </w:rPr>
      </w:pPr>
      <w:r>
        <w:rPr>
          <w:rFonts w:ascii="Arial" w:cs="Arial" w:eastAsia="Arial" w:hAnsi="Arial"/>
          <w:sz w:val="22"/>
          <w:szCs w:val="22"/>
          <w:color w:val="auto"/>
        </w:rPr>
        <w:t>Microfluidics revenue decreased 18 percent to $43.9 million from $53.4 million in the prior year period. Microfluidics product revenue decreased 19 percent to $36.0 million from $44.3 million in the prior year period primarily due to lower sales of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Total revenue by geographic area: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2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Geographic Area</w:t>
            </w:r>
          </w:p>
        </w:tc>
        <w:tc>
          <w:tcPr>
            <w:tcW w:w="3500" w:type="dxa"/>
            <w:vAlign w:val="bottom"/>
            <w:tcBorders>
              <w:top w:val="single" w:sz="8" w:color="auto"/>
            </w:tcBorders>
          </w:tcPr>
          <w:p>
            <w:pPr>
              <w:jc w:val="center"/>
              <w:ind w:left="152"/>
              <w:spacing w:after="0" w:line="243" w:lineRule="exact"/>
              <w:rPr>
                <w:sz w:val="20"/>
                <w:szCs w:val="20"/>
                <w:color w:val="auto"/>
              </w:rPr>
            </w:pPr>
            <w:r>
              <w:rPr>
                <w:rFonts w:ascii="Arial" w:cs="Arial" w:eastAsia="Arial" w:hAnsi="Arial"/>
                <w:sz w:val="22"/>
                <w:szCs w:val="22"/>
                <w:b w:val="1"/>
                <w:bCs w:val="1"/>
                <w:color w:val="auto"/>
                <w:w w:val="87"/>
              </w:rPr>
              <w:t>Revenue by Geography</w:t>
            </w:r>
          </w:p>
        </w:tc>
        <w:tc>
          <w:tcPr>
            <w:tcW w:w="2760" w:type="dxa"/>
            <w:vAlign w:val="bottom"/>
            <w:tcBorders>
              <w:top w:val="single" w:sz="8" w:color="auto"/>
            </w:tcBorders>
          </w:tcPr>
          <w:p>
            <w:pPr>
              <w:jc w:val="center"/>
              <w:ind w:right="212"/>
              <w:spacing w:after="0" w:line="243" w:lineRule="exact"/>
              <w:rPr>
                <w:sz w:val="20"/>
                <w:szCs w:val="20"/>
                <w:color w:val="auto"/>
              </w:rPr>
            </w:pPr>
            <w:r>
              <w:rPr>
                <w:rFonts w:ascii="Arial" w:cs="Arial" w:eastAsia="Arial" w:hAnsi="Arial"/>
                <w:sz w:val="22"/>
                <w:szCs w:val="22"/>
                <w:b w:val="1"/>
                <w:bCs w:val="1"/>
                <w:color w:val="auto"/>
                <w:w w:val="89"/>
              </w:rPr>
              <w:t>Year-over-Year</w:t>
            </w:r>
          </w:p>
        </w:tc>
        <w:tc>
          <w:tcPr>
            <w:tcW w:w="2740" w:type="dxa"/>
            <w:vAlign w:val="bottom"/>
            <w:tcBorders>
              <w:top w:val="single" w:sz="8" w:color="auto"/>
            </w:tcBorders>
          </w:tcPr>
          <w:p>
            <w:pPr>
              <w:jc w:val="center"/>
              <w:ind w:right="12"/>
              <w:spacing w:after="0" w:line="243" w:lineRule="exact"/>
              <w:rPr>
                <w:sz w:val="20"/>
                <w:szCs w:val="20"/>
                <w:color w:val="auto"/>
              </w:rPr>
            </w:pPr>
            <w:r>
              <w:rPr>
                <w:rFonts w:ascii="Arial" w:cs="Arial" w:eastAsia="Arial" w:hAnsi="Arial"/>
                <w:sz w:val="22"/>
                <w:szCs w:val="22"/>
                <w:b w:val="1"/>
                <w:bCs w:val="1"/>
                <w:color w:val="auto"/>
                <w:w w:val="93"/>
              </w:rPr>
              <w:t>% of Total</w:t>
            </w:r>
          </w:p>
        </w:tc>
      </w:tr>
      <w:tr>
        <w:trPr>
          <w:trHeight w:val="282"/>
        </w:trPr>
        <w:tc>
          <w:tcPr>
            <w:tcW w:w="24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192"/>
              <w:spacing w:after="0"/>
              <w:rPr>
                <w:sz w:val="20"/>
                <w:szCs w:val="20"/>
                <w:color w:val="auto"/>
              </w:rPr>
            </w:pPr>
            <w:r>
              <w:rPr>
                <w:rFonts w:ascii="Arial" w:cs="Arial" w:eastAsia="Arial" w:hAnsi="Arial"/>
                <w:sz w:val="22"/>
                <w:szCs w:val="22"/>
                <w:b w:val="1"/>
                <w:bCs w:val="1"/>
                <w:color w:val="auto"/>
                <w:w w:val="86"/>
              </w:rPr>
              <w:t>Change</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w:t>
            </w:r>
          </w:p>
        </w:tc>
      </w:tr>
      <w:tr>
        <w:trPr>
          <w:trHeight w:val="257"/>
        </w:trPr>
        <w:tc>
          <w:tcPr>
            <w:tcW w:w="2420" w:type="dxa"/>
            <w:vAlign w:val="bottom"/>
          </w:tcPr>
          <w:p>
            <w:pPr>
              <w:ind w:left="20"/>
              <w:spacing w:after="0"/>
              <w:rPr>
                <w:sz w:val="20"/>
                <w:szCs w:val="20"/>
                <w:color w:val="auto"/>
              </w:rPr>
            </w:pPr>
            <w:r>
              <w:rPr>
                <w:rFonts w:ascii="Arial" w:cs="Arial" w:eastAsia="Arial" w:hAnsi="Arial"/>
                <w:sz w:val="22"/>
                <w:szCs w:val="22"/>
                <w:color w:val="auto"/>
              </w:rPr>
              <w:t>Americas</w:t>
            </w:r>
          </w:p>
        </w:tc>
        <w:tc>
          <w:tcPr>
            <w:tcW w:w="3500" w:type="dxa"/>
            <w:vAlign w:val="bottom"/>
          </w:tcPr>
          <w:p>
            <w:pPr>
              <w:jc w:val="center"/>
              <w:ind w:left="152"/>
              <w:spacing w:after="0"/>
              <w:rPr>
                <w:sz w:val="20"/>
                <w:szCs w:val="20"/>
                <w:color w:val="auto"/>
              </w:rPr>
            </w:pPr>
            <w:r>
              <w:rPr>
                <w:rFonts w:ascii="Arial" w:cs="Arial" w:eastAsia="Arial" w:hAnsi="Arial"/>
                <w:sz w:val="22"/>
                <w:szCs w:val="22"/>
                <w:color w:val="auto"/>
                <w:w w:val="93"/>
              </w:rPr>
              <w:t>$47.0 million</w:t>
            </w:r>
          </w:p>
        </w:tc>
        <w:tc>
          <w:tcPr>
            <w:tcW w:w="2760" w:type="dxa"/>
            <w:vAlign w:val="bottom"/>
          </w:tcPr>
          <w:p>
            <w:pPr>
              <w:jc w:val="center"/>
              <w:ind w:right="192"/>
              <w:spacing w:after="0"/>
              <w:rPr>
                <w:sz w:val="20"/>
                <w:szCs w:val="20"/>
                <w:color w:val="auto"/>
              </w:rPr>
            </w:pPr>
            <w:r>
              <w:rPr>
                <w:rFonts w:ascii="Arial" w:cs="Arial" w:eastAsia="Arial" w:hAnsi="Arial"/>
                <w:sz w:val="22"/>
                <w:szCs w:val="22"/>
                <w:color w:val="auto"/>
                <w:w w:val="90"/>
              </w:rPr>
              <w:t>(8%)</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40%</w:t>
            </w:r>
          </w:p>
        </w:tc>
      </w:tr>
      <w:tr>
        <w:trPr>
          <w:trHeight w:val="270"/>
        </w:trPr>
        <w:tc>
          <w:tcPr>
            <w:tcW w:w="2420" w:type="dxa"/>
            <w:vAlign w:val="bottom"/>
          </w:tcPr>
          <w:p>
            <w:pPr>
              <w:ind w:left="20"/>
              <w:spacing w:after="0"/>
              <w:rPr>
                <w:sz w:val="20"/>
                <w:szCs w:val="20"/>
                <w:color w:val="auto"/>
              </w:rPr>
            </w:pPr>
            <w:r>
              <w:rPr>
                <w:rFonts w:ascii="Arial" w:cs="Arial" w:eastAsia="Arial" w:hAnsi="Arial"/>
                <w:sz w:val="22"/>
                <w:szCs w:val="22"/>
                <w:color w:val="auto"/>
              </w:rPr>
              <w:t>EMEA</w:t>
            </w:r>
          </w:p>
        </w:tc>
        <w:tc>
          <w:tcPr>
            <w:tcW w:w="3500" w:type="dxa"/>
            <w:vAlign w:val="bottom"/>
          </w:tcPr>
          <w:p>
            <w:pPr>
              <w:jc w:val="center"/>
              <w:ind w:left="152"/>
              <w:spacing w:after="0"/>
              <w:rPr>
                <w:sz w:val="20"/>
                <w:szCs w:val="20"/>
                <w:color w:val="auto"/>
              </w:rPr>
            </w:pPr>
            <w:r>
              <w:rPr>
                <w:rFonts w:ascii="Arial" w:cs="Arial" w:eastAsia="Arial" w:hAnsi="Arial"/>
                <w:sz w:val="22"/>
                <w:szCs w:val="22"/>
                <w:color w:val="auto"/>
                <w:w w:val="93"/>
              </w:rPr>
              <w:t>$40.0 million</w:t>
            </w:r>
          </w:p>
        </w:tc>
        <w:tc>
          <w:tcPr>
            <w:tcW w:w="2760" w:type="dxa"/>
            <w:vAlign w:val="bottom"/>
          </w:tcPr>
          <w:p>
            <w:pPr>
              <w:jc w:val="center"/>
              <w:ind w:right="192"/>
              <w:spacing w:after="0"/>
              <w:rPr>
                <w:sz w:val="20"/>
                <w:szCs w:val="20"/>
                <w:color w:val="auto"/>
              </w:rPr>
            </w:pPr>
            <w:r>
              <w:rPr>
                <w:rFonts w:ascii="Arial" w:cs="Arial" w:eastAsia="Arial" w:hAnsi="Arial"/>
                <w:sz w:val="22"/>
                <w:szCs w:val="22"/>
                <w:color w:val="auto"/>
                <w:w w:val="94"/>
              </w:rPr>
              <w:t>9%</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34%</w:t>
            </w:r>
          </w:p>
        </w:tc>
      </w:tr>
      <w:tr>
        <w:trPr>
          <w:trHeight w:val="27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Asia-Pacific</w:t>
            </w:r>
          </w:p>
        </w:tc>
        <w:tc>
          <w:tcPr>
            <w:tcW w:w="3500" w:type="dxa"/>
            <w:vAlign w:val="bottom"/>
            <w:tcBorders>
              <w:bottom w:val="single" w:sz="8" w:color="auto"/>
            </w:tcBorders>
          </w:tcPr>
          <w:p>
            <w:pPr>
              <w:jc w:val="center"/>
              <w:ind w:left="152"/>
              <w:spacing w:after="0"/>
              <w:rPr>
                <w:sz w:val="20"/>
                <w:szCs w:val="20"/>
                <w:color w:val="auto"/>
              </w:rPr>
            </w:pPr>
            <w:r>
              <w:rPr>
                <w:rFonts w:ascii="Arial" w:cs="Arial" w:eastAsia="Arial" w:hAnsi="Arial"/>
                <w:sz w:val="22"/>
                <w:szCs w:val="22"/>
                <w:color w:val="auto"/>
                <w:w w:val="93"/>
              </w:rPr>
              <w:t>$30.2 million</w:t>
            </w:r>
          </w:p>
        </w:tc>
        <w:tc>
          <w:tcPr>
            <w:tcW w:w="2760" w:type="dxa"/>
            <w:vAlign w:val="bottom"/>
            <w:tcBorders>
              <w:bottom w:val="single" w:sz="8" w:color="auto"/>
            </w:tcBorders>
          </w:tcPr>
          <w:p>
            <w:pPr>
              <w:jc w:val="center"/>
              <w:ind w:right="172"/>
              <w:spacing w:after="0"/>
              <w:rPr>
                <w:sz w:val="20"/>
                <w:szCs w:val="20"/>
                <w:color w:val="auto"/>
              </w:rPr>
            </w:pPr>
            <w:r>
              <w:rPr>
                <w:rFonts w:ascii="Arial" w:cs="Arial" w:eastAsia="Arial" w:hAnsi="Arial"/>
                <w:sz w:val="22"/>
                <w:szCs w:val="22"/>
                <w:color w:val="auto"/>
                <w:w w:val="90"/>
              </w:rPr>
              <w:t>20%</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26%</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Active installed base at year-end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Active installed base for selected instruments</w:t>
            </w:r>
          </w:p>
        </w:tc>
        <w:tc>
          <w:tcPr>
            <w:tcW w:w="5440" w:type="dxa"/>
            <w:vAlign w:val="bottom"/>
            <w:tcBorders>
              <w:top w:val="single" w:sz="8" w:color="auto"/>
              <w:bottom w:val="single" w:sz="8" w:color="auto"/>
            </w:tcBorders>
          </w:tcPr>
          <w:p>
            <w:pPr>
              <w:jc w:val="center"/>
              <w:ind w:right="1292"/>
              <w:spacing w:after="0"/>
              <w:rPr>
                <w:sz w:val="20"/>
                <w:szCs w:val="20"/>
                <w:color w:val="auto"/>
              </w:rPr>
            </w:pPr>
            <w:r>
              <w:rPr>
                <w:rFonts w:ascii="Arial" w:cs="Arial" w:eastAsia="Arial" w:hAnsi="Arial"/>
                <w:sz w:val="22"/>
                <w:szCs w:val="22"/>
                <w:b w:val="1"/>
                <w:bCs w:val="1"/>
                <w:color w:val="auto"/>
                <w:w w:val="89"/>
              </w:rPr>
              <w:t>2019</w:t>
            </w:r>
          </w:p>
        </w:tc>
      </w:tr>
      <w:tr>
        <w:trPr>
          <w:trHeight w:val="256"/>
        </w:trPr>
        <w:tc>
          <w:tcPr>
            <w:tcW w:w="5980" w:type="dxa"/>
            <w:vAlign w:val="bottom"/>
          </w:tcPr>
          <w:p>
            <w:pPr>
              <w:ind w:left="20"/>
              <w:spacing w:after="0"/>
              <w:rPr>
                <w:sz w:val="20"/>
                <w:szCs w:val="20"/>
                <w:color w:val="auto"/>
              </w:rPr>
            </w:pPr>
            <w:r>
              <w:rPr>
                <w:rFonts w:ascii="Arial" w:cs="Arial" w:eastAsia="Arial" w:hAnsi="Arial"/>
                <w:sz w:val="22"/>
                <w:szCs w:val="22"/>
                <w:color w:val="auto"/>
              </w:rPr>
              <w:t>Mass cytometry</w:t>
            </w:r>
          </w:p>
        </w:tc>
        <w:tc>
          <w:tcPr>
            <w:tcW w:w="5440" w:type="dxa"/>
            <w:vAlign w:val="bottom"/>
          </w:tcPr>
          <w:p>
            <w:pPr>
              <w:jc w:val="center"/>
              <w:ind w:right="1292"/>
              <w:spacing w:after="0"/>
              <w:rPr>
                <w:sz w:val="20"/>
                <w:szCs w:val="20"/>
                <w:color w:val="auto"/>
              </w:rPr>
            </w:pPr>
            <w:r>
              <w:rPr>
                <w:rFonts w:ascii="Arial" w:cs="Arial" w:eastAsia="Arial" w:hAnsi="Arial"/>
                <w:sz w:val="22"/>
                <w:szCs w:val="22"/>
                <w:color w:val="auto"/>
                <w:w w:val="87"/>
              </w:rPr>
              <w:t>292</w:t>
            </w:r>
          </w:p>
        </w:tc>
      </w:tr>
      <w:tr>
        <w:trPr>
          <w:trHeight w:val="270"/>
        </w:trPr>
        <w:tc>
          <w:tcPr>
            <w:tcW w:w="5980" w:type="dxa"/>
            <w:vAlign w:val="bottom"/>
          </w:tcPr>
          <w:p>
            <w:pPr>
              <w:ind w:left="20"/>
              <w:spacing w:after="0"/>
              <w:rPr>
                <w:sz w:val="20"/>
                <w:szCs w:val="20"/>
                <w:color w:val="auto"/>
              </w:rPr>
            </w:pPr>
            <w:r>
              <w:rPr>
                <w:rFonts w:ascii="Arial" w:cs="Arial" w:eastAsia="Arial" w:hAnsi="Arial"/>
                <w:sz w:val="22"/>
                <w:szCs w:val="22"/>
                <w:color w:val="auto"/>
              </w:rPr>
              <w:t>Biomark™/Biomark HD and EP1™</w:t>
            </w:r>
          </w:p>
        </w:tc>
        <w:tc>
          <w:tcPr>
            <w:tcW w:w="5440" w:type="dxa"/>
            <w:vAlign w:val="bottom"/>
          </w:tcPr>
          <w:p>
            <w:pPr>
              <w:jc w:val="center"/>
              <w:ind w:right="1292"/>
              <w:spacing w:after="0"/>
              <w:rPr>
                <w:sz w:val="20"/>
                <w:szCs w:val="20"/>
                <w:color w:val="auto"/>
              </w:rPr>
            </w:pPr>
            <w:r>
              <w:rPr>
                <w:rFonts w:ascii="Arial" w:cs="Arial" w:eastAsia="Arial" w:hAnsi="Arial"/>
                <w:sz w:val="22"/>
                <w:szCs w:val="22"/>
                <w:color w:val="auto"/>
                <w:w w:val="87"/>
              </w:rPr>
              <w:t>500</w:t>
            </w:r>
          </w:p>
        </w:tc>
      </w:tr>
      <w:tr>
        <w:trPr>
          <w:trHeight w:val="276"/>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Access Array™ and Juno™</w:t>
            </w:r>
          </w:p>
        </w:tc>
        <w:tc>
          <w:tcPr>
            <w:tcW w:w="5440" w:type="dxa"/>
            <w:vAlign w:val="bottom"/>
            <w:tcBorders>
              <w:bottom w:val="single" w:sz="8" w:color="auto"/>
            </w:tcBorders>
          </w:tcPr>
          <w:p>
            <w:pPr>
              <w:jc w:val="center"/>
              <w:ind w:right="1292"/>
              <w:spacing w:after="0"/>
              <w:rPr>
                <w:sz w:val="20"/>
                <w:szCs w:val="20"/>
                <w:color w:val="auto"/>
              </w:rPr>
            </w:pPr>
            <w:r>
              <w:rPr>
                <w:rFonts w:ascii="Arial" w:cs="Arial" w:eastAsia="Arial" w:hAnsi="Arial"/>
                <w:sz w:val="22"/>
                <w:szCs w:val="22"/>
                <w:color w:val="auto"/>
                <w:w w:val="87"/>
              </w:rPr>
              <w:t>188</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2020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expected to grow between 8 percent and 11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GAAP operating loss of $51 million to $54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Non-GAAP operating loss of $21 million to $24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14"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Fluidigm will host a conference call today, February 10, 2020, at 2:00 p.m. PT/5:00 p.m. ET to discuss fourth quarter and full year 2019 financial results and operational progress and provide details around its 2020 annual guidance. Individuals interested in listening to the conference call may do so by dialing the following:</w:t>
      </w:r>
    </w:p>
    <w:p>
      <w:pPr>
        <w:spacing w:after="0" w:line="18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US domestic callers: (877) 556-5248</w:t>
      </w:r>
    </w:p>
    <w:p>
      <w:pPr>
        <w:ind w:left="4180"/>
        <w:spacing w:after="0" w:line="238" w:lineRule="auto"/>
        <w:rPr>
          <w:sz w:val="20"/>
          <w:szCs w:val="20"/>
          <w:color w:val="auto"/>
        </w:rPr>
      </w:pPr>
      <w:r>
        <w:rPr>
          <w:rFonts w:ascii="Arial" w:cs="Arial" w:eastAsia="Arial" w:hAnsi="Arial"/>
          <w:sz w:val="22"/>
          <w:szCs w:val="22"/>
          <w:color w:val="auto"/>
        </w:rPr>
        <w:t>Outside US callers: (720) 545-0029</w:t>
      </w:r>
    </w:p>
    <w:p>
      <w:pPr>
        <w:ind w:left="3900"/>
        <w:spacing w:after="0"/>
        <w:rPr>
          <w:sz w:val="20"/>
          <w:szCs w:val="20"/>
          <w:color w:val="auto"/>
        </w:rPr>
      </w:pPr>
      <w:r>
        <w:rPr>
          <w:rFonts w:ascii="Arial" w:cs="Arial" w:eastAsia="Arial" w:hAnsi="Arial"/>
          <w:sz w:val="22"/>
          <w:szCs w:val="22"/>
          <w:color w:val="auto"/>
        </w:rPr>
        <w:t>Please reference Conference ID: 9226027</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 live webcast of the conference call will be available online from the Investor Relations page of the Company’s website at </w:t>
      </w:r>
      <w:r>
        <w:rPr>
          <w:rFonts w:ascii="Arial" w:cs="Arial" w:eastAsia="Arial" w:hAnsi="Arial"/>
          <w:sz w:val="19"/>
          <w:szCs w:val="19"/>
          <w:u w:val="single" w:color="auto"/>
          <w:color w:val="auto"/>
        </w:rPr>
        <w:t>Events</w:t>
      </w:r>
    </w:p>
    <w:p>
      <w:pPr>
        <w:spacing w:after="0" w:line="43" w:lineRule="exact"/>
        <w:rPr>
          <w:sz w:val="20"/>
          <w:szCs w:val="20"/>
          <w:color w:val="auto"/>
        </w:rPr>
      </w:pPr>
    </w:p>
    <w:p>
      <w:pPr>
        <w:ind w:left="240" w:hanging="232"/>
        <w:spacing w:after="0"/>
        <w:tabs>
          <w:tab w:leader="none" w:pos="240" w:val="left"/>
        </w:tabs>
        <w:numPr>
          <w:ilvl w:val="0"/>
          <w:numId w:val="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Presentations</w:t>
      </w:r>
      <w:r>
        <w:rPr>
          <w:rFonts w:ascii="Arial" w:cs="Arial" w:eastAsia="Arial" w:hAnsi="Arial"/>
          <w:sz w:val="22"/>
          <w:szCs w:val="22"/>
          <w:color w:val="auto"/>
        </w:rPr>
        <w:t>. The link will not be active until 1:45 p.m. PT/4:45 p.m. ET on February 10, 2020.</w:t>
      </w:r>
    </w:p>
    <w:p>
      <w:pPr>
        <w:spacing w:after="0" w:line="188" w:lineRule="exact"/>
        <w:rPr>
          <w:sz w:val="20"/>
          <w:szCs w:val="20"/>
          <w:color w:val="auto"/>
        </w:rPr>
      </w:pPr>
    </w:p>
    <w:p>
      <w:pPr>
        <w:ind w:right="440"/>
        <w:spacing w:after="0" w:line="274" w:lineRule="auto"/>
        <w:rPr>
          <w:sz w:val="20"/>
          <w:szCs w:val="20"/>
          <w:color w:val="auto"/>
        </w:rPr>
      </w:pPr>
      <w:r>
        <w:rPr>
          <w:rFonts w:ascii="Arial" w:cs="Arial" w:eastAsia="Arial" w:hAnsi="Arial"/>
          <w:sz w:val="21"/>
          <w:szCs w:val="21"/>
          <w:color w:val="auto"/>
        </w:rPr>
        <w:t xml:space="preserve">After the live webcast, the call will be archived on Fluidigm’s Investor Relations page at </w:t>
      </w:r>
      <w:r>
        <w:rPr>
          <w:rFonts w:ascii="Arial" w:cs="Arial" w:eastAsia="Arial" w:hAnsi="Arial"/>
          <w:sz w:val="21"/>
          <w:szCs w:val="21"/>
          <w:u w:val="single" w:color="auto"/>
          <w:color w:val="auto"/>
        </w:rPr>
        <w:t>investors.fluidigm.com</w:t>
      </w:r>
      <w:r>
        <w:rPr>
          <w:rFonts w:ascii="Arial" w:cs="Arial" w:eastAsia="Arial" w:hAnsi="Arial"/>
          <w:sz w:val="21"/>
          <w:szCs w:val="21"/>
          <w:color w:val="auto"/>
        </w:rPr>
        <w:t>. In addition, a telephone replay of the teleconference will be available approximately 90 minutes after the end of the call.</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The replay dial-in numbers are:</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US domestic callers: (855) 859-2056</w:t>
      </w:r>
    </w:p>
    <w:p>
      <w:pPr>
        <w:jc w:val="center"/>
        <w:ind w:right="40"/>
        <w:spacing w:after="0" w:line="238" w:lineRule="auto"/>
        <w:rPr>
          <w:sz w:val="20"/>
          <w:szCs w:val="20"/>
          <w:color w:val="auto"/>
        </w:rPr>
      </w:pPr>
      <w:r>
        <w:rPr>
          <w:rFonts w:ascii="Arial" w:cs="Arial" w:eastAsia="Arial" w:hAnsi="Arial"/>
          <w:sz w:val="22"/>
          <w:szCs w:val="22"/>
          <w:color w:val="auto"/>
        </w:rPr>
        <w:t>Outside US: (404) 537-3406</w:t>
      </w:r>
    </w:p>
    <w:p>
      <w:pPr>
        <w:jc w:val="center"/>
        <w:spacing w:after="0"/>
        <w:rPr>
          <w:sz w:val="20"/>
          <w:szCs w:val="20"/>
          <w:color w:val="auto"/>
        </w:rPr>
      </w:pPr>
      <w:r>
        <w:rPr>
          <w:rFonts w:ascii="Arial" w:cs="Arial" w:eastAsia="Arial" w:hAnsi="Arial"/>
          <w:sz w:val="22"/>
          <w:szCs w:val="22"/>
          <w:color w:val="auto"/>
        </w:rPr>
        <w:t>Please reference Conference ID: 9226027</w:t>
      </w:r>
    </w:p>
    <w:p>
      <w:pPr>
        <w:spacing w:after="0" w:line="188" w:lineRule="exact"/>
        <w:rPr>
          <w:sz w:val="20"/>
          <w:szCs w:val="20"/>
          <w:color w:val="auto"/>
        </w:rPr>
      </w:pPr>
    </w:p>
    <w:p>
      <w:pPr>
        <w:ind w:right="5600"/>
        <w:spacing w:after="0" w:line="565" w:lineRule="auto"/>
        <w:rPr>
          <w:sz w:val="20"/>
          <w:szCs w:val="20"/>
          <w:color w:val="auto"/>
        </w:rPr>
      </w:pPr>
      <w:r>
        <w:rPr>
          <w:rFonts w:ascii="Arial" w:cs="Arial" w:eastAsia="Arial" w:hAnsi="Arial"/>
          <w:sz w:val="19"/>
          <w:szCs w:val="19"/>
          <w:color w:val="auto"/>
        </w:rPr>
        <w:t xml:space="preserve">The telephone replay will be available until February 17. </w:t>
      </w:r>
      <w:r>
        <w:rPr>
          <w:rFonts w:ascii="Arial" w:cs="Arial" w:eastAsia="Arial" w:hAnsi="Arial"/>
          <w:sz w:val="19"/>
          <w:szCs w:val="19"/>
          <w:b w:val="1"/>
          <w:bCs w:val="1"/>
          <w:color w:val="auto"/>
        </w:rPr>
        <w:t>Statement Regarding Use of Non-GAAP Financial Information</w:t>
      </w:r>
    </w:p>
    <w:p>
      <w:pPr>
        <w:sectPr>
          <w:pgSz w:w="11900" w:h="16838" w:orient="portrait"/>
          <w:cols w:equalWidth="0" w:num="1">
            <w:col w:w="11420"/>
          </w:cols>
          <w:pgMar w:left="240" w:top="111" w:right="239" w:bottom="0" w:gutter="0" w:footer="0" w:header="0"/>
        </w:sectPr>
      </w:pPr>
    </w:p>
    <w:bookmarkStart w:id="6" w:name="page7"/>
    <w:bookmarkEnd w:id="6"/>
    <w:p>
      <w:pPr>
        <w:spacing w:after="0" w:line="32" w:lineRule="exact"/>
        <w:rPr>
          <w:sz w:val="20"/>
          <w:szCs w:val="20"/>
          <w:color w:val="auto"/>
        </w:rPr>
      </w:pPr>
    </w:p>
    <w:p>
      <w:pPr>
        <w:ind w:right="200"/>
        <w:spacing w:after="0" w:line="271"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three-and twelve-month periods ended December 31, 2019, and December 31, 2018, as well as projected for the full year 2020.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 operating loss exclude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12" w:lineRule="exact"/>
        <w:rPr>
          <w:sz w:val="20"/>
          <w:szCs w:val="20"/>
          <w:color w:val="auto"/>
        </w:rPr>
      </w:pPr>
    </w:p>
    <w:p>
      <w:pPr>
        <w:ind w:right="20"/>
        <w:spacing w:after="0" w:line="247"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increasing adoption of the Company’s technology and products, growth in revenues and the timing of such growth, the expected benefits of strategic initiatives and product launches; and projected revenues and operating loss for 2020.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risks relating to company research and development, sales, marketing, and distribution plans and capabilities; reductions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its Annual Report on Form 10-K for the year ended December 31, 2018,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Fluidigm (Nasdaq: FLDM) is an industry-leading biotechnology tools provider with a vision to improve life through comprehensive health insight. We focus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and plant and animal research laboratories worldwide. Together with them, we strive to increase the quality of life for all. For more information, visit fluidigm.com.</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22"/>
          <w:szCs w:val="22"/>
          <w:color w:val="auto"/>
        </w:rPr>
        <w:t>Fluidigm, the Fluidigm logo, Access Array, Advanta, Biomark, CyTOF, Direct, EP1, Imaging Mass Cytometry, Juno, and Maxpar are trademarks and/or registered trademarks of Fluidigm Corporation in the United States and/or other countries. Fluidigm products are provided for Research Use Only. Not for use in diagnostic procedures.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agnes.lee@fluidigm.com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5620" w:type="dxa"/>
        <w:tblCellMar>
          <w:top w:w="0" w:type="dxa"/>
          <w:left w:w="0" w:type="dxa"/>
          <w:bottom w:w="0" w:type="dxa"/>
          <w:right w:w="0" w:type="dxa"/>
        </w:tblCellMar>
      </w:tblPr>
      <w:tr>
        <w:trPr>
          <w:trHeight w:val="253"/>
        </w:trPr>
        <w:tc>
          <w:tcPr>
            <w:tcW w:w="2960" w:type="dxa"/>
            <w:vAlign w:val="bottom"/>
            <w:gridSpan w:val="4"/>
          </w:tcPr>
          <w:p>
            <w:pPr>
              <w:jc w:val="center"/>
              <w:ind w:right="100"/>
              <w:spacing w:after="0"/>
              <w:rPr>
                <w:sz w:val="20"/>
                <w:szCs w:val="20"/>
                <w:color w:val="auto"/>
              </w:rPr>
            </w:pPr>
            <w:r>
              <w:rPr>
                <w:rFonts w:ascii="Arial" w:cs="Arial" w:eastAsia="Arial" w:hAnsi="Arial"/>
                <w:sz w:val="22"/>
                <w:szCs w:val="22"/>
                <w:b w:val="1"/>
                <w:bCs w:val="1"/>
                <w:color w:val="auto"/>
                <w:w w:val="90"/>
              </w:rPr>
              <w:t>Three Months Ended</w:t>
            </w:r>
          </w:p>
        </w:tc>
        <w:tc>
          <w:tcPr>
            <w:tcW w:w="28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Twelve Months Ended</w:t>
            </w:r>
          </w:p>
        </w:tc>
      </w:tr>
      <w:tr>
        <w:trPr>
          <w:trHeight w:val="282"/>
        </w:trPr>
        <w:tc>
          <w:tcPr>
            <w:tcW w:w="2960" w:type="dxa"/>
            <w:vAlign w:val="bottom"/>
            <w:gridSpan w:val="4"/>
          </w:tcPr>
          <w:p>
            <w:pPr>
              <w:jc w:val="center"/>
              <w:ind w:right="100"/>
              <w:spacing w:after="0"/>
              <w:rPr>
                <w:sz w:val="20"/>
                <w:szCs w:val="20"/>
                <w:color w:val="auto"/>
              </w:rPr>
            </w:pPr>
            <w:r>
              <w:rPr>
                <w:rFonts w:ascii="Arial" w:cs="Arial" w:eastAsia="Arial" w:hAnsi="Arial"/>
                <w:sz w:val="22"/>
                <w:szCs w:val="22"/>
                <w:b w:val="1"/>
                <w:bCs w:val="1"/>
                <w:color w:val="auto"/>
                <w:w w:val="88"/>
              </w:rPr>
              <w:t>December 31,</w:t>
            </w:r>
          </w:p>
        </w:tc>
        <w:tc>
          <w:tcPr>
            <w:tcW w:w="28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8"/>
              </w:rPr>
              <w:t>December 31,</w:t>
            </w:r>
          </w:p>
        </w:tc>
      </w:tr>
      <w:tr>
        <w:trPr>
          <w:trHeight w:val="265"/>
        </w:trPr>
        <w:tc>
          <w:tcPr>
            <w:tcW w:w="13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2019</w:t>
            </w:r>
          </w:p>
        </w:tc>
        <w:tc>
          <w:tcPr>
            <w:tcW w:w="120" w:type="dxa"/>
            <w:vAlign w:val="bottom"/>
            <w:tcBorders>
              <w:top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3"/>
                <w:szCs w:val="23"/>
                <w:color w:val="auto"/>
              </w:rPr>
            </w:pPr>
          </w:p>
        </w:tc>
        <w:tc>
          <w:tcPr>
            <w:tcW w:w="13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2019</w:t>
            </w:r>
          </w:p>
        </w:tc>
        <w:tc>
          <w:tcPr>
            <w:tcW w:w="120" w:type="dxa"/>
            <w:vAlign w:val="bottom"/>
            <w:tcBorders>
              <w:top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2018</w:t>
            </w:r>
          </w:p>
        </w:tc>
      </w:tr>
    </w:tbl>
    <w:p>
      <w:pPr>
        <w:sectPr>
          <w:pgSz w:w="11900" w:h="16870" w:orient="portrait"/>
          <w:cols w:equalWidth="0" w:num="1">
            <w:col w:w="11420"/>
          </w:cols>
          <w:pgMar w:left="240" w:top="118" w:right="239" w:bottom="0" w:gutter="0" w:footer="0" w:header="0"/>
        </w:sectPr>
      </w:pPr>
    </w:p>
    <w:bookmarkStart w:id="7" w:name="page8"/>
    <w:bookmarkEnd w:id="7"/>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71"/>
        </w:trPr>
        <w:tc>
          <w:tcPr>
            <w:tcW w:w="5480" w:type="dxa"/>
            <w:vAlign w:val="bottom"/>
          </w:tcPr>
          <w:p>
            <w:pPr>
              <w:spacing w:after="0"/>
              <w:rPr>
                <w:sz w:val="20"/>
                <w:szCs w:val="20"/>
                <w:color w:val="auto"/>
              </w:rPr>
            </w:pPr>
            <w:r>
              <w:rPr>
                <w:rFonts w:ascii="Arial" w:cs="Arial" w:eastAsia="Arial" w:hAnsi="Arial"/>
                <w:sz w:val="22"/>
                <w:szCs w:val="22"/>
                <w:color w:val="auto"/>
              </w:rPr>
              <w:t>Revenue:</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480" w:type="dxa"/>
            <w:vAlign w:val="bottom"/>
          </w:tcPr>
          <w:p>
            <w:pPr>
              <w:ind w:left="320"/>
              <w:spacing w:after="0"/>
              <w:rPr>
                <w:sz w:val="20"/>
                <w:szCs w:val="20"/>
                <w:color w:val="auto"/>
              </w:rPr>
            </w:pPr>
            <w:r>
              <w:rPr>
                <w:rFonts w:ascii="Arial" w:cs="Arial" w:eastAsia="Arial" w:hAnsi="Arial"/>
                <w:sz w:val="22"/>
                <w:szCs w:val="22"/>
                <w:color w:val="auto"/>
              </w:rPr>
              <w:t>Instruments</w:t>
            </w: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15,804</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13,660</w:t>
            </w:r>
          </w:p>
        </w:tc>
        <w:tc>
          <w:tcPr>
            <w:tcW w:w="10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50,004</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45,491</w:t>
            </w:r>
          </w:p>
        </w:tc>
      </w:tr>
      <w:tr>
        <w:trPr>
          <w:trHeight w:val="275"/>
        </w:trPr>
        <w:tc>
          <w:tcPr>
            <w:tcW w:w="5480" w:type="dxa"/>
            <w:vAlign w:val="bottom"/>
          </w:tcPr>
          <w:p>
            <w:pPr>
              <w:ind w:left="320"/>
              <w:spacing w:after="0"/>
              <w:rPr>
                <w:sz w:val="20"/>
                <w:szCs w:val="20"/>
                <w:color w:val="auto"/>
              </w:rPr>
            </w:pPr>
            <w:r>
              <w:rPr>
                <w:rFonts w:ascii="Arial" w:cs="Arial" w:eastAsia="Arial" w:hAnsi="Arial"/>
                <w:sz w:val="22"/>
                <w:szCs w:val="22"/>
                <w:color w:val="auto"/>
              </w:rPr>
              <w:t>Consumables</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10,884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13,494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45,412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48,159</w:t>
            </w:r>
          </w:p>
        </w:tc>
      </w:tr>
      <w:tr>
        <w:trPr>
          <w:trHeight w:val="259"/>
        </w:trPr>
        <w:tc>
          <w:tcPr>
            <w:tcW w:w="5480" w:type="dxa"/>
            <w:vAlign w:val="bottom"/>
          </w:tcPr>
          <w:p>
            <w:pPr>
              <w:ind w:left="200"/>
              <w:spacing w:after="0"/>
              <w:rPr>
                <w:sz w:val="20"/>
                <w:szCs w:val="20"/>
                <w:color w:val="auto"/>
              </w:rPr>
            </w:pPr>
            <w:r>
              <w:rPr>
                <w:rFonts w:ascii="Arial" w:cs="Arial" w:eastAsia="Arial" w:hAnsi="Arial"/>
                <w:sz w:val="22"/>
                <w:szCs w:val="22"/>
                <w:color w:val="auto"/>
              </w:rPr>
              <w:t>Product revenue</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26,688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27,154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95,416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93,650</w:t>
            </w:r>
          </w:p>
        </w:tc>
      </w:tr>
      <w:tr>
        <w:trPr>
          <w:trHeight w:val="270"/>
        </w:trPr>
        <w:tc>
          <w:tcPr>
            <w:tcW w:w="5480" w:type="dxa"/>
            <w:vAlign w:val="bottom"/>
          </w:tcPr>
          <w:p>
            <w:pPr>
              <w:ind w:left="200"/>
              <w:spacing w:after="0"/>
              <w:rPr>
                <w:sz w:val="20"/>
                <w:szCs w:val="20"/>
                <w:color w:val="auto"/>
              </w:rPr>
            </w:pPr>
            <w:r>
              <w:rPr>
                <w:rFonts w:ascii="Arial" w:cs="Arial" w:eastAsia="Arial" w:hAnsi="Arial"/>
                <w:sz w:val="22"/>
                <w:szCs w:val="22"/>
                <w:color w:val="auto"/>
              </w:rPr>
              <w:t>Service revenue</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5,402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5,171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21,277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19,314</w:t>
            </w:r>
          </w:p>
        </w:tc>
      </w:tr>
      <w:tr>
        <w:trPr>
          <w:trHeight w:val="275"/>
        </w:trPr>
        <w:tc>
          <w:tcPr>
            <w:tcW w:w="5480" w:type="dxa"/>
            <w:vAlign w:val="bottom"/>
          </w:tcPr>
          <w:p>
            <w:pPr>
              <w:ind w:left="200"/>
              <w:spacing w:after="0"/>
              <w:rPr>
                <w:sz w:val="20"/>
                <w:szCs w:val="20"/>
                <w:color w:val="auto"/>
              </w:rPr>
            </w:pPr>
            <w:r>
              <w:rPr>
                <w:rFonts w:ascii="Arial" w:cs="Arial" w:eastAsia="Arial" w:hAnsi="Arial"/>
                <w:sz w:val="22"/>
                <w:szCs w:val="22"/>
                <w:color w:val="auto"/>
              </w:rPr>
              <w:t>Grant revenue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59"/>
        </w:trPr>
        <w:tc>
          <w:tcPr>
            <w:tcW w:w="5480" w:type="dxa"/>
            <w:vAlign w:val="bottom"/>
          </w:tcPr>
          <w:p>
            <w:pPr>
              <w:spacing w:after="0"/>
              <w:rPr>
                <w:sz w:val="20"/>
                <w:szCs w:val="20"/>
                <w:color w:val="auto"/>
              </w:rPr>
            </w:pPr>
            <w:r>
              <w:rPr>
                <w:rFonts w:ascii="Arial" w:cs="Arial" w:eastAsia="Arial" w:hAnsi="Arial"/>
                <w:sz w:val="22"/>
                <w:szCs w:val="22"/>
                <w:color w:val="auto"/>
              </w:rPr>
              <w:t>Total revenue</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32,440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32,325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117,243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112,964</w:t>
            </w:r>
          </w:p>
        </w:tc>
      </w:tr>
      <w:tr>
        <w:trPr>
          <w:trHeight w:val="270"/>
        </w:trPr>
        <w:tc>
          <w:tcPr>
            <w:tcW w:w="5480" w:type="dxa"/>
            <w:vAlign w:val="bottom"/>
          </w:tcPr>
          <w:p>
            <w:pPr>
              <w:spacing w:after="0"/>
              <w:rPr>
                <w:sz w:val="20"/>
                <w:szCs w:val="20"/>
                <w:color w:val="auto"/>
              </w:rPr>
            </w:pPr>
            <w:r>
              <w:rPr>
                <w:rFonts w:ascii="Arial" w:cs="Arial" w:eastAsia="Arial" w:hAnsi="Arial"/>
                <w:sz w:val="22"/>
                <w:szCs w:val="22"/>
                <w:color w:val="auto"/>
              </w:rPr>
              <w:t>Cost of revenue:</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480" w:type="dxa"/>
            <w:vAlign w:val="bottom"/>
          </w:tcPr>
          <w:p>
            <w:pPr>
              <w:ind w:left="200"/>
              <w:spacing w:after="0"/>
              <w:rPr>
                <w:sz w:val="20"/>
                <w:szCs w:val="20"/>
                <w:color w:val="auto"/>
              </w:rPr>
            </w:pPr>
            <w:r>
              <w:rPr>
                <w:rFonts w:ascii="Arial" w:cs="Arial" w:eastAsia="Arial" w:hAnsi="Arial"/>
                <w:sz w:val="22"/>
                <w:szCs w:val="22"/>
                <w:color w:val="auto"/>
              </w:rPr>
              <w:t>Cost of product revenue</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12,452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11,844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45,461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44,861</w:t>
            </w:r>
          </w:p>
        </w:tc>
      </w:tr>
      <w:tr>
        <w:trPr>
          <w:trHeight w:val="275"/>
        </w:trPr>
        <w:tc>
          <w:tcPr>
            <w:tcW w:w="5480" w:type="dxa"/>
            <w:vAlign w:val="bottom"/>
          </w:tcPr>
          <w:p>
            <w:pPr>
              <w:ind w:left="200"/>
              <w:spacing w:after="0"/>
              <w:rPr>
                <w:sz w:val="20"/>
                <w:szCs w:val="20"/>
                <w:color w:val="auto"/>
              </w:rPr>
            </w:pPr>
            <w:r>
              <w:rPr>
                <w:rFonts w:ascii="Arial" w:cs="Arial" w:eastAsia="Arial" w:hAnsi="Arial"/>
                <w:sz w:val="22"/>
                <w:szCs w:val="22"/>
                <w:color w:val="auto"/>
              </w:rPr>
              <w:t>Cost of service revenue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2,100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1,670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7,503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6,454</w:t>
            </w:r>
          </w:p>
        </w:tc>
      </w:tr>
      <w:tr>
        <w:trPr>
          <w:trHeight w:val="267"/>
        </w:trPr>
        <w:tc>
          <w:tcPr>
            <w:tcW w:w="5480" w:type="dxa"/>
            <w:vAlign w:val="bottom"/>
          </w:tcPr>
          <w:p>
            <w:pPr>
              <w:spacing w:after="0"/>
              <w:rPr>
                <w:sz w:val="20"/>
                <w:szCs w:val="20"/>
                <w:color w:val="auto"/>
              </w:rPr>
            </w:pPr>
            <w:r>
              <w:rPr>
                <w:rFonts w:ascii="Arial" w:cs="Arial" w:eastAsia="Arial" w:hAnsi="Arial"/>
                <w:sz w:val="22"/>
                <w:szCs w:val="22"/>
                <w:color w:val="auto"/>
              </w:rPr>
              <w:t>Total cost of revenue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14,552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13,514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52,964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51,315</w:t>
            </w:r>
          </w:p>
        </w:tc>
      </w:tr>
      <w:tr>
        <w:trPr>
          <w:trHeight w:val="256"/>
        </w:trPr>
        <w:tc>
          <w:tcPr>
            <w:tcW w:w="5480" w:type="dxa"/>
            <w:vAlign w:val="bottom"/>
          </w:tcPr>
          <w:p>
            <w:pPr>
              <w:spacing w:after="0"/>
              <w:rPr>
                <w:sz w:val="20"/>
                <w:szCs w:val="20"/>
                <w:color w:val="auto"/>
              </w:rPr>
            </w:pPr>
            <w:r>
              <w:rPr>
                <w:rFonts w:ascii="Arial" w:cs="Arial" w:eastAsia="Arial" w:hAnsi="Arial"/>
                <w:sz w:val="22"/>
                <w:szCs w:val="22"/>
                <w:color w:val="auto"/>
              </w:rPr>
              <w:t>Gross profit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17,888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18,811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64,279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61,649</w:t>
            </w:r>
          </w:p>
        </w:tc>
      </w:tr>
      <w:tr>
        <w:trPr>
          <w:trHeight w:val="270"/>
        </w:trPr>
        <w:tc>
          <w:tcPr>
            <w:tcW w:w="5480" w:type="dxa"/>
            <w:vAlign w:val="bottom"/>
          </w:tcPr>
          <w:p>
            <w:pPr>
              <w:spacing w:after="0"/>
              <w:rPr>
                <w:sz w:val="20"/>
                <w:szCs w:val="20"/>
                <w:color w:val="auto"/>
              </w:rPr>
            </w:pPr>
            <w:r>
              <w:rPr>
                <w:rFonts w:ascii="Arial" w:cs="Arial" w:eastAsia="Arial" w:hAnsi="Arial"/>
                <w:sz w:val="22"/>
                <w:szCs w:val="22"/>
                <w:color w:val="auto"/>
              </w:rPr>
              <w:t>Operating expenses:</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480" w:type="dxa"/>
            <w:vAlign w:val="bottom"/>
          </w:tcPr>
          <w:p>
            <w:pPr>
              <w:ind w:left="200"/>
              <w:spacing w:after="0"/>
              <w:rPr>
                <w:sz w:val="20"/>
                <w:szCs w:val="20"/>
                <w:color w:val="auto"/>
              </w:rPr>
            </w:pPr>
            <w:r>
              <w:rPr>
                <w:rFonts w:ascii="Arial" w:cs="Arial" w:eastAsia="Arial" w:hAnsi="Arial"/>
                <w:sz w:val="22"/>
                <w:szCs w:val="22"/>
                <w:color w:val="auto"/>
              </w:rPr>
              <w:t>Research and development</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8,278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7,958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31,640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30,030</w:t>
            </w:r>
          </w:p>
        </w:tc>
      </w:tr>
      <w:tr>
        <w:trPr>
          <w:trHeight w:val="275"/>
        </w:trPr>
        <w:tc>
          <w:tcPr>
            <w:tcW w:w="5480" w:type="dxa"/>
            <w:vAlign w:val="bottom"/>
          </w:tcPr>
          <w:p>
            <w:pPr>
              <w:ind w:left="200"/>
              <w:spacing w:after="0"/>
              <w:rPr>
                <w:sz w:val="20"/>
                <w:szCs w:val="20"/>
                <w:color w:val="auto"/>
              </w:rPr>
            </w:pPr>
            <w:r>
              <w:rPr>
                <w:rFonts w:ascii="Arial" w:cs="Arial" w:eastAsia="Arial" w:hAnsi="Arial"/>
                <w:sz w:val="22"/>
                <w:szCs w:val="22"/>
                <w:color w:val="auto"/>
              </w:rPr>
              <w:t>Selling, general and administrative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18,791</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21,971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84,478</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79,783</w:t>
            </w:r>
          </w:p>
        </w:tc>
      </w:tr>
      <w:tr>
        <w:trPr>
          <w:trHeight w:val="267"/>
        </w:trPr>
        <w:tc>
          <w:tcPr>
            <w:tcW w:w="5480" w:type="dxa"/>
            <w:vAlign w:val="bottom"/>
          </w:tcPr>
          <w:p>
            <w:pPr>
              <w:spacing w:after="0"/>
              <w:rPr>
                <w:sz w:val="20"/>
                <w:szCs w:val="20"/>
                <w:color w:val="auto"/>
              </w:rPr>
            </w:pPr>
            <w:r>
              <w:rPr>
                <w:rFonts w:ascii="Arial" w:cs="Arial" w:eastAsia="Arial" w:hAnsi="Arial"/>
                <w:sz w:val="22"/>
                <w:szCs w:val="22"/>
                <w:color w:val="auto"/>
              </w:rPr>
              <w:t>Total operating expenses</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27,069</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29,929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116,118</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109,813</w:t>
            </w:r>
          </w:p>
        </w:tc>
      </w:tr>
      <w:tr>
        <w:trPr>
          <w:trHeight w:val="256"/>
        </w:trPr>
        <w:tc>
          <w:tcPr>
            <w:tcW w:w="5480" w:type="dxa"/>
            <w:vAlign w:val="bottom"/>
          </w:tcPr>
          <w:p>
            <w:pPr>
              <w:spacing w:after="0"/>
              <w:rPr>
                <w:sz w:val="20"/>
                <w:szCs w:val="20"/>
                <w:color w:val="auto"/>
              </w:rPr>
            </w:pPr>
            <w:r>
              <w:rPr>
                <w:rFonts w:ascii="Arial" w:cs="Arial" w:eastAsia="Arial" w:hAnsi="Arial"/>
                <w:sz w:val="22"/>
                <w:szCs w:val="22"/>
                <w:color w:val="auto"/>
              </w:rPr>
              <w:t>Loss from operations</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(9,181)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(11,118)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(51,839)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(48,164)</w:t>
            </w:r>
          </w:p>
        </w:tc>
      </w:tr>
      <w:tr>
        <w:trPr>
          <w:trHeight w:val="270"/>
        </w:trPr>
        <w:tc>
          <w:tcPr>
            <w:tcW w:w="5480" w:type="dxa"/>
            <w:vAlign w:val="bottom"/>
          </w:tcPr>
          <w:p>
            <w:pPr>
              <w:spacing w:after="0"/>
              <w:rPr>
                <w:sz w:val="20"/>
                <w:szCs w:val="20"/>
                <w:color w:val="auto"/>
              </w:rPr>
            </w:pPr>
            <w:r>
              <w:rPr>
                <w:rFonts w:ascii="Arial" w:cs="Arial" w:eastAsia="Arial" w:hAnsi="Arial"/>
                <w:sz w:val="22"/>
                <w:szCs w:val="22"/>
                <w:color w:val="auto"/>
              </w:rPr>
              <w:t>Interest expense</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(4,069)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(4,279)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(13,893)</w:t>
            </w:r>
          </w:p>
        </w:tc>
      </w:tr>
      <w:tr>
        <w:trPr>
          <w:trHeight w:val="270"/>
        </w:trPr>
        <w:tc>
          <w:tcPr>
            <w:tcW w:w="548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(3,020)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(12,020)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5"/>
        </w:trPr>
        <w:tc>
          <w:tcPr>
            <w:tcW w:w="5480" w:type="dxa"/>
            <w:vAlign w:val="bottom"/>
          </w:tcPr>
          <w:p>
            <w:pPr>
              <w:spacing w:after="0"/>
              <w:rPr>
                <w:sz w:val="20"/>
                <w:szCs w:val="20"/>
                <w:color w:val="auto"/>
              </w:rPr>
            </w:pPr>
            <w:r>
              <w:rPr>
                <w:rFonts w:ascii="Arial" w:cs="Arial" w:eastAsia="Arial" w:hAnsi="Arial"/>
                <w:sz w:val="22"/>
                <w:szCs w:val="22"/>
                <w:color w:val="auto"/>
              </w:rPr>
              <w:t>Other income, net</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1,433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637</w:t>
            </w:r>
          </w:p>
        </w:tc>
      </w:tr>
      <w:tr>
        <w:trPr>
          <w:trHeight w:val="259"/>
        </w:trPr>
        <w:tc>
          <w:tcPr>
            <w:tcW w:w="548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(12,331)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(15,015)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(66,705)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(61,420)</w:t>
            </w:r>
          </w:p>
        </w:tc>
      </w:tr>
      <w:tr>
        <w:trPr>
          <w:trHeight w:val="275"/>
        </w:trPr>
        <w:tc>
          <w:tcPr>
            <w:tcW w:w="5480" w:type="dxa"/>
            <w:vAlign w:val="bottom"/>
          </w:tcPr>
          <w:p>
            <w:pPr>
              <w:spacing w:after="0"/>
              <w:rPr>
                <w:sz w:val="20"/>
                <w:szCs w:val="20"/>
                <w:color w:val="auto"/>
              </w:rPr>
            </w:pPr>
            <w:r>
              <w:rPr>
                <w:rFonts w:ascii="Arial" w:cs="Arial" w:eastAsia="Arial" w:hAnsi="Arial"/>
                <w:sz w:val="22"/>
                <w:szCs w:val="22"/>
                <w:color w:val="auto"/>
              </w:rPr>
              <w:t>Income tax benefit (expense)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240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1,915</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2,407</w:t>
            </w:r>
          </w:p>
        </w:tc>
      </w:tr>
      <w:tr>
        <w:trPr>
          <w:trHeight w:val="267"/>
        </w:trPr>
        <w:tc>
          <w:tcPr>
            <w:tcW w:w="5480" w:type="dxa"/>
            <w:vAlign w:val="bottom"/>
          </w:tcPr>
          <w:p>
            <w:pPr>
              <w:spacing w:after="0"/>
              <w:rPr>
                <w:sz w:val="20"/>
                <w:szCs w:val="20"/>
                <w:color w:val="auto"/>
              </w:rPr>
            </w:pPr>
            <w:r>
              <w:rPr>
                <w:rFonts w:ascii="Arial" w:cs="Arial" w:eastAsia="Arial" w:hAnsi="Arial"/>
                <w:sz w:val="22"/>
                <w:szCs w:val="22"/>
                <w:color w:val="auto"/>
              </w:rPr>
              <w:t>Net loss</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(12,685)</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(14,775)</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(64,790)</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(59,013)</w:t>
            </w:r>
          </w:p>
        </w:tc>
      </w:tr>
      <w:tr>
        <w:trPr>
          <w:trHeight w:val="21"/>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4"/>
        </w:trPr>
        <w:tc>
          <w:tcPr>
            <w:tcW w:w="548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(0.36)</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(0.97)</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(1.49)</w:t>
            </w:r>
          </w:p>
        </w:tc>
      </w:tr>
      <w:tr>
        <w:trPr>
          <w:trHeight w:val="21"/>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4"/>
        </w:trPr>
        <w:tc>
          <w:tcPr>
            <w:tcW w:w="5480" w:type="dxa"/>
            <w:vAlign w:val="bottom"/>
          </w:tcPr>
          <w:p>
            <w:pPr>
              <w:spacing w:after="0"/>
              <w:rPr>
                <w:sz w:val="20"/>
                <w:szCs w:val="20"/>
                <w:color w:val="auto"/>
              </w:rPr>
            </w:pPr>
            <w:r>
              <w:rPr>
                <w:rFonts w:ascii="Arial" w:cs="Arial" w:eastAsia="Arial" w:hAnsi="Arial"/>
                <w:sz w:val="22"/>
                <w:szCs w:val="22"/>
                <w:color w:val="auto"/>
                <w:w w:val="89"/>
              </w:rPr>
              <w:t>Shares used in computing net loss per share, basic and diluted</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69,706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41,489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66,779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39,652</w:t>
            </w:r>
          </w:p>
        </w:tc>
      </w:tr>
      <w:tr>
        <w:trPr>
          <w:trHeight w:val="21"/>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00" w:type="dxa"/>
            <w:vAlign w:val="bottom"/>
          </w:tcPr>
          <w:p>
            <w:pPr>
              <w:spacing w:after="0"/>
              <w:rPr>
                <w:sz w:val="24"/>
                <w:szCs w:val="24"/>
                <w:color w:val="auto"/>
              </w:rPr>
            </w:pPr>
          </w:p>
        </w:tc>
        <w:tc>
          <w:tcPr>
            <w:tcW w:w="3500" w:type="dxa"/>
            <w:vAlign w:val="bottom"/>
            <w:gridSpan w:val="2"/>
          </w:tcPr>
          <w:p>
            <w:pPr>
              <w:jc w:val="right"/>
              <w:ind w:right="2072"/>
              <w:spacing w:after="0"/>
              <w:rPr>
                <w:sz w:val="20"/>
                <w:szCs w:val="20"/>
                <w:color w:val="auto"/>
              </w:rPr>
            </w:pPr>
            <w:r>
              <w:rPr>
                <w:rFonts w:ascii="Arial" w:cs="Arial" w:eastAsia="Arial" w:hAnsi="Arial"/>
                <w:sz w:val="22"/>
                <w:szCs w:val="22"/>
                <w:b w:val="1"/>
                <w:bCs w:val="1"/>
                <w:color w:val="auto"/>
              </w:rPr>
              <w:t>(Unaudited)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4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00" w:type="dxa"/>
            <w:vAlign w:val="bottom"/>
            <w:gridSpan w:val="3"/>
          </w:tcPr>
          <w:p>
            <w:pPr>
              <w:ind w:left="160"/>
              <w:spacing w:after="0"/>
              <w:rPr>
                <w:sz w:val="20"/>
                <w:szCs w:val="20"/>
                <w:color w:val="auto"/>
              </w:rPr>
            </w:pPr>
            <w:r>
              <w:rPr>
                <w:rFonts w:ascii="Arial" w:cs="Arial" w:eastAsia="Arial" w:hAnsi="Arial"/>
                <w:sz w:val="22"/>
                <w:szCs w:val="22"/>
                <w:b w:val="1"/>
                <w:bCs w:val="1"/>
                <w:color w:val="auto"/>
              </w:rPr>
              <w:t>December 31,</w:t>
            </w:r>
          </w:p>
        </w:tc>
        <w:tc>
          <w:tcPr>
            <w:tcW w:w="160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 xml:space="preserve">2018 </w:t>
            </w:r>
            <w:r>
              <w:rPr>
                <w:rFonts w:ascii="Arial" w:cs="Arial" w:eastAsia="Arial" w:hAnsi="Arial"/>
                <w:sz w:val="15"/>
                <w:szCs w:val="15"/>
                <w:b w:val="1"/>
                <w:bCs w:val="1"/>
                <w:color w:val="auto"/>
              </w:rPr>
              <w:t>(1)</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49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22"/>
                <w:szCs w:val="22"/>
                <w:color w:val="auto"/>
              </w:rPr>
              <w:t>Current assets:</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260"/>
              <w:spacing w:after="0"/>
              <w:rPr>
                <w:sz w:val="20"/>
                <w:szCs w:val="20"/>
                <w:color w:val="auto"/>
              </w:rPr>
            </w:pPr>
            <w:r>
              <w:rPr>
                <w:rFonts w:ascii="Arial" w:cs="Arial" w:eastAsia="Arial" w:hAnsi="Arial"/>
                <w:sz w:val="22"/>
                <w:szCs w:val="22"/>
                <w:color w:val="auto"/>
              </w:rPr>
              <w:t>Cash and cash equivalents (Note 2)</w:t>
            </w:r>
          </w:p>
        </w:tc>
        <w:tc>
          <w:tcPr>
            <w:tcW w:w="3500" w:type="dxa"/>
            <w:vAlign w:val="bottom"/>
            <w:gridSpan w:val="2"/>
          </w:tcPr>
          <w:p>
            <w:pPr>
              <w:jc w:val="right"/>
              <w:ind w:right="52"/>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21,661</w:t>
            </w:r>
          </w:p>
        </w:tc>
        <w:tc>
          <w:tcPr>
            <w:tcW w:w="100" w:type="dxa"/>
            <w:vAlign w:val="bottom"/>
          </w:tcPr>
          <w:p>
            <w:pPr>
              <w:spacing w:after="0"/>
              <w:rPr>
                <w:sz w:val="23"/>
                <w:szCs w:val="23"/>
                <w:color w:val="auto"/>
              </w:rPr>
            </w:pP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95,401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260"/>
              <w:spacing w:after="0"/>
              <w:rPr>
                <w:sz w:val="20"/>
                <w:szCs w:val="20"/>
                <w:color w:val="auto"/>
              </w:rPr>
            </w:pPr>
            <w:r>
              <w:rPr>
                <w:rFonts w:ascii="Arial" w:cs="Arial" w:eastAsia="Arial" w:hAnsi="Arial"/>
                <w:sz w:val="22"/>
                <w:szCs w:val="22"/>
                <w:color w:val="auto"/>
              </w:rPr>
              <w:t>Short-term investments (Note 2)</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36,978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260"/>
              <w:spacing w:after="0"/>
              <w:rPr>
                <w:sz w:val="20"/>
                <w:szCs w:val="20"/>
                <w:color w:val="auto"/>
              </w:rPr>
            </w:pPr>
            <w:r>
              <w:rPr>
                <w:rFonts w:ascii="Arial" w:cs="Arial" w:eastAsia="Arial" w:hAnsi="Arial"/>
                <w:sz w:val="22"/>
                <w:szCs w:val="22"/>
                <w:color w:val="auto"/>
              </w:rPr>
              <w:t>Accounts receivable, net</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18,981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16,651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260"/>
              <w:spacing w:after="0"/>
              <w:rPr>
                <w:sz w:val="20"/>
                <w:szCs w:val="20"/>
                <w:color w:val="auto"/>
              </w:rPr>
            </w:pPr>
            <w:r>
              <w:rPr>
                <w:rFonts w:ascii="Arial" w:cs="Arial" w:eastAsia="Arial" w:hAnsi="Arial"/>
                <w:sz w:val="22"/>
                <w:szCs w:val="22"/>
                <w:color w:val="auto"/>
              </w:rPr>
              <w:t>Inventories</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13,884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13,003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00" w:type="dxa"/>
            <w:vAlign w:val="bottom"/>
          </w:tcPr>
          <w:p>
            <w:pPr>
              <w:ind w:left="260"/>
              <w:spacing w:after="0"/>
              <w:rPr>
                <w:sz w:val="20"/>
                <w:szCs w:val="20"/>
                <w:color w:val="auto"/>
              </w:rPr>
            </w:pPr>
            <w:r>
              <w:rPr>
                <w:rFonts w:ascii="Arial" w:cs="Arial" w:eastAsia="Arial" w:hAnsi="Arial"/>
                <w:sz w:val="22"/>
                <w:szCs w:val="22"/>
                <w:color w:val="auto"/>
                <w:w w:val="91"/>
              </w:rPr>
              <w:t>Prepaid expenses and other current assets (Note 2)</w:t>
            </w:r>
          </w:p>
        </w:tc>
        <w:tc>
          <w:tcPr>
            <w:tcW w:w="3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4,592</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2,051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900" w:type="dxa"/>
            <w:vAlign w:val="bottom"/>
          </w:tcPr>
          <w:p>
            <w:pPr>
              <w:spacing w:after="0"/>
              <w:rPr>
                <w:sz w:val="20"/>
                <w:szCs w:val="20"/>
                <w:color w:val="auto"/>
              </w:rPr>
            </w:pPr>
            <w:r>
              <w:rPr>
                <w:rFonts w:ascii="Arial" w:cs="Arial" w:eastAsia="Arial" w:hAnsi="Arial"/>
                <w:sz w:val="22"/>
                <w:szCs w:val="22"/>
                <w:color w:val="auto"/>
              </w:rPr>
              <w:t>Total current assets</w:t>
            </w:r>
          </w:p>
        </w:tc>
        <w:tc>
          <w:tcPr>
            <w:tcW w:w="3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96,096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127,106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8,056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8,825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22"/>
                <w:szCs w:val="22"/>
                <w:color w:val="auto"/>
              </w:rPr>
              <w:t>Operating lease right-of-use assets, net</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4,860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22"/>
                <w:szCs w:val="22"/>
                <w:color w:val="auto"/>
              </w:rPr>
              <w:t>Other non-current assets (Note 2)</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5,492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6,208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46,200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57,400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00" w:type="dxa"/>
            <w:vAlign w:val="bottom"/>
          </w:tcPr>
          <w:p>
            <w:pPr>
              <w:spacing w:after="0"/>
              <w:rPr>
                <w:sz w:val="20"/>
                <w:szCs w:val="20"/>
                <w:color w:val="auto"/>
              </w:rPr>
            </w:pPr>
            <w:r>
              <w:rPr>
                <w:rFonts w:ascii="Arial" w:cs="Arial" w:eastAsia="Arial" w:hAnsi="Arial"/>
                <w:sz w:val="22"/>
                <w:szCs w:val="22"/>
                <w:color w:val="auto"/>
              </w:rPr>
              <w:t>Goodwill</w:t>
            </w:r>
          </w:p>
        </w:tc>
        <w:tc>
          <w:tcPr>
            <w:tcW w:w="3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900" w:type="dxa"/>
            <w:vAlign w:val="bottom"/>
          </w:tcPr>
          <w:p>
            <w:pPr>
              <w:spacing w:after="0"/>
              <w:rPr>
                <w:sz w:val="20"/>
                <w:szCs w:val="20"/>
                <w:color w:val="auto"/>
              </w:rPr>
            </w:pPr>
            <w:r>
              <w:rPr>
                <w:rFonts w:ascii="Arial" w:cs="Arial" w:eastAsia="Arial" w:hAnsi="Arial"/>
                <w:sz w:val="22"/>
                <w:szCs w:val="22"/>
                <w:color w:val="auto"/>
              </w:rPr>
              <w:t>Total assets</w:t>
            </w:r>
          </w:p>
        </w:tc>
        <w:tc>
          <w:tcPr>
            <w:tcW w:w="3100" w:type="dxa"/>
            <w:vAlign w:val="bottom"/>
          </w:tcPr>
          <w:p>
            <w:pPr>
              <w:spacing w:after="0"/>
              <w:rPr>
                <w:sz w:val="23"/>
                <w:szCs w:val="23"/>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264,812</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303,647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90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3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90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22"/>
                <w:szCs w:val="22"/>
                <w:color w:val="auto"/>
              </w:rPr>
              <w:t>Current liabilities:</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260"/>
              <w:spacing w:after="0"/>
              <w:rPr>
                <w:sz w:val="20"/>
                <w:szCs w:val="20"/>
                <w:color w:val="auto"/>
              </w:rPr>
            </w:pPr>
            <w:r>
              <w:rPr>
                <w:rFonts w:ascii="Arial" w:cs="Arial" w:eastAsia="Arial" w:hAnsi="Arial"/>
                <w:sz w:val="22"/>
                <w:szCs w:val="22"/>
                <w:color w:val="auto"/>
              </w:rPr>
              <w:t>Accounts payable</w:t>
            </w:r>
          </w:p>
        </w:tc>
        <w:tc>
          <w:tcPr>
            <w:tcW w:w="3500" w:type="dxa"/>
            <w:vAlign w:val="bottom"/>
            <w:gridSpan w:val="2"/>
          </w:tcPr>
          <w:p>
            <w:pPr>
              <w:jc w:val="right"/>
              <w:ind w:right="52"/>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6,510</w:t>
            </w:r>
          </w:p>
        </w:tc>
        <w:tc>
          <w:tcPr>
            <w:tcW w:w="100" w:type="dxa"/>
            <w:vAlign w:val="bottom"/>
          </w:tcPr>
          <w:p>
            <w:pPr>
              <w:spacing w:after="0"/>
              <w:rPr>
                <w:sz w:val="23"/>
                <w:szCs w:val="23"/>
                <w:color w:val="auto"/>
              </w:rPr>
            </w:pP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4,027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260"/>
              <w:spacing w:after="0"/>
              <w:rPr>
                <w:sz w:val="20"/>
                <w:szCs w:val="20"/>
                <w:color w:val="auto"/>
              </w:rPr>
            </w:pPr>
            <w:r>
              <w:rPr>
                <w:rFonts w:ascii="Arial" w:cs="Arial" w:eastAsia="Arial" w:hAnsi="Arial"/>
                <w:sz w:val="22"/>
                <w:szCs w:val="22"/>
                <w:color w:val="auto"/>
              </w:rPr>
              <w:t>Accrued compensation and related benefits</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5,160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14,470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00" w:type="dxa"/>
            <w:vAlign w:val="bottom"/>
          </w:tcPr>
          <w:p>
            <w:pPr>
              <w:ind w:left="260"/>
              <w:spacing w:after="0"/>
              <w:rPr>
                <w:sz w:val="20"/>
                <w:szCs w:val="20"/>
                <w:color w:val="auto"/>
              </w:rPr>
            </w:pPr>
            <w:r>
              <w:rPr>
                <w:rFonts w:ascii="Arial" w:cs="Arial" w:eastAsia="Arial" w:hAnsi="Arial"/>
                <w:sz w:val="22"/>
                <w:szCs w:val="22"/>
                <w:color w:val="auto"/>
              </w:rPr>
              <w:t>Operating lease liabilities, current</w:t>
            </w: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1,833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60" w:top="118"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000" w:type="dxa"/>
            <w:vAlign w:val="bottom"/>
          </w:tcPr>
          <w:p>
            <w:pPr>
              <w:ind w:left="260"/>
              <w:spacing w:after="0"/>
              <w:rPr>
                <w:sz w:val="20"/>
                <w:szCs w:val="20"/>
                <w:color w:val="auto"/>
              </w:rPr>
            </w:pPr>
            <w:r>
              <w:rPr>
                <w:rFonts w:ascii="Arial" w:cs="Arial" w:eastAsia="Arial" w:hAnsi="Arial"/>
                <w:sz w:val="22"/>
                <w:szCs w:val="22"/>
                <w:color w:val="auto"/>
              </w:rPr>
              <w:t>Other accrued liabilities</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7,515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7,621</w:t>
            </w:r>
          </w:p>
        </w:tc>
      </w:tr>
      <w:tr>
        <w:trPr>
          <w:trHeight w:val="275"/>
        </w:trPr>
        <w:tc>
          <w:tcPr>
            <w:tcW w:w="8000" w:type="dxa"/>
            <w:vAlign w:val="bottom"/>
          </w:tcPr>
          <w:p>
            <w:pPr>
              <w:ind w:left="260"/>
              <w:spacing w:after="0"/>
              <w:rPr>
                <w:sz w:val="20"/>
                <w:szCs w:val="20"/>
                <w:color w:val="auto"/>
              </w:rPr>
            </w:pPr>
            <w:r>
              <w:rPr>
                <w:rFonts w:ascii="Arial" w:cs="Arial" w:eastAsia="Arial" w:hAnsi="Arial"/>
                <w:sz w:val="22"/>
                <w:szCs w:val="22"/>
                <w:color w:val="auto"/>
              </w:rPr>
              <w:t>Deferred revenue, current portion</w:t>
            </w: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11,803</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11,464</w:t>
            </w:r>
          </w:p>
        </w:tc>
      </w:tr>
      <w:tr>
        <w:trPr>
          <w:trHeight w:val="259"/>
        </w:trPr>
        <w:tc>
          <w:tcPr>
            <w:tcW w:w="800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32,821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37,582</w:t>
            </w:r>
          </w:p>
        </w:tc>
      </w:tr>
      <w:tr>
        <w:trPr>
          <w:trHeight w:val="270"/>
        </w:trPr>
        <w:tc>
          <w:tcPr>
            <w:tcW w:w="8000" w:type="dxa"/>
            <w:vAlign w:val="bottom"/>
          </w:tcPr>
          <w:p>
            <w:pPr>
              <w:spacing w:after="0"/>
              <w:rPr>
                <w:sz w:val="20"/>
                <w:szCs w:val="20"/>
                <w:color w:val="auto"/>
              </w:rPr>
            </w:pPr>
            <w:r>
              <w:rPr>
                <w:rFonts w:ascii="Arial" w:cs="Arial" w:eastAsia="Arial" w:hAnsi="Arial"/>
                <w:sz w:val="22"/>
                <w:szCs w:val="22"/>
                <w:color w:val="auto"/>
              </w:rPr>
              <w:t>Convertible notes, net</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53,821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172,058</w:t>
            </w:r>
          </w:p>
        </w:tc>
      </w:tr>
      <w:tr>
        <w:trPr>
          <w:trHeight w:val="270"/>
        </w:trPr>
        <w:tc>
          <w:tcPr>
            <w:tcW w:w="800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11,494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13,714</w:t>
            </w:r>
          </w:p>
        </w:tc>
      </w:tr>
      <w:tr>
        <w:trPr>
          <w:trHeight w:val="270"/>
        </w:trPr>
        <w:tc>
          <w:tcPr>
            <w:tcW w:w="8000" w:type="dxa"/>
            <w:vAlign w:val="bottom"/>
          </w:tcPr>
          <w:p>
            <w:pPr>
              <w:spacing w:after="0"/>
              <w:rPr>
                <w:sz w:val="20"/>
                <w:szCs w:val="20"/>
                <w:color w:val="auto"/>
              </w:rPr>
            </w:pPr>
            <w:r>
              <w:rPr>
                <w:rFonts w:ascii="Arial" w:cs="Arial" w:eastAsia="Arial" w:hAnsi="Arial"/>
                <w:sz w:val="22"/>
                <w:szCs w:val="22"/>
                <w:color w:val="auto"/>
              </w:rPr>
              <w:t>Operating lease liabilities, non-current</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4,323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8000" w:type="dxa"/>
            <w:vAlign w:val="bottom"/>
          </w:tcPr>
          <w:p>
            <w:pPr>
              <w:spacing w:after="0"/>
              <w:rPr>
                <w:sz w:val="20"/>
                <w:szCs w:val="20"/>
                <w:color w:val="auto"/>
              </w:rPr>
            </w:pPr>
            <w:r>
              <w:rPr>
                <w:rFonts w:ascii="Arial" w:cs="Arial" w:eastAsia="Arial" w:hAnsi="Arial"/>
                <w:sz w:val="22"/>
                <w:szCs w:val="22"/>
                <w:color w:val="auto"/>
              </w:rPr>
              <w:t>Deferred revenue, non-current</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8,168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6,327</w:t>
            </w:r>
          </w:p>
        </w:tc>
      </w:tr>
      <w:tr>
        <w:trPr>
          <w:trHeight w:val="275"/>
        </w:trPr>
        <w:tc>
          <w:tcPr>
            <w:tcW w:w="800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573</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1,850</w:t>
            </w:r>
          </w:p>
        </w:tc>
      </w:tr>
      <w:tr>
        <w:trPr>
          <w:trHeight w:val="259"/>
        </w:trPr>
        <w:tc>
          <w:tcPr>
            <w:tcW w:w="8000" w:type="dxa"/>
            <w:vAlign w:val="bottom"/>
          </w:tcPr>
          <w:p>
            <w:pPr>
              <w:spacing w:after="0"/>
              <w:rPr>
                <w:sz w:val="20"/>
                <w:szCs w:val="20"/>
                <w:color w:val="auto"/>
              </w:rPr>
            </w:pPr>
            <w:r>
              <w:rPr>
                <w:rFonts w:ascii="Arial" w:cs="Arial" w:eastAsia="Arial" w:hAnsi="Arial"/>
                <w:sz w:val="22"/>
                <w:szCs w:val="22"/>
                <w:color w:val="auto"/>
              </w:rPr>
              <w:t>Total liabilities</w:t>
            </w: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111,200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231,531</w:t>
            </w:r>
          </w:p>
        </w:tc>
      </w:tr>
      <w:tr>
        <w:trPr>
          <w:trHeight w:val="275"/>
        </w:trPr>
        <w:tc>
          <w:tcPr>
            <w:tcW w:w="800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153,612</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72,116</w:t>
            </w:r>
          </w:p>
        </w:tc>
      </w:tr>
      <w:tr>
        <w:trPr>
          <w:trHeight w:val="267"/>
        </w:trPr>
        <w:tc>
          <w:tcPr>
            <w:tcW w:w="800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264,812</w:t>
            </w:r>
          </w:p>
        </w:tc>
        <w:tc>
          <w:tcPr>
            <w:tcW w:w="100" w:type="dxa"/>
            <w:vAlign w:val="bottom"/>
          </w:tcPr>
          <w:p>
            <w:pPr>
              <w:spacing w:after="0"/>
              <w:rPr>
                <w:sz w:val="23"/>
                <w:szCs w:val="23"/>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303,647</w:t>
            </w:r>
          </w:p>
        </w:tc>
      </w:tr>
      <w:tr>
        <w:trPr>
          <w:trHeight w:val="21"/>
        </w:trPr>
        <w:tc>
          <w:tcPr>
            <w:tcW w:w="8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22" w:lineRule="exact"/>
        <w:rPr>
          <w:sz w:val="20"/>
          <w:szCs w:val="20"/>
          <w:color w:val="auto"/>
        </w:rPr>
      </w:pPr>
    </w:p>
    <w:p>
      <w:pPr>
        <w:ind w:left="300" w:hanging="298"/>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Derived from audited consolidated financial statements</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Cash and cash equivalents, available for sale securities and restricted cash consist of:</w:t>
      </w:r>
    </w:p>
    <w:p>
      <w:pPr>
        <w:spacing w:after="0" w:line="17" w:lineRule="exact"/>
        <w:rPr>
          <w:sz w:val="20"/>
          <w:szCs w:val="20"/>
          <w:color w:val="auto"/>
        </w:rPr>
      </w:pPr>
    </w:p>
    <w:tbl>
      <w:tblPr>
        <w:tblLayout w:type="fixed"/>
        <w:tblInd w:w="260" w:type="dxa"/>
        <w:tblCellMar>
          <w:top w:w="0" w:type="dxa"/>
          <w:left w:w="0" w:type="dxa"/>
          <w:bottom w:w="0" w:type="dxa"/>
          <w:right w:w="0" w:type="dxa"/>
        </w:tblCellMar>
      </w:tblPr>
      <w:tr>
        <w:trPr>
          <w:trHeight w:val="266"/>
        </w:trPr>
        <w:tc>
          <w:tcPr>
            <w:tcW w:w="774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62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21,661</w:t>
            </w:r>
          </w:p>
        </w:tc>
        <w:tc>
          <w:tcPr>
            <w:tcW w:w="100" w:type="dxa"/>
            <w:vAlign w:val="bottom"/>
          </w:tcPr>
          <w:p>
            <w:pPr>
              <w:spacing w:after="0"/>
              <w:rPr>
                <w:sz w:val="23"/>
                <w:szCs w:val="23"/>
                <w:color w:val="auto"/>
              </w:rPr>
            </w:pPr>
          </w:p>
        </w:tc>
        <w:tc>
          <w:tcPr>
            <w:tcW w:w="62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95,401</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Short-term investments</w:t>
            </w: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36,978</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7740" w:type="dxa"/>
            <w:vAlign w:val="bottom"/>
          </w:tcPr>
          <w:p>
            <w:pPr>
              <w:spacing w:after="0" w:line="243" w:lineRule="exact"/>
              <w:rPr>
                <w:sz w:val="20"/>
                <w:szCs w:val="20"/>
                <w:color w:val="auto"/>
              </w:rPr>
            </w:pPr>
            <w:r>
              <w:rPr>
                <w:rFonts w:ascii="Arial" w:cs="Arial" w:eastAsia="Arial" w:hAnsi="Arial"/>
                <w:sz w:val="22"/>
                <w:szCs w:val="22"/>
                <w:color w:val="auto"/>
                <w:w w:val="94"/>
              </w:rPr>
              <w:t>Restricted cash (included in prepaid and other current assets, and other non-current</w:t>
            </w:r>
          </w:p>
        </w:tc>
        <w:tc>
          <w:tcPr>
            <w:tcW w:w="62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22"/>
                <w:szCs w:val="22"/>
                <w:color w:val="auto"/>
              </w:rPr>
              <w:t>2,075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53"/>
        </w:trPr>
        <w:tc>
          <w:tcPr>
            <w:tcW w:w="7740" w:type="dxa"/>
            <w:vAlign w:val="bottom"/>
            <w:vMerge w:val="restart"/>
          </w:tcPr>
          <w:p>
            <w:pPr>
              <w:spacing w:after="0"/>
              <w:rPr>
                <w:sz w:val="20"/>
                <w:szCs w:val="20"/>
                <w:color w:val="auto"/>
              </w:rPr>
            </w:pPr>
            <w:r>
              <w:rPr>
                <w:rFonts w:ascii="Arial" w:cs="Arial" w:eastAsia="Arial" w:hAnsi="Arial"/>
                <w:sz w:val="22"/>
                <w:szCs w:val="22"/>
                <w:color w:val="auto"/>
              </w:rPr>
              <w:t>assets)</w:t>
            </w:r>
          </w:p>
        </w:tc>
        <w:tc>
          <w:tcPr>
            <w:tcW w:w="6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740" w:type="dxa"/>
            <w:vAlign w:val="bottom"/>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7740" w:type="dxa"/>
            <w:vAlign w:val="bottom"/>
          </w:tcPr>
          <w:p>
            <w:pPr>
              <w:spacing w:after="0"/>
              <w:rPr>
                <w:sz w:val="20"/>
                <w:szCs w:val="20"/>
                <w:color w:val="auto"/>
              </w:rPr>
            </w:pPr>
            <w:r>
              <w:rPr>
                <w:rFonts w:ascii="Arial" w:cs="Arial" w:eastAsia="Arial" w:hAnsi="Arial"/>
                <w:sz w:val="22"/>
                <w:szCs w:val="22"/>
                <w:color w:val="auto"/>
                <w:w w:val="98"/>
              </w:rPr>
              <w:t>Total cash and cash equivalents, available for sale securities and restricted cash</w:t>
            </w:r>
          </w:p>
        </w:tc>
        <w:tc>
          <w:tcPr>
            <w:tcW w:w="62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60,714</w:t>
            </w:r>
          </w:p>
        </w:tc>
        <w:tc>
          <w:tcPr>
            <w:tcW w:w="100" w:type="dxa"/>
            <w:vAlign w:val="bottom"/>
          </w:tcPr>
          <w:p>
            <w:pPr>
              <w:spacing w:after="0"/>
              <w:rPr>
                <w:sz w:val="23"/>
                <w:szCs w:val="23"/>
                <w:color w:val="auto"/>
              </w:rPr>
            </w:pPr>
          </w:p>
        </w:tc>
        <w:tc>
          <w:tcPr>
            <w:tcW w:w="62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95,401</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p>
      <w:pPr>
        <w:jc w:val="center"/>
        <w:ind w:left="8120"/>
        <w:spacing w:after="0"/>
        <w:rPr>
          <w:sz w:val="20"/>
          <w:szCs w:val="20"/>
          <w:color w:val="auto"/>
        </w:rPr>
      </w:pPr>
      <w:r>
        <w:rPr>
          <w:rFonts w:ascii="Arial" w:cs="Arial" w:eastAsia="Arial" w:hAnsi="Arial"/>
          <w:sz w:val="21"/>
          <w:szCs w:val="21"/>
          <w:b w:val="1"/>
          <w:bCs w:val="1"/>
          <w:color w:val="auto"/>
        </w:rPr>
        <w:t>Twelve Months Ended December</w:t>
      </w:r>
    </w:p>
    <w:p>
      <w:pPr>
        <w:spacing w:after="0" w:line="26" w:lineRule="exact"/>
        <w:rPr>
          <w:sz w:val="20"/>
          <w:szCs w:val="20"/>
          <w:color w:val="auto"/>
        </w:rPr>
      </w:pPr>
    </w:p>
    <w:p>
      <w:pPr>
        <w:jc w:val="center"/>
        <w:ind w:left="8120"/>
        <w:spacing w:after="0"/>
        <w:rPr>
          <w:sz w:val="20"/>
          <w:szCs w:val="20"/>
          <w:color w:val="auto"/>
        </w:rPr>
      </w:pPr>
      <w:r>
        <w:rPr>
          <w:rFonts w:ascii="Arial" w:cs="Arial" w:eastAsia="Arial" w:hAnsi="Arial"/>
          <w:sz w:val="22"/>
          <w:szCs w:val="22"/>
          <w:b w:val="1"/>
          <w:bCs w:val="1"/>
          <w:color w:val="auto"/>
        </w:rPr>
        <w:t>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100" w:type="dxa"/>
            <w:vAlign w:val="bottom"/>
            <w:vMerge w:val="restart"/>
          </w:tcPr>
          <w:p>
            <w:pPr>
              <w:spacing w:after="0"/>
              <w:rPr>
                <w:sz w:val="20"/>
                <w:szCs w:val="20"/>
                <w:color w:val="auto"/>
              </w:rPr>
            </w:pPr>
            <w:r>
              <w:rPr>
                <w:rFonts w:ascii="Arial" w:cs="Arial" w:eastAsia="Arial" w:hAnsi="Arial"/>
                <w:sz w:val="22"/>
                <w:szCs w:val="22"/>
                <w:b w:val="1"/>
                <w:bCs w:val="1"/>
                <w:color w:val="auto"/>
              </w:rPr>
              <w:t>Operating activities</w:t>
            </w: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47"/>
        </w:trPr>
        <w:tc>
          <w:tcPr>
            <w:tcW w:w="81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100" w:type="dxa"/>
            <w:vAlign w:val="bottom"/>
          </w:tcPr>
          <w:p>
            <w:pPr>
              <w:spacing w:after="0"/>
              <w:rPr>
                <w:sz w:val="20"/>
                <w:szCs w:val="20"/>
                <w:color w:val="auto"/>
              </w:rPr>
            </w:pPr>
            <w:r>
              <w:rPr>
                <w:rFonts w:ascii="Arial" w:cs="Arial" w:eastAsia="Arial" w:hAnsi="Arial"/>
                <w:sz w:val="22"/>
                <w:szCs w:val="22"/>
                <w:color w:val="auto"/>
              </w:rPr>
              <w:t>Net loss</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(64,790)</w:t>
            </w:r>
          </w:p>
        </w:tc>
        <w:tc>
          <w:tcPr>
            <w:tcW w:w="10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(59,013)</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4,605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5,372</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11,393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11,023</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11,200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Amortization of debt discounts, premiums and issuance costs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1,936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8,379</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12,020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Impairment of intangible</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141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Other non-cash items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1,133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1,201</w:t>
            </w:r>
          </w:p>
        </w:tc>
        <w:tc>
          <w:tcPr>
            <w:tcW w:w="0" w:type="dxa"/>
            <w:vAlign w:val="bottom"/>
          </w:tcPr>
          <w:p>
            <w:pPr>
              <w:spacing w:after="0"/>
              <w:rPr>
                <w:sz w:val="1"/>
                <w:szCs w:val="1"/>
                <w:color w:val="auto"/>
              </w:rPr>
            </w:pP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(13,239)</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(3,504)</w:t>
            </w:r>
          </w:p>
        </w:tc>
        <w:tc>
          <w:tcPr>
            <w:tcW w:w="0" w:type="dxa"/>
            <w:vAlign w:val="bottom"/>
          </w:tcPr>
          <w:p>
            <w:pPr>
              <w:spacing w:after="0"/>
              <w:rPr>
                <w:sz w:val="1"/>
                <w:szCs w:val="1"/>
                <w:color w:val="auto"/>
              </w:rPr>
            </w:pPr>
          </w:p>
        </w:tc>
      </w:tr>
      <w:tr>
        <w:trPr>
          <w:trHeight w:val="272"/>
        </w:trPr>
        <w:tc>
          <w:tcPr>
            <w:tcW w:w="810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(35,210)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(25,201)</w:t>
            </w:r>
          </w:p>
        </w:tc>
        <w:tc>
          <w:tcPr>
            <w:tcW w:w="0" w:type="dxa"/>
            <w:vAlign w:val="bottom"/>
          </w:tcPr>
          <w:p>
            <w:pPr>
              <w:spacing w:after="0"/>
              <w:rPr>
                <w:sz w:val="1"/>
                <w:szCs w:val="1"/>
                <w:color w:val="auto"/>
              </w:rPr>
            </w:pPr>
          </w:p>
        </w:tc>
      </w:tr>
      <w:tr>
        <w:trPr>
          <w:trHeight w:val="528"/>
        </w:trPr>
        <w:tc>
          <w:tcPr>
            <w:tcW w:w="810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(62,370)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(1,450)</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25,600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6,541</w:t>
            </w:r>
          </w:p>
        </w:tc>
        <w:tc>
          <w:tcPr>
            <w:tcW w:w="0" w:type="dxa"/>
            <w:vAlign w:val="bottom"/>
          </w:tcPr>
          <w:p>
            <w:pPr>
              <w:spacing w:after="0"/>
              <w:rPr>
                <w:sz w:val="1"/>
                <w:szCs w:val="1"/>
                <w:color w:val="auto"/>
              </w:rPr>
            </w:pP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(2,531)</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(372)</w:t>
            </w:r>
          </w:p>
        </w:tc>
        <w:tc>
          <w:tcPr>
            <w:tcW w:w="0" w:type="dxa"/>
            <w:vAlign w:val="bottom"/>
          </w:tcPr>
          <w:p>
            <w:pPr>
              <w:spacing w:after="0"/>
              <w:rPr>
                <w:sz w:val="1"/>
                <w:szCs w:val="1"/>
                <w:color w:val="auto"/>
              </w:rPr>
            </w:pPr>
          </w:p>
        </w:tc>
      </w:tr>
      <w:tr>
        <w:trPr>
          <w:trHeight w:val="272"/>
        </w:trPr>
        <w:tc>
          <w:tcPr>
            <w:tcW w:w="8100" w:type="dxa"/>
            <w:vAlign w:val="bottom"/>
          </w:tcPr>
          <w:p>
            <w:pPr>
              <w:spacing w:after="0"/>
              <w:rPr>
                <w:sz w:val="20"/>
                <w:szCs w:val="20"/>
                <w:color w:val="auto"/>
              </w:rPr>
            </w:pPr>
            <w:r>
              <w:rPr>
                <w:rFonts w:ascii="Arial" w:cs="Arial" w:eastAsia="Arial" w:hAnsi="Arial"/>
                <w:sz w:val="22"/>
                <w:szCs w:val="22"/>
                <w:color w:val="auto"/>
              </w:rPr>
              <w:t>Net cash provided by (used in) investing activities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(39,301)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4,719</w:t>
            </w:r>
          </w:p>
        </w:tc>
        <w:tc>
          <w:tcPr>
            <w:tcW w:w="0" w:type="dxa"/>
            <w:vAlign w:val="bottom"/>
          </w:tcPr>
          <w:p>
            <w:pPr>
              <w:spacing w:after="0"/>
              <w:rPr>
                <w:sz w:val="1"/>
                <w:szCs w:val="1"/>
                <w:color w:val="auto"/>
              </w:rPr>
            </w:pPr>
          </w:p>
        </w:tc>
      </w:tr>
      <w:tr>
        <w:trPr>
          <w:trHeight w:val="528"/>
        </w:trPr>
        <w:tc>
          <w:tcPr>
            <w:tcW w:w="810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Payment of debt and equity issuance costs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(1,888)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(2,862)</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Proceeds from debt issuance</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55,000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Proceeds from issuance of common stock</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59,469</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Repayment of long-term debt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(51,826)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Proceeds from employee equity programs, net</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1,053</w:t>
            </w:r>
          </w:p>
        </w:tc>
        <w:tc>
          <w:tcPr>
            <w:tcW w:w="0" w:type="dxa"/>
            <w:vAlign w:val="bottom"/>
          </w:tcPr>
          <w:p>
            <w:pPr>
              <w:spacing w:after="0"/>
              <w:rPr>
                <w:sz w:val="1"/>
                <w:szCs w:val="1"/>
                <w:color w:val="auto"/>
              </w:rPr>
            </w:pPr>
          </w:p>
        </w:tc>
      </w:tr>
      <w:tr>
        <w:trPr>
          <w:trHeight w:val="272"/>
        </w:trPr>
        <w:tc>
          <w:tcPr>
            <w:tcW w:w="8100" w:type="dxa"/>
            <w:vAlign w:val="bottom"/>
          </w:tcPr>
          <w:p>
            <w:pPr>
              <w:spacing w:after="0"/>
              <w:rPr>
                <w:sz w:val="20"/>
                <w:szCs w:val="20"/>
                <w:color w:val="auto"/>
              </w:rPr>
            </w:pPr>
            <w:r>
              <w:rPr>
                <w:rFonts w:ascii="Arial" w:cs="Arial" w:eastAsia="Arial" w:hAnsi="Arial"/>
                <w:sz w:val="22"/>
                <w:szCs w:val="22"/>
                <w:color w:val="auto"/>
              </w:rPr>
              <w:t>Net cash provided by financing activities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2,790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57,660</w:t>
            </w:r>
          </w:p>
        </w:tc>
        <w:tc>
          <w:tcPr>
            <w:tcW w:w="0" w:type="dxa"/>
            <w:vAlign w:val="bottom"/>
          </w:tcPr>
          <w:p>
            <w:pPr>
              <w:spacing w:after="0"/>
              <w:rPr>
                <w:sz w:val="1"/>
                <w:szCs w:val="1"/>
                <w:color w:val="auto"/>
              </w:rPr>
            </w:pPr>
          </w:p>
        </w:tc>
      </w:tr>
      <w:tr>
        <w:trPr>
          <w:trHeight w:val="534"/>
        </w:trPr>
        <w:tc>
          <w:tcPr>
            <w:tcW w:w="810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167</w:t>
            </w:r>
          </w:p>
        </w:tc>
        <w:tc>
          <w:tcPr>
            <w:tcW w:w="0" w:type="dxa"/>
            <w:vAlign w:val="bottom"/>
          </w:tcPr>
          <w:p>
            <w:pPr>
              <w:spacing w:after="0"/>
              <w:rPr>
                <w:sz w:val="1"/>
                <w:szCs w:val="1"/>
                <w:color w:val="auto"/>
              </w:rPr>
            </w:pPr>
          </w:p>
        </w:tc>
      </w:tr>
    </w:tbl>
    <w:p>
      <w:pPr>
        <w:sectPr>
          <w:pgSz w:w="11900" w:h="16838" w:orient="portrait"/>
          <w:cols w:equalWidth="0" w:num="1">
            <w:col w:w="11400"/>
          </w:cols>
          <w:pgMar w:left="260" w:top="118"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100" w:type="dxa"/>
            <w:vAlign w:val="bottom"/>
          </w:tcPr>
          <w:p>
            <w:pPr>
              <w:spacing w:after="0"/>
              <w:rPr>
                <w:sz w:val="20"/>
                <w:szCs w:val="20"/>
                <w:color w:val="auto"/>
              </w:rPr>
            </w:pPr>
            <w:r>
              <w:rPr>
                <w:rFonts w:ascii="Arial" w:cs="Arial" w:eastAsia="Arial" w:hAnsi="Arial"/>
                <w:sz w:val="22"/>
                <w:szCs w:val="22"/>
                <w:color w:val="auto"/>
              </w:rPr>
              <w:t>Net increase (decrease) in cash, cash equivalents and restricted cash</w:t>
            </w: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(71,665)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37,345</w:t>
            </w:r>
          </w:p>
        </w:tc>
        <w:tc>
          <w:tcPr>
            <w:tcW w:w="0" w:type="dxa"/>
            <w:vAlign w:val="bottom"/>
          </w:tcPr>
          <w:p>
            <w:pPr>
              <w:spacing w:after="0"/>
              <w:rPr>
                <w:sz w:val="1"/>
                <w:szCs w:val="1"/>
                <w:color w:val="auto"/>
              </w:rPr>
            </w:pP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Cash, cash equivalents and restricted cash at beginning of period</w:t>
            </w: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95,401</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58,056</w:t>
            </w:r>
          </w:p>
        </w:tc>
        <w:tc>
          <w:tcPr>
            <w:tcW w:w="0" w:type="dxa"/>
            <w:vAlign w:val="bottom"/>
          </w:tcPr>
          <w:p>
            <w:pPr>
              <w:spacing w:after="0"/>
              <w:rPr>
                <w:sz w:val="1"/>
                <w:szCs w:val="1"/>
                <w:color w:val="auto"/>
              </w:rPr>
            </w:pPr>
          </w:p>
        </w:tc>
      </w:tr>
      <w:tr>
        <w:trPr>
          <w:trHeight w:val="267"/>
        </w:trPr>
        <w:tc>
          <w:tcPr>
            <w:tcW w:w="8100" w:type="dxa"/>
            <w:vAlign w:val="bottom"/>
          </w:tcPr>
          <w:p>
            <w:pPr>
              <w:spacing w:after="0"/>
              <w:rPr>
                <w:sz w:val="20"/>
                <w:szCs w:val="20"/>
                <w:color w:val="auto"/>
              </w:rPr>
            </w:pPr>
            <w:r>
              <w:rPr>
                <w:rFonts w:ascii="Arial" w:cs="Arial" w:eastAsia="Arial" w:hAnsi="Arial"/>
                <w:sz w:val="22"/>
                <w:szCs w:val="22"/>
                <w:color w:val="auto"/>
              </w:rPr>
              <w:t>Cash, cash equivalents and restricted cash at end of period</w:t>
            </w:r>
          </w:p>
        </w:tc>
        <w:tc>
          <w:tcPr>
            <w:tcW w:w="4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23,736</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95,401</w:t>
            </w:r>
          </w:p>
        </w:tc>
        <w:tc>
          <w:tcPr>
            <w:tcW w:w="0" w:type="dxa"/>
            <w:vAlign w:val="bottom"/>
          </w:tcPr>
          <w:p>
            <w:pPr>
              <w:spacing w:after="0"/>
              <w:rPr>
                <w:sz w:val="1"/>
                <w:szCs w:val="1"/>
                <w:color w:val="auto"/>
              </w:rPr>
            </w:pPr>
          </w:p>
        </w:tc>
      </w:tr>
      <w:tr>
        <w:trPr>
          <w:trHeight w:val="21"/>
        </w:trPr>
        <w:tc>
          <w:tcPr>
            <w:tcW w:w="8100" w:type="dxa"/>
            <w:vAlign w:val="bottom"/>
            <w:vMerge w:val="restart"/>
          </w:tcPr>
          <w:p>
            <w:pPr>
              <w:spacing w:after="0"/>
              <w:rPr>
                <w:sz w:val="20"/>
                <w:szCs w:val="20"/>
                <w:color w:val="auto"/>
              </w:rPr>
            </w:pPr>
            <w:r>
              <w:rPr>
                <w:rFonts w:ascii="Arial" w:cs="Arial" w:eastAsia="Arial" w:hAnsi="Arial"/>
                <w:sz w:val="22"/>
                <w:szCs w:val="22"/>
                <w:color w:val="auto"/>
                <w:w w:val="96"/>
              </w:rPr>
              <w:t>Cash and cash equivalents, restricted cash and available for sale securities consist of:</w:t>
            </w: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8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48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21,661</w:t>
            </w:r>
          </w:p>
        </w:tc>
        <w:tc>
          <w:tcPr>
            <w:tcW w:w="100" w:type="dxa"/>
            <w:vAlign w:val="bottom"/>
          </w:tcPr>
          <w:p>
            <w:pPr>
              <w:spacing w:after="0"/>
              <w:rPr>
                <w:sz w:val="23"/>
                <w:szCs w:val="23"/>
                <w:color w:val="auto"/>
              </w:rPr>
            </w:pPr>
          </w:p>
        </w:tc>
        <w:tc>
          <w:tcPr>
            <w:tcW w:w="520" w:type="dxa"/>
            <w:vAlign w:val="bottom"/>
          </w:tcPr>
          <w:p>
            <w:pPr>
              <w:jc w:val="right"/>
              <w:ind w:right="29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95,401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Short-term investments</w:t>
            </w: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36,978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w w:val="90"/>
              </w:rPr>
              <w:t>Restricted cash (included in prepaid and other current assets, and other non-current assets)</w:t>
            </w: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2,075</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8100" w:type="dxa"/>
            <w:vAlign w:val="bottom"/>
          </w:tcPr>
          <w:p>
            <w:pPr>
              <w:spacing w:after="0"/>
              <w:rPr>
                <w:sz w:val="20"/>
                <w:szCs w:val="20"/>
                <w:color w:val="auto"/>
              </w:rPr>
            </w:pPr>
            <w:r>
              <w:rPr>
                <w:rFonts w:ascii="Arial" w:cs="Arial" w:eastAsia="Arial" w:hAnsi="Arial"/>
                <w:sz w:val="22"/>
                <w:szCs w:val="22"/>
                <w:color w:val="auto"/>
              </w:rPr>
              <w:t>Total cash and cash equivalents, available for sale securities and restricted cash</w:t>
            </w:r>
          </w:p>
        </w:tc>
        <w:tc>
          <w:tcPr>
            <w:tcW w:w="4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60,714</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95,401</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020" w:type="dxa"/>
            <w:vAlign w:val="bottom"/>
            <w:gridSpan w:val="10"/>
          </w:tcPr>
          <w:p>
            <w:pPr>
              <w:ind w:left="1760"/>
              <w:spacing w:after="0"/>
              <w:rPr>
                <w:sz w:val="20"/>
                <w:szCs w:val="20"/>
                <w:color w:val="auto"/>
              </w:rPr>
            </w:pPr>
            <w:r>
              <w:rPr>
                <w:rFonts w:ascii="Arial" w:cs="Arial" w:eastAsia="Arial" w:hAnsi="Arial"/>
                <w:sz w:val="22"/>
                <w:szCs w:val="22"/>
                <w:b w:val="1"/>
                <w:bCs w:val="1"/>
                <w:color w:val="auto"/>
              </w:rPr>
              <w:t>ITEMIZED RECONCILIATION BETWEEN GAAP AND NON-GAAP NET LOSS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90"/>
              </w:rPr>
              <w:t>Three Months Ended</w:t>
            </w:r>
          </w:p>
        </w:tc>
        <w:tc>
          <w:tcPr>
            <w:tcW w:w="220" w:type="dxa"/>
            <w:vAlign w:val="bottom"/>
          </w:tcPr>
          <w:p>
            <w:pPr>
              <w:spacing w:after="0"/>
              <w:rPr>
                <w:sz w:val="24"/>
                <w:szCs w:val="24"/>
                <w:color w:val="auto"/>
              </w:rPr>
            </w:pPr>
          </w:p>
        </w:tc>
        <w:tc>
          <w:tcPr>
            <w:tcW w:w="2440" w:type="dxa"/>
            <w:vAlign w:val="bottom"/>
            <w:gridSpan w:val="4"/>
          </w:tcPr>
          <w:p>
            <w:pPr>
              <w:jc w:val="center"/>
              <w:ind w:right="112"/>
              <w:spacing w:after="0"/>
              <w:rPr>
                <w:sz w:val="20"/>
                <w:szCs w:val="20"/>
                <w:color w:val="auto"/>
              </w:rPr>
            </w:pPr>
            <w:r>
              <w:rPr>
                <w:rFonts w:ascii="Arial" w:cs="Arial" w:eastAsia="Arial" w:hAnsi="Arial"/>
                <w:sz w:val="22"/>
                <w:szCs w:val="22"/>
                <w:b w:val="1"/>
                <w:bCs w:val="1"/>
                <w:color w:val="auto"/>
                <w:w w:val="89"/>
              </w:rPr>
              <w:t>Twelve Months Ended</w:t>
            </w:r>
          </w:p>
        </w:tc>
        <w:tc>
          <w:tcPr>
            <w:tcW w:w="0" w:type="dxa"/>
            <w:vAlign w:val="bottom"/>
          </w:tcPr>
          <w:p>
            <w:pPr>
              <w:spacing w:after="0"/>
              <w:rPr>
                <w:sz w:val="1"/>
                <w:szCs w:val="1"/>
                <w:color w:val="auto"/>
              </w:rPr>
            </w:pPr>
          </w:p>
        </w:tc>
      </w:tr>
      <w:tr>
        <w:trPr>
          <w:trHeight w:val="282"/>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December 31,</w:t>
            </w:r>
          </w:p>
        </w:tc>
        <w:tc>
          <w:tcPr>
            <w:tcW w:w="220" w:type="dxa"/>
            <w:vAlign w:val="bottom"/>
          </w:tcPr>
          <w:p>
            <w:pPr>
              <w:spacing w:after="0"/>
              <w:rPr>
                <w:sz w:val="24"/>
                <w:szCs w:val="24"/>
                <w:color w:val="auto"/>
              </w:rPr>
            </w:pPr>
          </w:p>
        </w:tc>
        <w:tc>
          <w:tcPr>
            <w:tcW w:w="2440" w:type="dxa"/>
            <w:vAlign w:val="bottom"/>
            <w:gridSpan w:val="4"/>
          </w:tcPr>
          <w:p>
            <w:pPr>
              <w:jc w:val="center"/>
              <w:ind w:right="112"/>
              <w:spacing w:after="0"/>
              <w:rPr>
                <w:sz w:val="20"/>
                <w:szCs w:val="20"/>
                <w:color w:val="auto"/>
              </w:rPr>
            </w:pPr>
            <w:r>
              <w:rPr>
                <w:rFonts w:ascii="Arial" w:cs="Arial" w:eastAsia="Arial" w:hAnsi="Arial"/>
                <w:sz w:val="22"/>
                <w:szCs w:val="22"/>
                <w:b w:val="1"/>
                <w:bCs w:val="1"/>
                <w:color w:val="auto"/>
                <w:w w:val="88"/>
              </w:rPr>
              <w:t>December 31,</w:t>
            </w:r>
          </w:p>
        </w:tc>
        <w:tc>
          <w:tcPr>
            <w:tcW w:w="0" w:type="dxa"/>
            <w:vAlign w:val="bottom"/>
          </w:tcPr>
          <w:p>
            <w:pPr>
              <w:spacing w:after="0"/>
              <w:rPr>
                <w:sz w:val="1"/>
                <w:szCs w:val="1"/>
                <w:color w:val="auto"/>
              </w:rPr>
            </w:pPr>
          </w:p>
        </w:tc>
      </w:tr>
      <w:tr>
        <w:trPr>
          <w:trHeight w:val="265"/>
        </w:trPr>
        <w:tc>
          <w:tcPr>
            <w:tcW w:w="588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526"/>
        </w:trPr>
        <w:tc>
          <w:tcPr>
            <w:tcW w:w="5880" w:type="dxa"/>
            <w:vAlign w:val="bottom"/>
          </w:tcPr>
          <w:p>
            <w:pPr>
              <w:spacing w:after="0"/>
              <w:rPr>
                <w:sz w:val="20"/>
                <w:szCs w:val="20"/>
                <w:color w:val="auto"/>
              </w:rPr>
            </w:pPr>
            <w:r>
              <w:rPr>
                <w:rFonts w:ascii="Arial" w:cs="Arial" w:eastAsia="Arial" w:hAnsi="Arial"/>
                <w:sz w:val="22"/>
                <w:szCs w:val="22"/>
                <w:color w:val="auto"/>
              </w:rPr>
              <w:t>Net loss (GAAP)</w:t>
            </w: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(12,685)</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(14,775)</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(64,790)</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(59,013)</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3,101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4,966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11,393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11,023</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11,200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1,121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1,248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4,605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5,372</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Interest expense (b)</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4,069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4,279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13,893</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141</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3,020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12,020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5880" w:type="dxa"/>
            <w:vAlign w:val="bottom"/>
          </w:tcPr>
          <w:p>
            <w:pPr>
              <w:spacing w:after="0"/>
              <w:rPr>
                <w:sz w:val="20"/>
                <w:szCs w:val="20"/>
                <w:color w:val="auto"/>
              </w:rPr>
            </w:pPr>
            <w:r>
              <w:rPr>
                <w:rFonts w:ascii="Arial" w:cs="Arial" w:eastAsia="Arial" w:hAnsi="Arial"/>
                <w:sz w:val="22"/>
                <w:szCs w:val="22"/>
                <w:color w:val="auto"/>
              </w:rPr>
              <w:t>Benefit from acquisition related income taxes (d)</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(835)</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(2,968)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(3,360)</w:t>
            </w:r>
          </w:p>
        </w:tc>
        <w:tc>
          <w:tcPr>
            <w:tcW w:w="0" w:type="dxa"/>
            <w:vAlign w:val="bottom"/>
          </w:tcPr>
          <w:p>
            <w:pPr>
              <w:spacing w:after="0"/>
              <w:rPr>
                <w:sz w:val="1"/>
                <w:szCs w:val="1"/>
                <w:color w:val="auto"/>
              </w:rPr>
            </w:pPr>
          </w:p>
        </w:tc>
      </w:tr>
      <w:tr>
        <w:trPr>
          <w:trHeight w:val="267"/>
        </w:trPr>
        <w:tc>
          <w:tcPr>
            <w:tcW w:w="5880" w:type="dxa"/>
            <w:vAlign w:val="bottom"/>
          </w:tcPr>
          <w:p>
            <w:pPr>
              <w:spacing w:after="0"/>
              <w:rPr>
                <w:sz w:val="20"/>
                <w:szCs w:val="20"/>
                <w:color w:val="auto"/>
              </w:rPr>
            </w:pPr>
            <w:r>
              <w:rPr>
                <w:rFonts w:ascii="Arial" w:cs="Arial" w:eastAsia="Arial" w:hAnsi="Arial"/>
                <w:sz w:val="22"/>
                <w:szCs w:val="22"/>
                <w:color w:val="auto"/>
              </w:rPr>
              <w:t>Net loss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(2,262)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(2,386)</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(23,729)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(20,744)</w:t>
            </w:r>
          </w:p>
        </w:tc>
        <w:tc>
          <w:tcPr>
            <w:tcW w:w="0" w:type="dxa"/>
            <w:vAlign w:val="bottom"/>
          </w:tcPr>
          <w:p>
            <w:pPr>
              <w:spacing w:after="0"/>
              <w:rPr>
                <w:sz w:val="1"/>
                <w:szCs w:val="1"/>
                <w:color w:val="auto"/>
              </w:rPr>
            </w:pPr>
          </w:p>
        </w:tc>
      </w:tr>
      <w:tr>
        <w:trPr>
          <w:trHeight w:val="21"/>
        </w:trPr>
        <w:tc>
          <w:tcPr>
            <w:tcW w:w="5880" w:type="dxa"/>
            <w:vAlign w:val="bottom"/>
            <w:vMerge w:val="restart"/>
          </w:tcPr>
          <w:p>
            <w:pPr>
              <w:spacing w:after="0" w:line="242" w:lineRule="exact"/>
              <w:rPr>
                <w:sz w:val="20"/>
                <w:szCs w:val="20"/>
                <w:color w:val="auto"/>
              </w:rPr>
            </w:pPr>
            <w:r>
              <w:rPr>
                <w:rFonts w:ascii="Arial" w:cs="Arial" w:eastAsia="Arial" w:hAnsi="Arial"/>
                <w:sz w:val="22"/>
                <w:szCs w:val="22"/>
                <w:color w:val="auto"/>
                <w:w w:val="94"/>
              </w:rPr>
              <w:t>Shares used in net loss per share calculation - basic and diluted</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22"/>
                <w:szCs w:val="22"/>
                <w:color w:val="auto"/>
              </w:rPr>
              <w:t>69,706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41,489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66,779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39,652</w:t>
            </w:r>
          </w:p>
        </w:tc>
        <w:tc>
          <w:tcPr>
            <w:tcW w:w="0" w:type="dxa"/>
            <w:vAlign w:val="bottom"/>
          </w:tcPr>
          <w:p>
            <w:pPr>
              <w:spacing w:after="0"/>
              <w:rPr>
                <w:sz w:val="1"/>
                <w:szCs w:val="1"/>
                <w:color w:val="auto"/>
              </w:rPr>
            </w:pPr>
          </w:p>
        </w:tc>
      </w:tr>
      <w:tr>
        <w:trPr>
          <w:trHeight w:val="153"/>
        </w:trPr>
        <w:tc>
          <w:tcPr>
            <w:tcW w:w="5880" w:type="dxa"/>
            <w:vAlign w:val="bottom"/>
            <w:vMerge w:val="restart"/>
          </w:tcPr>
          <w:p>
            <w:pPr>
              <w:spacing w:after="0" w:line="251" w:lineRule="exact"/>
              <w:rPr>
                <w:sz w:val="20"/>
                <w:szCs w:val="20"/>
                <w:color w:val="auto"/>
              </w:rPr>
            </w:pPr>
            <w:r>
              <w:rPr>
                <w:rFonts w:ascii="Arial" w:cs="Arial" w:eastAsia="Arial" w:hAnsi="Arial"/>
                <w:sz w:val="22"/>
                <w:szCs w:val="22"/>
                <w:color w:val="auto"/>
              </w:rPr>
              <w:t>(GAAP and Non-GAAP)</w:t>
            </w:r>
          </w:p>
        </w:tc>
        <w:tc>
          <w:tcPr>
            <w:tcW w:w="2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880" w:type="dxa"/>
            <w:vAlign w:val="bottom"/>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88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(0.36)</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(0.97)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(1.49)</w:t>
            </w:r>
          </w:p>
        </w:tc>
        <w:tc>
          <w:tcPr>
            <w:tcW w:w="0" w:type="dxa"/>
            <w:vAlign w:val="bottom"/>
          </w:tcPr>
          <w:p>
            <w:pPr>
              <w:spacing w:after="0"/>
              <w:rPr>
                <w:sz w:val="1"/>
                <w:szCs w:val="1"/>
                <w:color w:val="auto"/>
              </w:rPr>
            </w:pPr>
          </w:p>
        </w:tc>
      </w:tr>
      <w:tr>
        <w:trPr>
          <w:trHeight w:val="21"/>
        </w:trPr>
        <w:tc>
          <w:tcPr>
            <w:tcW w:w="5880" w:type="dxa"/>
            <w:vAlign w:val="bottom"/>
            <w:vMerge w:val="restart"/>
          </w:tcPr>
          <w:p>
            <w:pPr>
              <w:spacing w:after="0"/>
              <w:rPr>
                <w:sz w:val="20"/>
                <w:szCs w:val="20"/>
                <w:color w:val="auto"/>
              </w:rPr>
            </w:pPr>
            <w:r>
              <w:rPr>
                <w:rFonts w:ascii="Arial" w:cs="Arial" w:eastAsia="Arial" w:hAnsi="Arial"/>
                <w:sz w:val="22"/>
                <w:szCs w:val="22"/>
                <w:color w:val="auto"/>
              </w:rPr>
              <w:t>Net loss per share - basic and diluted (Non-GAAP)</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880" w:type="dxa"/>
            <w:vAlign w:val="bottom"/>
            <w:vMerge w:val="continue"/>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(0.03)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(0.06)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(0.52)</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0"/>
        </w:trPr>
        <w:tc>
          <w:tcPr>
            <w:tcW w:w="10020" w:type="dxa"/>
            <w:vAlign w:val="bottom"/>
            <w:gridSpan w:val="10"/>
          </w:tcPr>
          <w:p>
            <w:pPr>
              <w:ind w:left="1440"/>
              <w:spacing w:after="0"/>
              <w:rPr>
                <w:sz w:val="20"/>
                <w:szCs w:val="20"/>
                <w:color w:val="auto"/>
              </w:rPr>
            </w:pPr>
            <w:r>
              <w:rPr>
                <w:rFonts w:ascii="Arial" w:cs="Arial" w:eastAsia="Arial" w:hAnsi="Arial"/>
                <w:sz w:val="22"/>
                <w:szCs w:val="22"/>
                <w:b w:val="1"/>
                <w:bCs w:val="1"/>
                <w:color w:val="auto"/>
              </w:rPr>
              <w:t>ITEMIZED RECONCILIATION BETWEEN GAAP AND NON-GAAP GROSS MARGIN</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90"/>
              </w:rPr>
              <w:t>Three Months Ended</w:t>
            </w:r>
          </w:p>
        </w:tc>
        <w:tc>
          <w:tcPr>
            <w:tcW w:w="220" w:type="dxa"/>
            <w:vAlign w:val="bottom"/>
          </w:tcPr>
          <w:p>
            <w:pPr>
              <w:spacing w:after="0"/>
              <w:rPr>
                <w:sz w:val="24"/>
                <w:szCs w:val="24"/>
                <w:color w:val="auto"/>
              </w:rPr>
            </w:pPr>
          </w:p>
        </w:tc>
        <w:tc>
          <w:tcPr>
            <w:tcW w:w="2440" w:type="dxa"/>
            <w:vAlign w:val="bottom"/>
            <w:gridSpan w:val="4"/>
          </w:tcPr>
          <w:p>
            <w:pPr>
              <w:jc w:val="center"/>
              <w:ind w:right="112"/>
              <w:spacing w:after="0"/>
              <w:rPr>
                <w:sz w:val="20"/>
                <w:szCs w:val="20"/>
                <w:color w:val="auto"/>
              </w:rPr>
            </w:pPr>
            <w:r>
              <w:rPr>
                <w:rFonts w:ascii="Arial" w:cs="Arial" w:eastAsia="Arial" w:hAnsi="Arial"/>
                <w:sz w:val="22"/>
                <w:szCs w:val="22"/>
                <w:b w:val="1"/>
                <w:bCs w:val="1"/>
                <w:color w:val="auto"/>
                <w:w w:val="89"/>
              </w:rPr>
              <w:t>Twelve Months Ended</w:t>
            </w:r>
          </w:p>
        </w:tc>
        <w:tc>
          <w:tcPr>
            <w:tcW w:w="0" w:type="dxa"/>
            <w:vAlign w:val="bottom"/>
          </w:tcPr>
          <w:p>
            <w:pPr>
              <w:spacing w:after="0"/>
              <w:rPr>
                <w:sz w:val="1"/>
                <w:szCs w:val="1"/>
                <w:color w:val="auto"/>
              </w:rPr>
            </w:pPr>
          </w:p>
        </w:tc>
      </w:tr>
      <w:tr>
        <w:trPr>
          <w:trHeight w:val="282"/>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December 31,</w:t>
            </w:r>
          </w:p>
        </w:tc>
        <w:tc>
          <w:tcPr>
            <w:tcW w:w="220" w:type="dxa"/>
            <w:vAlign w:val="bottom"/>
          </w:tcPr>
          <w:p>
            <w:pPr>
              <w:spacing w:after="0"/>
              <w:rPr>
                <w:sz w:val="24"/>
                <w:szCs w:val="24"/>
                <w:color w:val="auto"/>
              </w:rPr>
            </w:pPr>
          </w:p>
        </w:tc>
        <w:tc>
          <w:tcPr>
            <w:tcW w:w="2440" w:type="dxa"/>
            <w:vAlign w:val="bottom"/>
            <w:gridSpan w:val="4"/>
          </w:tcPr>
          <w:p>
            <w:pPr>
              <w:jc w:val="center"/>
              <w:ind w:right="112"/>
              <w:spacing w:after="0"/>
              <w:rPr>
                <w:sz w:val="20"/>
                <w:szCs w:val="20"/>
                <w:color w:val="auto"/>
              </w:rPr>
            </w:pPr>
            <w:r>
              <w:rPr>
                <w:rFonts w:ascii="Arial" w:cs="Arial" w:eastAsia="Arial" w:hAnsi="Arial"/>
                <w:sz w:val="22"/>
                <w:szCs w:val="22"/>
                <w:b w:val="1"/>
                <w:bCs w:val="1"/>
                <w:color w:val="auto"/>
                <w:w w:val="88"/>
              </w:rPr>
              <w:t>December 31,</w:t>
            </w:r>
          </w:p>
        </w:tc>
        <w:tc>
          <w:tcPr>
            <w:tcW w:w="0" w:type="dxa"/>
            <w:vAlign w:val="bottom"/>
          </w:tcPr>
          <w:p>
            <w:pPr>
              <w:spacing w:after="0"/>
              <w:rPr>
                <w:sz w:val="1"/>
                <w:szCs w:val="1"/>
                <w:color w:val="auto"/>
              </w:rPr>
            </w:pPr>
          </w:p>
        </w:tc>
      </w:tr>
      <w:tr>
        <w:trPr>
          <w:trHeight w:val="265"/>
        </w:trPr>
        <w:tc>
          <w:tcPr>
            <w:tcW w:w="5880" w:type="dxa"/>
            <w:vAlign w:val="bottom"/>
            <w:vMerge w:val="restart"/>
          </w:tcPr>
          <w:p>
            <w:pPr>
              <w:spacing w:after="0"/>
              <w:rPr>
                <w:sz w:val="20"/>
                <w:szCs w:val="20"/>
                <w:color w:val="auto"/>
              </w:rPr>
            </w:pPr>
            <w:r>
              <w:rPr>
                <w:rFonts w:ascii="Arial" w:cs="Arial" w:eastAsia="Arial" w:hAnsi="Arial"/>
                <w:sz w:val="22"/>
                <w:szCs w:val="22"/>
                <w:color w:val="auto"/>
              </w:rPr>
              <w:t>Gross profit (GAAP)</w:t>
            </w:r>
          </w:p>
        </w:tc>
        <w:tc>
          <w:tcPr>
            <w:tcW w:w="2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56"/>
        </w:trPr>
        <w:tc>
          <w:tcPr>
            <w:tcW w:w="5880" w:type="dxa"/>
            <w:vAlign w:val="bottom"/>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17,888</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18,811</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64,279</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61,649</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11,200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1,714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1,979</w:t>
            </w:r>
          </w:p>
        </w:tc>
        <w:tc>
          <w:tcPr>
            <w:tcW w:w="0" w:type="dxa"/>
            <w:vAlign w:val="bottom"/>
          </w:tcPr>
          <w:p>
            <w:pPr>
              <w:spacing w:after="0"/>
              <w:rPr>
                <w:sz w:val="1"/>
                <w:szCs w:val="1"/>
                <w:color w:val="auto"/>
              </w:rPr>
            </w:pPr>
          </w:p>
        </w:tc>
      </w:tr>
      <w:tr>
        <w:trPr>
          <w:trHeight w:val="275"/>
        </w:trPr>
        <w:tc>
          <w:tcPr>
            <w:tcW w:w="588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853</w:t>
            </w:r>
          </w:p>
        </w:tc>
        <w:tc>
          <w:tcPr>
            <w:tcW w:w="0" w:type="dxa"/>
            <w:vAlign w:val="bottom"/>
          </w:tcPr>
          <w:p>
            <w:pPr>
              <w:spacing w:after="0"/>
              <w:rPr>
                <w:sz w:val="1"/>
                <w:szCs w:val="1"/>
                <w:color w:val="auto"/>
              </w:rPr>
            </w:pPr>
          </w:p>
        </w:tc>
      </w:tr>
      <w:tr>
        <w:trPr>
          <w:trHeight w:val="267"/>
        </w:trPr>
        <w:tc>
          <w:tcPr>
            <w:tcW w:w="5880" w:type="dxa"/>
            <w:vAlign w:val="bottom"/>
          </w:tcPr>
          <w:p>
            <w:pPr>
              <w:spacing w:after="0"/>
              <w:rPr>
                <w:sz w:val="20"/>
                <w:szCs w:val="20"/>
                <w:color w:val="auto"/>
              </w:rPr>
            </w:pPr>
            <w:r>
              <w:rPr>
                <w:rFonts w:ascii="Arial" w:cs="Arial" w:eastAsia="Arial" w:hAnsi="Arial"/>
                <w:sz w:val="22"/>
                <w:szCs w:val="22"/>
                <w:color w:val="auto"/>
              </w:rPr>
              <w:t>Gross profit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21,182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22,402</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77,616</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75,681</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5880" w:type="dxa"/>
            <w:vAlign w:val="bottom"/>
          </w:tcPr>
          <w:p>
            <w:pPr>
              <w:spacing w:after="0"/>
              <w:rPr>
                <w:sz w:val="20"/>
                <w:szCs w:val="20"/>
                <w:color w:val="auto"/>
              </w:rPr>
            </w:pPr>
            <w:r>
              <w:rPr>
                <w:rFonts w:ascii="Arial" w:cs="Arial" w:eastAsia="Arial" w:hAnsi="Arial"/>
                <w:sz w:val="22"/>
                <w:szCs w:val="22"/>
                <w:color w:val="auto"/>
              </w:rPr>
              <w:t>Gross margin percentage (GAAP)</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55.1%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58.2%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54.8%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54.6%</w:t>
            </w:r>
          </w:p>
        </w:tc>
        <w:tc>
          <w:tcPr>
            <w:tcW w:w="0" w:type="dxa"/>
            <w:vAlign w:val="bottom"/>
          </w:tcPr>
          <w:p>
            <w:pPr>
              <w:spacing w:after="0"/>
              <w:rPr>
                <w:sz w:val="1"/>
                <w:szCs w:val="1"/>
                <w:color w:val="auto"/>
              </w:rPr>
            </w:pPr>
          </w:p>
        </w:tc>
      </w:tr>
      <w:tr>
        <w:trPr>
          <w:trHeight w:val="275"/>
        </w:trPr>
        <w:tc>
          <w:tcPr>
            <w:tcW w:w="5880" w:type="dxa"/>
            <w:vAlign w:val="bottom"/>
          </w:tcPr>
          <w:p>
            <w:pPr>
              <w:spacing w:after="0"/>
              <w:rPr>
                <w:sz w:val="20"/>
                <w:szCs w:val="20"/>
                <w:color w:val="auto"/>
              </w:rPr>
            </w:pPr>
            <w:r>
              <w:rPr>
                <w:rFonts w:ascii="Arial" w:cs="Arial" w:eastAsia="Arial" w:hAnsi="Arial"/>
                <w:sz w:val="22"/>
                <w:szCs w:val="22"/>
                <w:color w:val="auto"/>
              </w:rPr>
              <w:t>Gross margin percentage (Non-GAAP)</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ITEMIZED RECONCILIATION BETWEEN GAAP AND NON-GAAP OPERATING EXPENSES</w:t>
      </w:r>
    </w:p>
    <w:p>
      <w:pPr>
        <w:sectPr>
          <w:pgSz w:w="11900" w:h="16838" w:orient="portrait"/>
          <w:cols w:equalWidth="0" w:num="1">
            <w:col w:w="11400"/>
          </w:cols>
          <w:pgMar w:left="260" w:top="118" w:right="239" w:bottom="53"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3"/>
        </w:trPr>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90"/>
              </w:rPr>
              <w:t>Three Months Ended</w:t>
            </w:r>
          </w:p>
        </w:tc>
        <w:tc>
          <w:tcPr>
            <w:tcW w:w="220" w:type="dxa"/>
            <w:vAlign w:val="bottom"/>
          </w:tcPr>
          <w:p>
            <w:pPr>
              <w:spacing w:after="0"/>
              <w:rPr>
                <w:sz w:val="21"/>
                <w:szCs w:val="21"/>
                <w:color w:val="auto"/>
              </w:rPr>
            </w:pPr>
          </w:p>
        </w:tc>
        <w:tc>
          <w:tcPr>
            <w:tcW w:w="2440" w:type="dxa"/>
            <w:vAlign w:val="bottom"/>
            <w:gridSpan w:val="4"/>
          </w:tcPr>
          <w:p>
            <w:pPr>
              <w:jc w:val="right"/>
              <w:ind w:right="192"/>
              <w:spacing w:after="0"/>
              <w:rPr>
                <w:sz w:val="20"/>
                <w:szCs w:val="20"/>
                <w:color w:val="auto"/>
              </w:rPr>
            </w:pPr>
            <w:r>
              <w:rPr>
                <w:rFonts w:ascii="Arial" w:cs="Arial" w:eastAsia="Arial" w:hAnsi="Arial"/>
                <w:sz w:val="22"/>
                <w:szCs w:val="22"/>
                <w:b w:val="1"/>
                <w:bCs w:val="1"/>
                <w:color w:val="auto"/>
                <w:w w:val="91"/>
              </w:rPr>
              <w:t>Twelve Months Ended</w:t>
            </w:r>
          </w:p>
        </w:tc>
        <w:tc>
          <w:tcPr>
            <w:tcW w:w="0" w:type="dxa"/>
            <w:vAlign w:val="bottom"/>
          </w:tcPr>
          <w:p>
            <w:pPr>
              <w:spacing w:after="0"/>
              <w:rPr>
                <w:sz w:val="1"/>
                <w:szCs w:val="1"/>
                <w:color w:val="auto"/>
              </w:rPr>
            </w:pPr>
          </w:p>
        </w:tc>
      </w:tr>
      <w:tr>
        <w:trPr>
          <w:trHeight w:val="282"/>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December 31,</w:t>
            </w:r>
          </w:p>
        </w:tc>
        <w:tc>
          <w:tcPr>
            <w:tcW w:w="220" w:type="dxa"/>
            <w:vAlign w:val="bottom"/>
          </w:tcPr>
          <w:p>
            <w:pPr>
              <w:spacing w:after="0"/>
              <w:rPr>
                <w:sz w:val="24"/>
                <w:szCs w:val="24"/>
                <w:color w:val="auto"/>
              </w:rPr>
            </w:pPr>
          </w:p>
        </w:tc>
        <w:tc>
          <w:tcPr>
            <w:tcW w:w="2440" w:type="dxa"/>
            <w:vAlign w:val="bottom"/>
            <w:gridSpan w:val="4"/>
          </w:tcPr>
          <w:p>
            <w:pPr>
              <w:jc w:val="right"/>
              <w:ind w:right="59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5880" w:type="dxa"/>
            <w:vAlign w:val="bottom"/>
            <w:vMerge w:val="restart"/>
          </w:tcPr>
          <w:p>
            <w:pPr>
              <w:spacing w:after="0"/>
              <w:rPr>
                <w:sz w:val="20"/>
                <w:szCs w:val="20"/>
                <w:color w:val="auto"/>
              </w:rPr>
            </w:pPr>
            <w:r>
              <w:rPr>
                <w:rFonts w:ascii="Arial" w:cs="Arial" w:eastAsia="Arial" w:hAnsi="Arial"/>
                <w:sz w:val="22"/>
                <w:szCs w:val="22"/>
                <w:color w:val="auto"/>
              </w:rPr>
              <w:t>Operating expenses (GAAP)</w:t>
            </w:r>
          </w:p>
        </w:tc>
        <w:tc>
          <w:tcPr>
            <w:tcW w:w="2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56"/>
        </w:trPr>
        <w:tc>
          <w:tcPr>
            <w:tcW w:w="5880" w:type="dxa"/>
            <w:vAlign w:val="bottom"/>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27,069</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29,929</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116,118</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109,813</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Stock-based compensation expense (f)</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(3,006)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(4,663)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(10,970)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(10,170)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Depreciation and amortization (f)</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(2,169)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(3,393)</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588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(89)</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w:t>
            </w:r>
          </w:p>
        </w:tc>
        <w:tc>
          <w:tcPr>
            <w:tcW w:w="0" w:type="dxa"/>
            <w:vAlign w:val="bottom"/>
          </w:tcPr>
          <w:p>
            <w:pPr>
              <w:spacing w:after="0"/>
              <w:rPr>
                <w:sz w:val="1"/>
                <w:szCs w:val="1"/>
                <w:color w:val="auto"/>
              </w:rPr>
            </w:pPr>
          </w:p>
        </w:tc>
      </w:tr>
      <w:tr>
        <w:trPr>
          <w:trHeight w:val="267"/>
        </w:trPr>
        <w:tc>
          <w:tcPr>
            <w:tcW w:w="588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22,861</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24,365</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102,447</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96,110</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90"/>
              </w:rPr>
              <w:t>Three Months Ended</w:t>
            </w:r>
          </w:p>
        </w:tc>
        <w:tc>
          <w:tcPr>
            <w:tcW w:w="220" w:type="dxa"/>
            <w:vAlign w:val="bottom"/>
          </w:tcPr>
          <w:p>
            <w:pPr>
              <w:spacing w:after="0"/>
              <w:rPr>
                <w:sz w:val="21"/>
                <w:szCs w:val="21"/>
                <w:color w:val="auto"/>
              </w:rPr>
            </w:pPr>
          </w:p>
        </w:tc>
        <w:tc>
          <w:tcPr>
            <w:tcW w:w="2440" w:type="dxa"/>
            <w:vAlign w:val="bottom"/>
            <w:gridSpan w:val="4"/>
          </w:tcPr>
          <w:p>
            <w:pPr>
              <w:jc w:val="right"/>
              <w:ind w:right="192"/>
              <w:spacing w:after="0"/>
              <w:rPr>
                <w:sz w:val="20"/>
                <w:szCs w:val="20"/>
                <w:color w:val="auto"/>
              </w:rPr>
            </w:pPr>
            <w:r>
              <w:rPr>
                <w:rFonts w:ascii="Arial" w:cs="Arial" w:eastAsia="Arial" w:hAnsi="Arial"/>
                <w:sz w:val="22"/>
                <w:szCs w:val="22"/>
                <w:b w:val="1"/>
                <w:bCs w:val="1"/>
                <w:color w:val="auto"/>
                <w:w w:val="91"/>
              </w:rPr>
              <w:t>Twelve Months Ended</w:t>
            </w:r>
          </w:p>
        </w:tc>
        <w:tc>
          <w:tcPr>
            <w:tcW w:w="0" w:type="dxa"/>
            <w:vAlign w:val="bottom"/>
          </w:tcPr>
          <w:p>
            <w:pPr>
              <w:spacing w:after="0"/>
              <w:rPr>
                <w:sz w:val="1"/>
                <w:szCs w:val="1"/>
                <w:color w:val="auto"/>
              </w:rPr>
            </w:pPr>
          </w:p>
        </w:tc>
      </w:tr>
      <w:tr>
        <w:trPr>
          <w:trHeight w:val="282"/>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December 31,</w:t>
            </w:r>
          </w:p>
        </w:tc>
        <w:tc>
          <w:tcPr>
            <w:tcW w:w="220" w:type="dxa"/>
            <w:vAlign w:val="bottom"/>
          </w:tcPr>
          <w:p>
            <w:pPr>
              <w:spacing w:after="0"/>
              <w:rPr>
                <w:sz w:val="24"/>
                <w:szCs w:val="24"/>
                <w:color w:val="auto"/>
              </w:rPr>
            </w:pPr>
          </w:p>
        </w:tc>
        <w:tc>
          <w:tcPr>
            <w:tcW w:w="2440" w:type="dxa"/>
            <w:vAlign w:val="bottom"/>
            <w:gridSpan w:val="4"/>
          </w:tcPr>
          <w:p>
            <w:pPr>
              <w:jc w:val="right"/>
              <w:ind w:right="59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65"/>
        </w:trPr>
        <w:tc>
          <w:tcPr>
            <w:tcW w:w="5880" w:type="dxa"/>
            <w:vAlign w:val="bottom"/>
            <w:vMerge w:val="restart"/>
          </w:tcPr>
          <w:p>
            <w:pPr>
              <w:spacing w:after="0"/>
              <w:rPr>
                <w:sz w:val="20"/>
                <w:szCs w:val="20"/>
                <w:color w:val="auto"/>
              </w:rPr>
            </w:pPr>
            <w:r>
              <w:rPr>
                <w:rFonts w:ascii="Arial" w:cs="Arial" w:eastAsia="Arial" w:hAnsi="Arial"/>
                <w:sz w:val="22"/>
                <w:szCs w:val="22"/>
                <w:color w:val="auto"/>
              </w:rPr>
              <w:t>Loss from operations (GAAP)</w:t>
            </w:r>
          </w:p>
        </w:tc>
        <w:tc>
          <w:tcPr>
            <w:tcW w:w="2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56"/>
        </w:trPr>
        <w:tc>
          <w:tcPr>
            <w:tcW w:w="5880" w:type="dxa"/>
            <w:vAlign w:val="bottom"/>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(9,181)</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(11,118)</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(51,839)</w:t>
            </w:r>
          </w:p>
        </w:tc>
        <w:tc>
          <w:tcPr>
            <w:tcW w:w="10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(48,164)</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3,101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4,966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11,393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11,023</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11,200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1,121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1,248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4,605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5,372</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588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89</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w:t>
            </w:r>
          </w:p>
        </w:tc>
        <w:tc>
          <w:tcPr>
            <w:tcW w:w="0" w:type="dxa"/>
            <w:vAlign w:val="bottom"/>
          </w:tcPr>
          <w:p>
            <w:pPr>
              <w:spacing w:after="0"/>
              <w:rPr>
                <w:sz w:val="1"/>
                <w:szCs w:val="1"/>
                <w:color w:val="auto"/>
              </w:rPr>
            </w:pPr>
          </w:p>
        </w:tc>
      </w:tr>
      <w:tr>
        <w:trPr>
          <w:trHeight w:val="267"/>
        </w:trPr>
        <w:tc>
          <w:tcPr>
            <w:tcW w:w="588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(1,679)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(1,963)</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(24,109)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(20,428)</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00" w:hanging="298"/>
        <w:spacing w:after="0"/>
        <w:tabs>
          <w:tab w:leader="none" w:pos="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21" w:lineRule="exact"/>
        <w:rPr>
          <w:rFonts w:ascii="Arial" w:cs="Arial" w:eastAsia="Arial" w:hAnsi="Arial"/>
          <w:sz w:val="22"/>
          <w:szCs w:val="22"/>
          <w:color w:val="auto"/>
        </w:rPr>
      </w:pPr>
    </w:p>
    <w:p>
      <w:pPr>
        <w:ind w:left="300" w:hanging="298"/>
        <w:spacing w:after="0"/>
        <w:tabs>
          <w:tab w:leader="none" w:pos="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impairment of intangible no longer used in our product lines</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280" w:hanging="278"/>
        <w:spacing w:after="0"/>
        <w:tabs>
          <w:tab w:leader="none" w:pos="28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expense associated with research and development, selling, general and administrative activities</w:t>
      </w:r>
    </w:p>
    <w:sectPr>
      <w:pgSz w:w="11900" w:h="16838" w:orient="portrait"/>
      <w:cols w:equalWidth="0" w:num="1">
        <w:col w:w="11300"/>
      </w:cols>
      <w:pgMar w:left="26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amp;"/>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2020-02-10T15:13:57Z</dcterms:created>
  <dcterms:modified xsi:type="dcterms:W3CDTF">2020-02-10T15:13:57Z</dcterms:modified>
</cp:coreProperties>
</file>