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233680</wp:posOffset>
            </wp:positionH>
            <wp:positionV relativeFrom="page">
              <wp:posOffset>706120</wp:posOffset>
            </wp:positionV>
            <wp:extent cx="708914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t>SECURITIES AND EXCHANGE COMMISSION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t>Washington, D.C. 20549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_____________________________________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t>SCHEDULE 14A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______________________________________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t>PROXY STATEMENT PURSUANT TO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t>SECTION 14(a) OF THE SECURITIES EXCHANGE ACT OF 1934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000000"/>
        </w:rPr>
        <w:t>☒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231F20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Check the appropriate box: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260" w:hanging="251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Preliminary Proxy Statement</w:t>
      </w:r>
    </w:p>
    <w:p>
      <w:pPr>
        <w:spacing w:after="0" w:line="35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1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231F20"/>
        </w:rPr>
        <w:t>Confidential, for Use of the Commission Only (as permitted by Rule 14a-6(e)(2))</w:t>
      </w:r>
    </w:p>
    <w:p>
      <w:pPr>
        <w:spacing w:after="0" w:line="27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1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Definitive Proxy Statement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260" w:hanging="251"/>
        <w:spacing w:after="0"/>
        <w:tabs>
          <w:tab w:leader="none" w:pos="2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Definitive Additional Materials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260" w:hanging="251"/>
        <w:spacing w:after="0"/>
        <w:tabs>
          <w:tab w:leader="none" w:pos="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Soliciting Material under §240.14a-12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231F20"/>
        </w:rPr>
        <w:t>STANDARD BIOTOOLS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-45085</wp:posOffset>
            </wp:positionH>
            <wp:positionV relativeFrom="paragraph">
              <wp:posOffset>41275</wp:posOffset>
            </wp:positionV>
            <wp:extent cx="70891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-45085</wp:posOffset>
            </wp:positionH>
            <wp:positionV relativeFrom="paragraph">
              <wp:posOffset>167005</wp:posOffset>
            </wp:positionV>
            <wp:extent cx="70891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(Name of Person(s) Filing Proxy Statement, if other than the Registrant)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Payment of Filing Fee (Check all boxes that apply):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80" w:type="dxa"/>
            <w:vAlign w:val="bottom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95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 fee required.</w:t>
            </w:r>
          </w:p>
        </w:tc>
      </w:tr>
      <w:tr>
        <w:trPr>
          <w:trHeight w:val="324"/>
        </w:trPr>
        <w:tc>
          <w:tcPr>
            <w:tcW w:w="1380" w:type="dxa"/>
            <w:vAlign w:val="bottom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95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Fee paid previously with preliminary materials.</w:t>
            </w:r>
          </w:p>
        </w:tc>
      </w:tr>
      <w:tr>
        <w:trPr>
          <w:trHeight w:val="378"/>
        </w:trPr>
        <w:tc>
          <w:tcPr>
            <w:tcW w:w="1380" w:type="dxa"/>
            <w:vAlign w:val="bottom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95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Fee computed on table in exhibit required by Item 25(b) per Exchange Act Rules 14a-6(i)(1) and 0-11.</w:t>
            </w:r>
          </w:p>
        </w:tc>
      </w:tr>
      <w:tr>
        <w:trPr>
          <w:trHeight w:val="318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40" w:top="1260" w:right="47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885190</wp:posOffset>
            </wp:positionH>
            <wp:positionV relativeFrom="page">
              <wp:posOffset>577850</wp:posOffset>
            </wp:positionV>
            <wp:extent cx="5786755" cy="7483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755" cy="748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885190</wp:posOffset>
            </wp:positionH>
            <wp:positionV relativeFrom="page">
              <wp:posOffset>577215</wp:posOffset>
            </wp:positionV>
            <wp:extent cx="5786120" cy="7483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120" cy="748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2022-04-29T22:48:55Z</dcterms:created>
  <dcterms:modified xsi:type="dcterms:W3CDTF">2022-04-29T22:48:55Z</dcterms:modified>
</cp:coreProperties>
</file>