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jc w:val="right"/>
        <w:ind w:right="60"/>
        <w:spacing w:after="0"/>
        <w:rPr>
          <w:sz w:val="20"/>
          <w:szCs w:val="20"/>
          <w:color w:val="auto"/>
        </w:rPr>
      </w:pPr>
      <w:r>
        <w:rPr>
          <w:rFonts w:ascii="Arial" w:cs="Arial" w:eastAsia="Arial" w:hAnsi="Arial"/>
          <w:sz w:val="14"/>
          <w:szCs w:val="14"/>
          <w:b w:val="1"/>
          <w:bCs w:val="1"/>
          <w:color w:val="auto"/>
        </w:rPr>
        <w:t>As filed with the Securities and Exchange Commission on July 10, 2020</w:t>
      </w:r>
    </w:p>
    <w:p>
      <w:pPr>
        <w:spacing w:after="0" w:line="42" w:lineRule="exact"/>
        <w:rPr>
          <w:sz w:val="24"/>
          <w:szCs w:val="24"/>
          <w:color w:val="auto"/>
        </w:rPr>
      </w:pPr>
    </w:p>
    <w:p>
      <w:pPr>
        <w:ind w:left="93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4"/>
          <w:szCs w:val="24"/>
          <w:color w:val="auto"/>
        </w:rPr>
      </w:pPr>
    </w:p>
    <w:tbl>
      <w:tblPr>
        <w:tblLayout w:type="fixed"/>
        <w:tblInd w:w="680" w:type="dxa"/>
        <w:tblCellMar>
          <w:top w:w="0" w:type="dxa"/>
          <w:left w:w="0" w:type="dxa"/>
          <w:bottom w:w="0" w:type="dxa"/>
          <w:right w:w="0" w:type="dxa"/>
        </w:tblCellMar>
      </w:tblPr>
      <w:tr>
        <w:trPr>
          <w:trHeight w:val="338"/>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40" w:type="dxa"/>
            <w:vAlign w:val="bottom"/>
            <w:gridSpan w:val="2"/>
          </w:tcPr>
          <w:p>
            <w:pPr>
              <w:jc w:val="center"/>
              <w:ind w:right="3428"/>
              <w:spacing w:after="0"/>
              <w:rPr>
                <w:sz w:val="20"/>
                <w:szCs w:val="20"/>
                <w:color w:val="auto"/>
              </w:rPr>
            </w:pPr>
            <w:r>
              <w:rPr>
                <w:rFonts w:ascii="Arial" w:cs="Arial" w:eastAsia="Arial" w:hAnsi="Arial"/>
                <w:sz w:val="29"/>
                <w:szCs w:val="29"/>
                <w:b w:val="1"/>
                <w:bCs w:val="1"/>
                <w:color w:val="auto"/>
                <w:w w:val="98"/>
              </w:rPr>
              <w:t>UNITED STATES</w:t>
            </w:r>
          </w:p>
        </w:tc>
      </w:tr>
      <w:tr>
        <w:trPr>
          <w:trHeight w:val="375"/>
        </w:trPr>
        <w:tc>
          <w:tcPr>
            <w:tcW w:w="1720" w:type="dxa"/>
            <w:vAlign w:val="bottom"/>
          </w:tcPr>
          <w:p>
            <w:pPr>
              <w:spacing w:after="0"/>
              <w:rPr>
                <w:sz w:val="24"/>
                <w:szCs w:val="24"/>
                <w:color w:val="auto"/>
              </w:rPr>
            </w:pPr>
          </w:p>
        </w:tc>
        <w:tc>
          <w:tcPr>
            <w:tcW w:w="7980" w:type="dxa"/>
            <w:vAlign w:val="bottom"/>
            <w:gridSpan w:val="3"/>
          </w:tcPr>
          <w:p>
            <w:pPr>
              <w:jc w:val="center"/>
              <w:ind w:right="1508"/>
              <w:spacing w:after="0"/>
              <w:rPr>
                <w:sz w:val="20"/>
                <w:szCs w:val="20"/>
                <w:color w:val="auto"/>
              </w:rPr>
            </w:pPr>
            <w:r>
              <w:rPr>
                <w:rFonts w:ascii="Arial" w:cs="Arial" w:eastAsia="Arial" w:hAnsi="Arial"/>
                <w:sz w:val="29"/>
                <w:szCs w:val="29"/>
                <w:b w:val="1"/>
                <w:bCs w:val="1"/>
                <w:color w:val="auto"/>
              </w:rPr>
              <w:t>SECURITIES AND EXCHANGE COMMISSION</w:t>
            </w:r>
          </w:p>
        </w:tc>
      </w:tr>
      <w:tr>
        <w:trPr>
          <w:trHeight w:val="265"/>
        </w:trPr>
        <w:tc>
          <w:tcPr>
            <w:tcW w:w="17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6040" w:type="dxa"/>
            <w:vAlign w:val="bottom"/>
            <w:gridSpan w:val="2"/>
          </w:tcPr>
          <w:p>
            <w:pPr>
              <w:jc w:val="center"/>
              <w:ind w:right="3428"/>
              <w:spacing w:after="0"/>
              <w:rPr>
                <w:sz w:val="20"/>
                <w:szCs w:val="20"/>
                <w:color w:val="auto"/>
              </w:rPr>
            </w:pPr>
            <w:r>
              <w:rPr>
                <w:rFonts w:ascii="Arial" w:cs="Arial" w:eastAsia="Arial" w:hAnsi="Arial"/>
                <w:sz w:val="18"/>
                <w:szCs w:val="18"/>
                <w:b w:val="1"/>
                <w:bCs w:val="1"/>
                <w:color w:val="auto"/>
                <w:w w:val="91"/>
              </w:rPr>
              <w:t>Washington, D.C. 20549</w:t>
            </w:r>
          </w:p>
        </w:tc>
      </w:tr>
      <w:tr>
        <w:trPr>
          <w:trHeight w:val="27"/>
        </w:trPr>
        <w:tc>
          <w:tcPr>
            <w:tcW w:w="1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r>
      <w:tr>
        <w:trPr>
          <w:trHeight w:val="835"/>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40" w:type="dxa"/>
            <w:vAlign w:val="bottom"/>
            <w:gridSpan w:val="2"/>
          </w:tcPr>
          <w:p>
            <w:pPr>
              <w:jc w:val="center"/>
              <w:ind w:right="3448"/>
              <w:spacing w:after="0"/>
              <w:rPr>
                <w:sz w:val="20"/>
                <w:szCs w:val="20"/>
                <w:color w:val="auto"/>
              </w:rPr>
            </w:pPr>
            <w:r>
              <w:rPr>
                <w:rFonts w:ascii="Arial" w:cs="Arial" w:eastAsia="Arial" w:hAnsi="Arial"/>
                <w:sz w:val="29"/>
                <w:szCs w:val="29"/>
                <w:b w:val="1"/>
                <w:bCs w:val="1"/>
                <w:color w:val="auto"/>
                <w:w w:val="98"/>
              </w:rPr>
              <w:t>FORM S-8</w:t>
            </w:r>
          </w:p>
        </w:tc>
      </w:tr>
      <w:tr>
        <w:trPr>
          <w:trHeight w:val="355"/>
        </w:trPr>
        <w:tc>
          <w:tcPr>
            <w:tcW w:w="1720" w:type="dxa"/>
            <w:vAlign w:val="bottom"/>
          </w:tcPr>
          <w:p>
            <w:pPr>
              <w:spacing w:after="0"/>
              <w:rPr>
                <w:sz w:val="24"/>
                <w:szCs w:val="24"/>
                <w:color w:val="auto"/>
              </w:rPr>
            </w:pPr>
          </w:p>
        </w:tc>
        <w:tc>
          <w:tcPr>
            <w:tcW w:w="7980" w:type="dxa"/>
            <w:vAlign w:val="bottom"/>
            <w:gridSpan w:val="3"/>
          </w:tcPr>
          <w:p>
            <w:pPr>
              <w:jc w:val="center"/>
              <w:ind w:right="1488"/>
              <w:spacing w:after="0"/>
              <w:rPr>
                <w:sz w:val="20"/>
                <w:szCs w:val="20"/>
                <w:color w:val="auto"/>
              </w:rPr>
            </w:pPr>
            <w:r>
              <w:rPr>
                <w:rFonts w:ascii="Arial" w:cs="Arial" w:eastAsia="Arial" w:hAnsi="Arial"/>
                <w:sz w:val="25"/>
                <w:szCs w:val="25"/>
                <w:b w:val="1"/>
                <w:bCs w:val="1"/>
                <w:color w:val="auto"/>
              </w:rPr>
              <w:t>REGISTRATION STATEMENT</w:t>
            </w:r>
          </w:p>
        </w:tc>
      </w:tr>
      <w:tr>
        <w:trPr>
          <w:trHeight w:val="247"/>
        </w:trPr>
        <w:tc>
          <w:tcPr>
            <w:tcW w:w="17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40" w:type="dxa"/>
            <w:vAlign w:val="bottom"/>
            <w:gridSpan w:val="2"/>
          </w:tcPr>
          <w:p>
            <w:pPr>
              <w:jc w:val="center"/>
              <w:ind w:right="3428"/>
              <w:spacing w:after="0"/>
              <w:rPr>
                <w:sz w:val="20"/>
                <w:szCs w:val="20"/>
                <w:color w:val="auto"/>
              </w:rPr>
            </w:pPr>
            <w:r>
              <w:rPr>
                <w:rFonts w:ascii="Arial" w:cs="Arial" w:eastAsia="Arial" w:hAnsi="Arial"/>
                <w:sz w:val="18"/>
                <w:szCs w:val="18"/>
                <w:b w:val="1"/>
                <w:bCs w:val="1"/>
                <w:i w:val="1"/>
                <w:iCs w:val="1"/>
                <w:color w:val="auto"/>
                <w:w w:val="88"/>
              </w:rPr>
              <w:t>Under</w:t>
            </w:r>
          </w:p>
        </w:tc>
      </w:tr>
      <w:tr>
        <w:trPr>
          <w:trHeight w:val="230"/>
        </w:trPr>
        <w:tc>
          <w:tcPr>
            <w:tcW w:w="1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40" w:type="dxa"/>
            <w:vAlign w:val="bottom"/>
            <w:gridSpan w:val="2"/>
          </w:tcPr>
          <w:p>
            <w:pPr>
              <w:jc w:val="center"/>
              <w:ind w:right="3448"/>
              <w:spacing w:after="0"/>
              <w:rPr>
                <w:sz w:val="20"/>
                <w:szCs w:val="20"/>
                <w:color w:val="auto"/>
              </w:rPr>
            </w:pPr>
            <w:r>
              <w:rPr>
                <w:rFonts w:ascii="Arial" w:cs="Arial" w:eastAsia="Arial" w:hAnsi="Arial"/>
                <w:sz w:val="18"/>
                <w:szCs w:val="18"/>
                <w:b w:val="1"/>
                <w:bCs w:val="1"/>
                <w:i w:val="1"/>
                <w:iCs w:val="1"/>
                <w:color w:val="auto"/>
                <w:w w:val="87"/>
              </w:rPr>
              <w:t>The Securities Act of 1933</w:t>
            </w:r>
          </w:p>
        </w:tc>
      </w:tr>
      <w:tr>
        <w:trPr>
          <w:trHeight w:val="27"/>
        </w:trPr>
        <w:tc>
          <w:tcPr>
            <w:tcW w:w="1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r>
      <w:tr>
        <w:trPr>
          <w:trHeight w:val="836"/>
        </w:trPr>
        <w:tc>
          <w:tcPr>
            <w:tcW w:w="1720" w:type="dxa"/>
            <w:vAlign w:val="bottom"/>
          </w:tcPr>
          <w:p>
            <w:pPr>
              <w:spacing w:after="0"/>
              <w:rPr>
                <w:sz w:val="24"/>
                <w:szCs w:val="24"/>
                <w:color w:val="auto"/>
              </w:rPr>
            </w:pPr>
          </w:p>
        </w:tc>
        <w:tc>
          <w:tcPr>
            <w:tcW w:w="7980" w:type="dxa"/>
            <w:vAlign w:val="bottom"/>
            <w:gridSpan w:val="3"/>
          </w:tcPr>
          <w:p>
            <w:pPr>
              <w:jc w:val="center"/>
              <w:ind w:right="1488"/>
              <w:spacing w:after="0"/>
              <w:rPr>
                <w:sz w:val="20"/>
                <w:szCs w:val="20"/>
                <w:color w:val="auto"/>
              </w:rPr>
            </w:pPr>
            <w:r>
              <w:rPr>
                <w:rFonts w:ascii="Arial" w:cs="Arial" w:eastAsia="Arial" w:hAnsi="Arial"/>
                <w:sz w:val="29"/>
                <w:szCs w:val="29"/>
                <w:b w:val="1"/>
                <w:bCs w:val="1"/>
                <w:color w:val="auto"/>
              </w:rPr>
              <w:t>FLUIDIGM CORPORATION</w:t>
            </w:r>
          </w:p>
        </w:tc>
      </w:tr>
      <w:tr>
        <w:trPr>
          <w:trHeight w:val="204"/>
        </w:trPr>
        <w:tc>
          <w:tcPr>
            <w:tcW w:w="1720" w:type="dxa"/>
            <w:vAlign w:val="bottom"/>
          </w:tcPr>
          <w:p>
            <w:pPr>
              <w:spacing w:after="0"/>
              <w:rPr>
                <w:sz w:val="17"/>
                <w:szCs w:val="17"/>
                <w:color w:val="auto"/>
              </w:rPr>
            </w:pPr>
          </w:p>
        </w:tc>
        <w:tc>
          <w:tcPr>
            <w:tcW w:w="7980" w:type="dxa"/>
            <w:vAlign w:val="bottom"/>
            <w:gridSpan w:val="3"/>
          </w:tcPr>
          <w:p>
            <w:pPr>
              <w:jc w:val="center"/>
              <w:ind w:right="1488"/>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r>
      <w:tr>
        <w:trPr>
          <w:trHeight w:val="716"/>
        </w:trPr>
        <w:tc>
          <w:tcPr>
            <w:tcW w:w="1720" w:type="dxa"/>
            <w:vAlign w:val="bottom"/>
          </w:tcPr>
          <w:p>
            <w:pPr>
              <w:jc w:val="center"/>
              <w:ind w:right="8"/>
              <w:spacing w:after="0"/>
              <w:rPr>
                <w:sz w:val="20"/>
                <w:szCs w:val="20"/>
                <w:color w:val="auto"/>
              </w:rPr>
            </w:pPr>
            <w:r>
              <w:rPr>
                <w:rFonts w:ascii="Arial" w:cs="Arial" w:eastAsia="Arial" w:hAnsi="Arial"/>
                <w:sz w:val="18"/>
                <w:szCs w:val="18"/>
                <w:b w:val="1"/>
                <w:bCs w:val="1"/>
                <w:color w:val="auto"/>
                <w:w w:val="91"/>
              </w:rPr>
              <w:t>Delaware</w:t>
            </w:r>
          </w:p>
        </w:tc>
        <w:tc>
          <w:tcPr>
            <w:tcW w:w="1940" w:type="dxa"/>
            <w:vAlign w:val="bottom"/>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3440" w:type="dxa"/>
            <w:vAlign w:val="bottom"/>
          </w:tcPr>
          <w:p>
            <w:pPr>
              <w:jc w:val="center"/>
              <w:ind w:left="2128"/>
              <w:spacing w:after="0"/>
              <w:rPr>
                <w:sz w:val="20"/>
                <w:szCs w:val="20"/>
                <w:color w:val="auto"/>
              </w:rPr>
            </w:pPr>
            <w:r>
              <w:rPr>
                <w:rFonts w:ascii="Arial" w:cs="Arial" w:eastAsia="Arial" w:hAnsi="Arial"/>
                <w:sz w:val="18"/>
                <w:szCs w:val="18"/>
                <w:b w:val="1"/>
                <w:bCs w:val="1"/>
                <w:color w:val="auto"/>
                <w:w w:val="91"/>
              </w:rPr>
              <w:t>77-0513190</w:t>
            </w:r>
          </w:p>
        </w:tc>
      </w:tr>
      <w:tr>
        <w:trPr>
          <w:trHeight w:val="171"/>
        </w:trPr>
        <w:tc>
          <w:tcPr>
            <w:tcW w:w="1720" w:type="dxa"/>
            <w:vAlign w:val="bottom"/>
          </w:tcPr>
          <w:p>
            <w:pPr>
              <w:jc w:val="center"/>
              <w:ind w:right="28"/>
              <w:spacing w:after="0"/>
              <w:rPr>
                <w:sz w:val="20"/>
                <w:szCs w:val="20"/>
                <w:color w:val="auto"/>
              </w:rPr>
            </w:pPr>
            <w:r>
              <w:rPr>
                <w:rFonts w:ascii="Arial" w:cs="Arial" w:eastAsia="Arial" w:hAnsi="Arial"/>
                <w:sz w:val="13"/>
                <w:szCs w:val="13"/>
                <w:b w:val="1"/>
                <w:bCs w:val="1"/>
                <w:color w:val="auto"/>
                <w:w w:val="88"/>
              </w:rPr>
              <w:t>(State or other jurisdiction of</w:t>
            </w:r>
          </w:p>
        </w:tc>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40" w:type="dxa"/>
            <w:vAlign w:val="bottom"/>
          </w:tcPr>
          <w:p>
            <w:pPr>
              <w:jc w:val="center"/>
              <w:ind w:left="2128"/>
              <w:spacing w:after="0"/>
              <w:rPr>
                <w:sz w:val="20"/>
                <w:szCs w:val="20"/>
                <w:color w:val="auto"/>
              </w:rPr>
            </w:pPr>
            <w:r>
              <w:rPr>
                <w:rFonts w:ascii="Arial" w:cs="Arial" w:eastAsia="Arial" w:hAnsi="Arial"/>
                <w:sz w:val="13"/>
                <w:szCs w:val="13"/>
                <w:b w:val="1"/>
                <w:bCs w:val="1"/>
                <w:color w:val="auto"/>
                <w:w w:val="92"/>
              </w:rPr>
              <w:t>(I.R.S. Employer</w:t>
            </w:r>
          </w:p>
        </w:tc>
      </w:tr>
      <w:tr>
        <w:trPr>
          <w:trHeight w:val="174"/>
        </w:trPr>
        <w:tc>
          <w:tcPr>
            <w:tcW w:w="1720" w:type="dxa"/>
            <w:vAlign w:val="bottom"/>
          </w:tcPr>
          <w:p>
            <w:pPr>
              <w:jc w:val="center"/>
              <w:ind w:right="8"/>
              <w:spacing w:after="0"/>
              <w:rPr>
                <w:sz w:val="20"/>
                <w:szCs w:val="20"/>
                <w:color w:val="auto"/>
              </w:rPr>
            </w:pPr>
            <w:r>
              <w:rPr>
                <w:rFonts w:ascii="Arial" w:cs="Arial" w:eastAsia="Arial" w:hAnsi="Arial"/>
                <w:sz w:val="13"/>
                <w:szCs w:val="13"/>
                <w:b w:val="1"/>
                <w:bCs w:val="1"/>
                <w:color w:val="auto"/>
                <w:w w:val="88"/>
              </w:rPr>
              <w:t>incorporation or organization)</w:t>
            </w:r>
          </w:p>
        </w:tc>
        <w:tc>
          <w:tcPr>
            <w:tcW w:w="194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3440" w:type="dxa"/>
            <w:vAlign w:val="bottom"/>
          </w:tcPr>
          <w:p>
            <w:pPr>
              <w:jc w:val="center"/>
              <w:ind w:left="2128"/>
              <w:spacing w:after="0"/>
              <w:rPr>
                <w:sz w:val="20"/>
                <w:szCs w:val="20"/>
                <w:color w:val="auto"/>
              </w:rPr>
            </w:pPr>
            <w:r>
              <w:rPr>
                <w:rFonts w:ascii="Arial" w:cs="Arial" w:eastAsia="Arial" w:hAnsi="Arial"/>
                <w:sz w:val="13"/>
                <w:szCs w:val="13"/>
                <w:b w:val="1"/>
                <w:bCs w:val="1"/>
                <w:color w:val="auto"/>
                <w:w w:val="89"/>
              </w:rPr>
              <w:t>Identification Number)</w:t>
            </w:r>
          </w:p>
        </w:tc>
      </w:tr>
      <w:tr>
        <w:trPr>
          <w:trHeight w:val="697"/>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40" w:type="dxa"/>
            <w:vAlign w:val="bottom"/>
            <w:gridSpan w:val="2"/>
          </w:tcPr>
          <w:p>
            <w:pPr>
              <w:jc w:val="center"/>
              <w:ind w:right="3448"/>
              <w:spacing w:after="0"/>
              <w:rPr>
                <w:sz w:val="20"/>
                <w:szCs w:val="20"/>
                <w:color w:val="auto"/>
              </w:rPr>
            </w:pPr>
            <w:r>
              <w:rPr>
                <w:rFonts w:ascii="Arial" w:cs="Arial" w:eastAsia="Arial" w:hAnsi="Arial"/>
                <w:sz w:val="18"/>
                <w:szCs w:val="18"/>
                <w:b w:val="1"/>
                <w:bCs w:val="1"/>
                <w:color w:val="auto"/>
                <w:w w:val="89"/>
              </w:rPr>
              <w:t>2 Tower Place, Suite 2000</w:t>
            </w:r>
          </w:p>
        </w:tc>
      </w:tr>
      <w:tr>
        <w:trPr>
          <w:trHeight w:val="216"/>
        </w:trPr>
        <w:tc>
          <w:tcPr>
            <w:tcW w:w="1720" w:type="dxa"/>
            <w:vAlign w:val="bottom"/>
          </w:tcPr>
          <w:p>
            <w:pPr>
              <w:spacing w:after="0"/>
              <w:rPr>
                <w:sz w:val="18"/>
                <w:szCs w:val="18"/>
                <w:color w:val="auto"/>
              </w:rPr>
            </w:pPr>
          </w:p>
        </w:tc>
        <w:tc>
          <w:tcPr>
            <w:tcW w:w="7980" w:type="dxa"/>
            <w:vAlign w:val="bottom"/>
            <w:gridSpan w:val="3"/>
          </w:tcPr>
          <w:p>
            <w:pPr>
              <w:jc w:val="center"/>
              <w:ind w:right="1508"/>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234"/>
        </w:trPr>
        <w:tc>
          <w:tcPr>
            <w:tcW w:w="1720" w:type="dxa"/>
            <w:vAlign w:val="bottom"/>
          </w:tcPr>
          <w:p>
            <w:pPr>
              <w:spacing w:after="0"/>
              <w:rPr>
                <w:sz w:val="20"/>
                <w:szCs w:val="20"/>
                <w:color w:val="auto"/>
              </w:rPr>
            </w:pPr>
          </w:p>
        </w:tc>
        <w:tc>
          <w:tcPr>
            <w:tcW w:w="4540" w:type="dxa"/>
            <w:vAlign w:val="bottom"/>
            <w:gridSpan w:val="2"/>
          </w:tcPr>
          <w:p>
            <w:pPr>
              <w:jc w:val="center"/>
              <w:ind w:left="1757"/>
              <w:spacing w:after="0"/>
              <w:rPr>
                <w:sz w:val="20"/>
                <w:szCs w:val="20"/>
                <w:color w:val="auto"/>
              </w:rPr>
            </w:pPr>
            <w:r>
              <w:rPr>
                <w:rFonts w:ascii="Arial" w:cs="Arial" w:eastAsia="Arial" w:hAnsi="Arial"/>
                <w:sz w:val="18"/>
                <w:szCs w:val="18"/>
                <w:b w:val="1"/>
                <w:bCs w:val="1"/>
                <w:color w:val="auto"/>
                <w:w w:val="90"/>
              </w:rPr>
              <w:t>(650) 266-6000</w:t>
            </w:r>
          </w:p>
        </w:tc>
        <w:tc>
          <w:tcPr>
            <w:tcW w:w="3440" w:type="dxa"/>
            <w:vAlign w:val="bottom"/>
          </w:tcPr>
          <w:p>
            <w:pPr>
              <w:spacing w:after="0"/>
              <w:rPr>
                <w:sz w:val="20"/>
                <w:szCs w:val="20"/>
                <w:color w:val="auto"/>
              </w:rPr>
            </w:pPr>
          </w:p>
        </w:tc>
      </w:tr>
      <w:tr>
        <w:trPr>
          <w:trHeight w:val="208"/>
        </w:trPr>
        <w:tc>
          <w:tcPr>
            <w:tcW w:w="1720" w:type="dxa"/>
            <w:vAlign w:val="bottom"/>
          </w:tcPr>
          <w:p>
            <w:pPr>
              <w:spacing w:after="0"/>
              <w:rPr>
                <w:sz w:val="18"/>
                <w:szCs w:val="18"/>
                <w:color w:val="auto"/>
              </w:rPr>
            </w:pPr>
          </w:p>
        </w:tc>
        <w:tc>
          <w:tcPr>
            <w:tcW w:w="7980" w:type="dxa"/>
            <w:vAlign w:val="bottom"/>
            <w:gridSpan w:val="3"/>
          </w:tcPr>
          <w:p>
            <w:pPr>
              <w:jc w:val="center"/>
              <w:ind w:right="1508"/>
              <w:spacing w:after="0"/>
              <w:rPr>
                <w:sz w:val="20"/>
                <w:szCs w:val="20"/>
                <w:color w:val="auto"/>
              </w:rPr>
            </w:pPr>
            <w:r>
              <w:rPr>
                <w:rFonts w:ascii="Arial" w:cs="Arial" w:eastAsia="Arial" w:hAnsi="Arial"/>
                <w:sz w:val="13"/>
                <w:szCs w:val="13"/>
                <w:b w:val="1"/>
                <w:bCs w:val="1"/>
                <w:color w:val="auto"/>
                <w:w w:val="85"/>
              </w:rPr>
              <w:t>(Address of principal executive offices, including zip code)</w:t>
            </w:r>
          </w:p>
        </w:tc>
      </w:tr>
      <w:tr>
        <w:trPr>
          <w:trHeight w:val="22"/>
        </w:trPr>
        <w:tc>
          <w:tcPr>
            <w:tcW w:w="1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Fluidigm Corporation 2017 Employee Stock Purchase Plan,</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As Amended and Restated</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(Full title of the plan)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Fluidigm Corporation 2011 Equity Incentive Plan,</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As Amended</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2760980</wp:posOffset>
            </wp:positionH>
            <wp:positionV relativeFrom="paragraph">
              <wp:posOffset>19685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Stephen Christopher Linthwaite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Tower Place, Suite 2000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266-6000</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2760980</wp:posOffset>
            </wp:positionH>
            <wp:positionV relativeFrom="paragraph">
              <wp:posOffset>19685</wp:posOffset>
            </wp:positionV>
            <wp:extent cx="164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Copies 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Nicholas Khadder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Tower Place, Suite 2000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(650) 266-6000</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Robert F. Kornegay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Zachary B. Myers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(650) 493-9300</w:t>
      </w:r>
    </w:p>
    <w:p>
      <w:pPr>
        <w:spacing w:after="0" w:line="53" w:lineRule="exact"/>
        <w:rPr>
          <w:sz w:val="24"/>
          <w:szCs w:val="24"/>
          <w:color w:val="auto"/>
        </w:rPr>
      </w:pPr>
    </w:p>
    <w:p>
      <w:pPr>
        <w:ind w:right="100" w:firstLine="607"/>
        <w:spacing w:after="0" w:line="27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07" w:orient="portrait"/>
          <w:cols w:equalWidth="0" w:num="1">
            <w:col w:w="11200"/>
          </w:cols>
          <w:pgMar w:left="340" w:top="927" w:right="359" w:bottom="0" w:gutter="0" w:footer="0" w:header="0"/>
        </w:sectPr>
      </w:pP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907" w:orient="portrait"/>
          <w:cols w:equalWidth="0" w:num="2">
            <w:col w:w="9200" w:space="720"/>
            <w:col w:w="1280"/>
          </w:cols>
          <w:pgMar w:left="340" w:top="927" w:right="359" w:bottom="0" w:gutter="0" w:footer="0" w:header="0"/>
          <w:type w:val="continuous"/>
        </w:sectPr>
      </w:pPr>
    </w:p>
    <w:p>
      <w:pPr>
        <w:spacing w:after="0" w:line="144"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ectPr>
          <w:pgSz w:w="11900" w:h="16907" w:orient="portrait"/>
          <w:cols w:equalWidth="0" w:num="2">
            <w:col w:w="8520" w:space="720"/>
            <w:col w:w="1960"/>
          </w:cols>
          <w:pgMar w:left="340" w:top="927" w:right="359" w:bottom="0" w:gutter="0" w:footer="0" w:header="0"/>
          <w:type w:val="continuous"/>
        </w:sectPr>
      </w:pPr>
    </w:p>
    <w:bookmarkStart w:id="1" w:name="page2"/>
    <w:bookmarkEnd w:id="1"/>
    <w:p>
      <w:pPr>
        <w:ind w:left="92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20" w:lineRule="exact"/>
        <w:rPr>
          <w:sz w:val="20"/>
          <w:szCs w:val="20"/>
          <w:color w:val="auto"/>
        </w:rPr>
      </w:pPr>
    </w:p>
    <w:p>
      <w:pPr>
        <w:ind w:right="40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00"/>
          </w:cols>
          <w:pgMar w:left="340" w:top="194" w:right="35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2976880</wp:posOffset>
            </wp:positionH>
            <wp:positionV relativeFrom="page">
              <wp:posOffset>654685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6909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4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Amount to be</w:t>
            </w:r>
          </w:p>
        </w:tc>
        <w:tc>
          <w:tcPr>
            <w:tcW w:w="1460" w:type="dxa"/>
            <w:vAlign w:val="bottom"/>
            <w:tcBorders>
              <w:top w:val="single" w:sz="8" w:color="auto"/>
              <w:right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Proposed Maximum</w:t>
            </w:r>
          </w:p>
        </w:tc>
        <w:tc>
          <w:tcPr>
            <w:tcW w:w="100" w:type="dxa"/>
            <w:vAlign w:val="bottom"/>
            <w:tcBorders>
              <w:top w:val="single" w:sz="8" w:color="auto"/>
            </w:tcBorders>
          </w:tcPr>
          <w:p>
            <w:pPr>
              <w:spacing w:after="0"/>
              <w:rPr>
                <w:sz w:val="13"/>
                <w:szCs w:val="13"/>
                <w:color w:val="auto"/>
              </w:rPr>
            </w:pPr>
          </w:p>
        </w:tc>
        <w:tc>
          <w:tcPr>
            <w:tcW w:w="1500" w:type="dxa"/>
            <w:vAlign w:val="bottom"/>
            <w:tcBorders>
              <w:top w:val="single" w:sz="8" w:color="auto"/>
              <w:right w:val="single" w:sz="8" w:color="auto"/>
            </w:tcBorders>
          </w:tcPr>
          <w:p>
            <w:pPr>
              <w:jc w:val="right"/>
              <w:ind w:right="192"/>
              <w:spacing w:after="0"/>
              <w:rPr>
                <w:sz w:val="20"/>
                <w:szCs w:val="20"/>
                <w:color w:val="auto"/>
              </w:rPr>
            </w:pPr>
            <w:r>
              <w:rPr>
                <w:rFonts w:ascii="Arial" w:cs="Arial" w:eastAsia="Arial" w:hAnsi="Arial"/>
                <w:sz w:val="13"/>
                <w:szCs w:val="13"/>
                <w:b w:val="1"/>
                <w:bCs w:val="1"/>
                <w:color w:val="auto"/>
                <w:w w:val="98"/>
              </w:rPr>
              <w:t>Proposed Maximum</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89"/>
              </w:rPr>
              <w:t>Amount of</w:t>
            </w:r>
          </w:p>
        </w:tc>
        <w:tc>
          <w:tcPr>
            <w:tcW w:w="20" w:type="dxa"/>
            <w:vAlign w:val="bottom"/>
          </w:tcPr>
          <w:p>
            <w:pPr>
              <w:spacing w:after="0"/>
              <w:rPr>
                <w:sz w:val="13"/>
                <w:szCs w:val="13"/>
                <w:color w:val="auto"/>
              </w:rPr>
            </w:pPr>
          </w:p>
        </w:tc>
      </w:tr>
      <w:tr>
        <w:trPr>
          <w:trHeight w:val="180"/>
        </w:trPr>
        <w:tc>
          <w:tcPr>
            <w:tcW w:w="5540" w:type="dxa"/>
            <w:vAlign w:val="bottom"/>
            <w:tcBorders>
              <w:bottom w:val="single" w:sz="8" w:color="auto"/>
              <w:right w:val="single" w:sz="8" w:color="auto"/>
            </w:tcBorders>
          </w:tcPr>
          <w:p>
            <w:pPr>
              <w:ind w:left="1840"/>
              <w:spacing w:after="0"/>
              <w:rPr>
                <w:sz w:val="20"/>
                <w:szCs w:val="20"/>
                <w:color w:val="auto"/>
              </w:rPr>
            </w:pPr>
            <w:r>
              <w:rPr>
                <w:rFonts w:ascii="Arial" w:cs="Arial" w:eastAsia="Arial" w:hAnsi="Arial"/>
                <w:sz w:val="13"/>
                <w:szCs w:val="13"/>
                <w:b w:val="1"/>
                <w:bCs w:val="1"/>
                <w:color w:val="auto"/>
              </w:rPr>
              <w:t>Title of Securities to be Registered</w:t>
            </w:r>
          </w:p>
        </w:tc>
        <w:tc>
          <w:tcPr>
            <w:tcW w:w="112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3"/>
                <w:szCs w:val="13"/>
                <w:b w:val="1"/>
                <w:bCs w:val="1"/>
                <w:color w:val="auto"/>
                <w:w w:val="82"/>
              </w:rPr>
              <w:t>Registered</w:t>
            </w:r>
            <w:r>
              <w:rPr>
                <w:rFonts w:ascii="Arial" w:cs="Arial" w:eastAsia="Arial" w:hAnsi="Arial"/>
                <w:sz w:val="16"/>
                <w:szCs w:val="16"/>
                <w:b w:val="1"/>
                <w:bCs w:val="1"/>
                <w:color w:val="auto"/>
                <w:w w:val="82"/>
                <w:vertAlign w:val="superscript"/>
              </w:rPr>
              <w:t>(1)</w:t>
            </w:r>
          </w:p>
        </w:tc>
        <w:tc>
          <w:tcPr>
            <w:tcW w:w="14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90"/>
              </w:rPr>
              <w:t>Offering Price Per Share</w:t>
            </w: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3"/>
                <w:szCs w:val="13"/>
                <w:b w:val="1"/>
                <w:bCs w:val="1"/>
                <w:color w:val="auto"/>
                <w:w w:val="87"/>
              </w:rPr>
              <w:t>Aggregate Offering Price</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6"/>
              </w:rPr>
              <w:t>Registration Fee</w:t>
            </w:r>
          </w:p>
        </w:tc>
      </w:tr>
      <w:tr>
        <w:trPr>
          <w:trHeight w:val="164"/>
        </w:trPr>
        <w:tc>
          <w:tcPr>
            <w:tcW w:w="55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Common Stock, $0.001 par value per share, reserved for issuance pursuant to the Fluidigm</w:t>
            </w:r>
          </w:p>
        </w:tc>
        <w:tc>
          <w:tcPr>
            <w:tcW w:w="11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55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Corporation 2017 Employee Stock Purchase Plan, as amended and restated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3,000,000</w:t>
            </w:r>
          </w:p>
        </w:tc>
        <w:tc>
          <w:tcPr>
            <w:tcW w:w="1460" w:type="dxa"/>
            <w:vAlign w:val="bottom"/>
            <w:tcBorders>
              <w:bottom w:val="single" w:sz="8" w:color="auto"/>
              <w:right w:val="single" w:sz="8" w:color="auto"/>
            </w:tcBorders>
          </w:tcPr>
          <w:p>
            <w:pPr>
              <w:jc w:val="right"/>
              <w:ind w:right="373"/>
              <w:spacing w:after="0"/>
              <w:rPr>
                <w:sz w:val="20"/>
                <w:szCs w:val="20"/>
                <w:color w:val="auto"/>
              </w:rPr>
            </w:pPr>
            <w:r>
              <w:rPr>
                <w:rFonts w:ascii="Arial" w:cs="Arial" w:eastAsia="Arial" w:hAnsi="Arial"/>
                <w:sz w:val="14"/>
                <w:szCs w:val="14"/>
                <w:color w:val="auto"/>
              </w:rPr>
              <w:t>$3.79</w:t>
            </w:r>
            <w:r>
              <w:rPr>
                <w:rFonts w:ascii="Arial" w:cs="Arial" w:eastAsia="Arial" w:hAnsi="Arial"/>
                <w:sz w:val="9"/>
                <w:szCs w:val="9"/>
                <w:color w:val="auto"/>
              </w:rPr>
              <w:t>(2)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4"/>
                <w:szCs w:val="14"/>
                <w:color w:val="auto"/>
              </w:rPr>
              <w:t>11,370,000.00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1,475.83</w:t>
            </w:r>
          </w:p>
        </w:tc>
        <w:tc>
          <w:tcPr>
            <w:tcW w:w="20" w:type="dxa"/>
            <w:vAlign w:val="bottom"/>
            <w:tcBorders>
              <w:bottom w:val="single" w:sz="8" w:color="auto"/>
            </w:tcBorders>
          </w:tcPr>
          <w:p>
            <w:pPr>
              <w:spacing w:after="0"/>
              <w:rPr>
                <w:sz w:val="17"/>
                <w:szCs w:val="17"/>
                <w:color w:val="auto"/>
              </w:rPr>
            </w:pPr>
          </w:p>
        </w:tc>
      </w:tr>
      <w:tr>
        <w:trPr>
          <w:trHeight w:val="170"/>
        </w:trPr>
        <w:tc>
          <w:tcPr>
            <w:tcW w:w="55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Common Stock, $0.001 par value per share, reserved for issuance pursuant to the Fluidigm</w:t>
            </w:r>
          </w:p>
        </w:tc>
        <w:tc>
          <w:tcPr>
            <w:tcW w:w="11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55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Corporation 2011 Equity Incentive Plan, as amended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1,420,000</w:t>
            </w:r>
          </w:p>
        </w:tc>
        <w:tc>
          <w:tcPr>
            <w:tcW w:w="1460" w:type="dxa"/>
            <w:vAlign w:val="bottom"/>
            <w:tcBorders>
              <w:bottom w:val="single" w:sz="8" w:color="auto"/>
              <w:right w:val="single" w:sz="8" w:color="auto"/>
            </w:tcBorders>
          </w:tcPr>
          <w:p>
            <w:pPr>
              <w:jc w:val="right"/>
              <w:ind w:right="373"/>
              <w:spacing w:after="0"/>
              <w:rPr>
                <w:sz w:val="20"/>
                <w:szCs w:val="20"/>
                <w:color w:val="auto"/>
              </w:rPr>
            </w:pPr>
            <w:r>
              <w:rPr>
                <w:rFonts w:ascii="Arial" w:cs="Arial" w:eastAsia="Arial" w:hAnsi="Arial"/>
                <w:sz w:val="14"/>
                <w:szCs w:val="14"/>
                <w:color w:val="auto"/>
              </w:rPr>
              <w:t>$4.45</w:t>
            </w:r>
            <w:r>
              <w:rPr>
                <w:rFonts w:ascii="Arial" w:cs="Arial" w:eastAsia="Arial" w:hAnsi="Arial"/>
                <w:sz w:val="9"/>
                <w:szCs w:val="9"/>
                <w:color w:val="auto"/>
              </w:rPr>
              <w:t>(3)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4"/>
                <w:szCs w:val="14"/>
                <w:color w:val="auto"/>
              </w:rPr>
              <w:t>6,319,000.00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820.21</w:t>
            </w:r>
          </w:p>
        </w:tc>
        <w:tc>
          <w:tcPr>
            <w:tcW w:w="20" w:type="dxa"/>
            <w:vAlign w:val="bottom"/>
            <w:tcBorders>
              <w:bottom w:val="single" w:sz="8" w:color="auto"/>
            </w:tcBorders>
          </w:tcPr>
          <w:p>
            <w:pPr>
              <w:spacing w:after="0"/>
              <w:rPr>
                <w:sz w:val="17"/>
                <w:szCs w:val="17"/>
                <w:color w:val="auto"/>
              </w:rPr>
            </w:pPr>
          </w:p>
        </w:tc>
      </w:tr>
      <w:tr>
        <w:trPr>
          <w:trHeight w:val="209"/>
        </w:trPr>
        <w:tc>
          <w:tcPr>
            <w:tcW w:w="55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4,420,000</w:t>
            </w:r>
          </w:p>
        </w:tc>
        <w:tc>
          <w:tcPr>
            <w:tcW w:w="14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4"/>
                <w:szCs w:val="14"/>
                <w:color w:val="auto"/>
              </w:rPr>
              <w:t>17,689,000.00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2,296.04</w:t>
            </w:r>
          </w:p>
        </w:tc>
        <w:tc>
          <w:tcPr>
            <w:tcW w:w="20" w:type="dxa"/>
            <w:vAlign w:val="bottom"/>
            <w:tcBorders>
              <w:bottom w:val="single" w:sz="8" w:color="auto"/>
            </w:tcBorders>
          </w:tcPr>
          <w:p>
            <w:pPr>
              <w:spacing w:after="0"/>
              <w:rPr>
                <w:sz w:val="18"/>
                <w:szCs w:val="18"/>
                <w:color w:val="auto"/>
              </w:rPr>
            </w:pPr>
          </w:p>
        </w:tc>
      </w:tr>
      <w:tr>
        <w:trPr>
          <w:trHeight w:val="27"/>
        </w:trPr>
        <w:tc>
          <w:tcPr>
            <w:tcW w:w="5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-676910</wp:posOffset>
            </wp:positionV>
            <wp:extent cx="8890"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506095"/>
                    </a:xfrm>
                    <a:prstGeom prst="rect">
                      <a:avLst/>
                    </a:prstGeom>
                    <a:noFill/>
                  </pic:spPr>
                </pic:pic>
              </a:graphicData>
            </a:graphic>
          </wp:anchor>
        </w:drawing>
      </w:r>
    </w:p>
    <w:p>
      <w:pPr>
        <w:spacing w:after="0" w:line="15" w:lineRule="exact"/>
        <w:rPr>
          <w:sz w:val="20"/>
          <w:szCs w:val="20"/>
          <w:color w:val="auto"/>
        </w:rPr>
      </w:pPr>
    </w:p>
    <w:p>
      <w:pPr>
        <w:ind w:left="360" w:right="220" w:hanging="334"/>
        <w:spacing w:after="0" w:line="233"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this Registration Statement shall also cover any additional shares of the Registrant’s common stock that become issuable under the Fluidigm Corporation 2017 Employee Stock Purchase Plan, as amended and restated, and the Fluidigm Corporation 2011 Equity Incentive Plan, as amended, by reason of any stock dividend, stock split, recapitalization or other similar transaction effected without receipt of consideration that increases the number of the Registrant’s outstanding shares of common stock.</w:t>
      </w:r>
    </w:p>
    <w:p>
      <w:pPr>
        <w:spacing w:after="0" w:line="22" w:lineRule="exact"/>
        <w:rPr>
          <w:rFonts w:ascii="Arial" w:cs="Arial" w:eastAsia="Arial" w:hAnsi="Arial"/>
          <w:sz w:val="14"/>
          <w:szCs w:val="14"/>
          <w:color w:val="auto"/>
        </w:rPr>
      </w:pPr>
    </w:p>
    <w:p>
      <w:pPr>
        <w:ind w:left="360" w:right="260" w:hanging="334"/>
        <w:spacing w:after="0" w:line="255" w:lineRule="auto"/>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in accordance with Rules 457(c) and (h) of the Securities Act of 1933, as amended (the “Securities Act”), solely for the purpose of calculating the registration fee on the basis of 85% of $4.45 per share, which is the average of the high and low prices of common stock, as reported on the Nasdaq Global Select Market (“Nasdaq”) on July 7, 2020. Pursuant to the Fluidigm Corporation 2017 Employee Stock Purchase Plan, as amended and restated, the purchase price of the shares of common stock reserved for issuance thereunder will be 85% of the lower of the fair market value of the common stock on (i) the first trading day of the offering period or (ii) the exercise date.</w:t>
      </w:r>
    </w:p>
    <w:p>
      <w:pPr>
        <w:spacing w:after="0" w:line="12" w:lineRule="exact"/>
        <w:rPr>
          <w:rFonts w:ascii="Arial" w:cs="Arial" w:eastAsia="Arial" w:hAnsi="Arial"/>
          <w:sz w:val="13"/>
          <w:szCs w:val="13"/>
          <w:color w:val="auto"/>
        </w:rPr>
      </w:pPr>
    </w:p>
    <w:p>
      <w:pPr>
        <w:ind w:left="360" w:right="100" w:hanging="334"/>
        <w:spacing w:after="0" w:line="253"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457(c) and (h) of the Securities Act solely for the purpose of calculating the total registration fee on the basis of $4.45, the average of the high and low prices of the Registrant’s common stock as reported on Nasdaq on July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9094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6909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900"/>
          </w:cols>
          <w:pgMar w:left="320" w:top="1138" w:right="679" w:bottom="1440" w:gutter="0" w:footer="0" w:header="0"/>
        </w:sectPr>
      </w:pPr>
    </w:p>
    <w:bookmarkStart w:id="3" w:name="page4"/>
    <w:bookmarkEnd w:id="3"/>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FLUIDIGM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EXPLANATORY NOTE</w:t>
      </w:r>
    </w:p>
    <w:p>
      <w:pPr>
        <w:spacing w:after="0" w:line="22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This Registration Statement on Form S-8 (the “Registration Statement”) is filed by Fluidigm Corporation (the “Registrant”) for the purpose of registering an additional 4,420,000 shares of common stock of the Registrant, of which (i) 3,000,000 additional shares were reserved for issuance under the Fluidigm Corporation 2017 Employee Stock Purchase Plan, as amended and restated, and (ii) 1,420,000 additional shares were reserved for issuance under the Fluidigm Corporation 2011 Equity Incentive Plan, as amended.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REQUIRED IN THE SECTION 10(a) PROSPECTUS</w:t>
      </w:r>
    </w:p>
    <w:p>
      <w:pPr>
        <w:spacing w:after="0" w:line="222"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of 1933, as amended (the “Securities Act”), and the introductory note to Part I of Form S-</w:t>
      </w:r>
    </w:p>
    <w:p>
      <w:pPr>
        <w:spacing w:after="0" w:line="1" w:lineRule="exact"/>
        <w:rPr>
          <w:sz w:val="20"/>
          <w:szCs w:val="20"/>
          <w:color w:val="auto"/>
        </w:rPr>
      </w:pPr>
    </w:p>
    <w:p>
      <w:pPr>
        <w:ind w:right="240" w:firstLine="8"/>
        <w:spacing w:after="0" w:line="244" w:lineRule="auto"/>
        <w:tabs>
          <w:tab w:leader="none" w:pos="198"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documents containing the information specified in Part I of Form S-8 will be delivered to the participants in the equity benefit plans covered by this Registration Statement as specified by Rule 428(b)(1) under the Securities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INFORMATION REQUIRED IN THE REGISTRATION STATEMENT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Incorporation of Documents by Reference.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previously filed with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Securities and Exchange Commission (the “Commission”):</w:t>
      </w:r>
    </w:p>
    <w:p>
      <w:pPr>
        <w:spacing w:after="0" w:line="200" w:lineRule="exact"/>
        <w:rPr>
          <w:sz w:val="20"/>
          <w:szCs w:val="20"/>
          <w:color w:val="auto"/>
        </w:rPr>
      </w:pPr>
    </w:p>
    <w:p>
      <w:pPr>
        <w:ind w:left="1300" w:right="640" w:hanging="644"/>
        <w:spacing w:after="0" w:line="260" w:lineRule="auto"/>
        <w:tabs>
          <w:tab w:leader="none" w:pos="932" w:val="left"/>
        </w:tabs>
        <w:numPr>
          <w:ilvl w:val="0"/>
          <w:numId w:val="3"/>
        </w:numPr>
        <w:rPr>
          <w:rFonts w:ascii="Arial" w:cs="Arial" w:eastAsia="Arial" w:hAnsi="Arial"/>
          <w:sz w:val="20"/>
          <w:szCs w:val="20"/>
          <w:color w:val="0000FF"/>
        </w:rPr>
      </w:pPr>
      <w:r>
        <w:rPr>
          <w:rFonts w:ascii="Arial" w:cs="Arial" w:eastAsia="Arial" w:hAnsi="Arial"/>
          <w:sz w:val="20"/>
          <w:szCs w:val="20"/>
          <w:color w:val="auto"/>
        </w:rPr>
        <w:t xml:space="preserve">the Registrant’s Annual Report on Form 10-K for the fiscal year ended December 31, 2019, filed with the Commission on </w:t>
      </w:r>
      <w:hyperlink r:id="rId17">
        <w:r>
          <w:rPr>
            <w:rFonts w:ascii="Arial" w:cs="Arial" w:eastAsia="Arial" w:hAnsi="Arial"/>
            <w:sz w:val="20"/>
            <w:szCs w:val="20"/>
            <w:u w:val="single" w:color="auto"/>
            <w:color w:val="0000FF"/>
          </w:rPr>
          <w:t>February 27, 2020</w:t>
        </w:r>
      </w:hyperlink>
      <w:r>
        <w:rPr>
          <w:rFonts w:ascii="Arial" w:cs="Arial" w:eastAsia="Arial" w:hAnsi="Arial"/>
          <w:sz w:val="20"/>
          <w:szCs w:val="20"/>
          <w:color w:val="000000"/>
        </w:rPr>
        <w:t>;</w:t>
      </w:r>
    </w:p>
    <w:p>
      <w:pPr>
        <w:spacing w:after="0" w:line="176" w:lineRule="exact"/>
        <w:rPr>
          <w:rFonts w:ascii="Arial" w:cs="Arial" w:eastAsia="Arial" w:hAnsi="Arial"/>
          <w:sz w:val="20"/>
          <w:szCs w:val="20"/>
          <w:color w:val="0000FF"/>
        </w:rPr>
      </w:pPr>
    </w:p>
    <w:p>
      <w:pPr>
        <w:ind w:left="1300" w:right="20" w:hanging="644"/>
        <w:spacing w:after="0" w:line="260" w:lineRule="auto"/>
        <w:tabs>
          <w:tab w:leader="none" w:pos="932"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the Registrant’s Amendment No. 1 to the Annual Report on Form 10-K/A for the fiscal year ended December 31, 2019, filed with the Commission on </w:t>
      </w:r>
      <w:hyperlink r:id="rId18">
        <w:r>
          <w:rPr>
            <w:rFonts w:ascii="Arial" w:cs="Arial" w:eastAsia="Arial" w:hAnsi="Arial"/>
            <w:sz w:val="20"/>
            <w:szCs w:val="20"/>
            <w:u w:val="single" w:color="auto"/>
            <w:color w:val="0000FF"/>
          </w:rPr>
          <w:t>April 29, 2020</w:t>
        </w:r>
      </w:hyperlink>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300" w:right="140" w:hanging="644"/>
        <w:spacing w:after="0" w:line="260" w:lineRule="auto"/>
        <w:tabs>
          <w:tab w:leader="none" w:pos="932" w:val="left"/>
        </w:tabs>
        <w:numPr>
          <w:ilvl w:val="0"/>
          <w:numId w:val="3"/>
        </w:numPr>
        <w:rPr>
          <w:rFonts w:ascii="Arial" w:cs="Arial" w:eastAsia="Arial" w:hAnsi="Arial"/>
          <w:sz w:val="20"/>
          <w:szCs w:val="20"/>
          <w:color w:val="0000FF"/>
        </w:rPr>
      </w:pPr>
      <w:r>
        <w:rPr>
          <w:rFonts w:ascii="Arial" w:cs="Arial" w:eastAsia="Arial" w:hAnsi="Arial"/>
          <w:sz w:val="20"/>
          <w:szCs w:val="20"/>
          <w:color w:val="auto"/>
        </w:rPr>
        <w:t xml:space="preserve">the </w:t>
      </w:r>
      <w:hyperlink r:id="rId19">
        <w:r>
          <w:rPr>
            <w:rFonts w:ascii="Arial" w:cs="Arial" w:eastAsia="Arial" w:hAnsi="Arial"/>
            <w:sz w:val="20"/>
            <w:szCs w:val="20"/>
            <w:color w:val="auto"/>
          </w:rPr>
          <w:t xml:space="preserve">Registrant’s Quarterly Report on Form 10-Q for the three months ended March 31, 2020, filed with the Commission on </w:t>
        </w:r>
        <w:r>
          <w:rPr>
            <w:rFonts w:ascii="Arial" w:cs="Arial" w:eastAsia="Arial" w:hAnsi="Arial"/>
            <w:sz w:val="20"/>
            <w:szCs w:val="20"/>
            <w:u w:val="single" w:color="auto"/>
            <w:color w:val="0000FF"/>
          </w:rPr>
          <w:t>May</w:t>
        </w:r>
      </w:hyperlink>
      <w:r>
        <w:rPr>
          <w:rFonts w:ascii="Arial" w:cs="Arial" w:eastAsia="Arial" w:hAnsi="Arial"/>
          <w:sz w:val="20"/>
          <w:szCs w:val="20"/>
          <w:color w:val="auto"/>
        </w:rPr>
        <w:t xml:space="preserve"> </w:t>
      </w:r>
      <w:hyperlink r:id="rId19">
        <w:r>
          <w:rPr>
            <w:rFonts w:ascii="Arial" w:cs="Arial" w:eastAsia="Arial" w:hAnsi="Arial"/>
            <w:sz w:val="20"/>
            <w:szCs w:val="20"/>
            <w:u w:val="single" w:color="auto"/>
            <w:color w:val="0000FF"/>
          </w:rPr>
          <w:t>11, 2020</w:t>
        </w:r>
        <w:r>
          <w:rPr>
            <w:rFonts w:ascii="Arial" w:cs="Arial" w:eastAsia="Arial" w:hAnsi="Arial"/>
            <w:sz w:val="20"/>
            <w:szCs w:val="20"/>
            <w:color w:val="000000"/>
          </w:rPr>
          <w:t>;</w:t>
        </w:r>
      </w:hyperlink>
    </w:p>
    <w:p>
      <w:pPr>
        <w:spacing w:after="0" w:line="176" w:lineRule="exact"/>
        <w:rPr>
          <w:rFonts w:ascii="Arial" w:cs="Arial" w:eastAsia="Arial" w:hAnsi="Arial"/>
          <w:sz w:val="20"/>
          <w:szCs w:val="20"/>
          <w:color w:val="0000FF"/>
        </w:rPr>
      </w:pPr>
    </w:p>
    <w:p>
      <w:pPr>
        <w:ind w:left="1300" w:right="160" w:hanging="644"/>
        <w:spacing w:after="0" w:line="250" w:lineRule="auto"/>
        <w:tabs>
          <w:tab w:leader="none" w:pos="932" w:val="left"/>
        </w:tabs>
        <w:numPr>
          <w:ilvl w:val="0"/>
          <w:numId w:val="3"/>
        </w:numPr>
        <w:rPr>
          <w:rFonts w:ascii="Arial" w:cs="Arial" w:eastAsia="Arial" w:hAnsi="Arial"/>
          <w:sz w:val="20"/>
          <w:szCs w:val="20"/>
          <w:color w:val="auto"/>
        </w:rPr>
      </w:pPr>
      <w:r>
        <w:rPr>
          <w:rFonts w:ascii="Arial" w:cs="Arial" w:eastAsia="Arial" w:hAnsi="Arial"/>
          <w:sz w:val="20"/>
          <w:szCs w:val="20"/>
          <w:color w:val="auto"/>
        </w:rPr>
        <w:t>all other reports filed with the Commission pursuant to Section 13(a) or 15(d) of the Securities Exchange Act of 1934, as amended (the “Exchange Act”), since the end of the fiscal year covered by the Registrant’s Annual Report referred to in (1) above; and</w:t>
      </w:r>
    </w:p>
    <w:p>
      <w:pPr>
        <w:spacing w:after="0" w:line="185" w:lineRule="exact"/>
        <w:rPr>
          <w:rFonts w:ascii="Arial" w:cs="Arial" w:eastAsia="Arial" w:hAnsi="Arial"/>
          <w:sz w:val="20"/>
          <w:szCs w:val="20"/>
          <w:color w:val="auto"/>
        </w:rPr>
      </w:pPr>
    </w:p>
    <w:p>
      <w:pPr>
        <w:ind w:left="1300" w:hanging="644"/>
        <w:spacing w:after="0" w:line="250" w:lineRule="auto"/>
        <w:tabs>
          <w:tab w:leader="none" w:pos="932"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the description of the Registrant’s common stock contained in the Registrant’s Registration Statement on Form 8-A (File No. 001-34180) filed with the Commission on </w:t>
      </w:r>
      <w:hyperlink r:id="rId20">
        <w:r>
          <w:rPr>
            <w:rFonts w:ascii="Arial" w:cs="Arial" w:eastAsia="Arial" w:hAnsi="Arial"/>
            <w:sz w:val="20"/>
            <w:szCs w:val="20"/>
            <w:u w:val="single" w:color="auto"/>
            <w:color w:val="0000FF"/>
          </w:rPr>
          <w:t>February 7, 2011</w:t>
        </w:r>
      </w:hyperlink>
      <w:r>
        <w:rPr>
          <w:rFonts w:ascii="Arial" w:cs="Arial" w:eastAsia="Arial" w:hAnsi="Arial"/>
          <w:sz w:val="20"/>
          <w:szCs w:val="20"/>
          <w:color w:val="auto"/>
        </w:rPr>
        <w:t>, pursuant to Section 12(b) of the Exchange Act, including any amendment or report filed for the purpose of updating such description.</w:t>
      </w:r>
    </w:p>
    <w:p>
      <w:pPr>
        <w:spacing w:after="0" w:line="186" w:lineRule="exact"/>
        <w:rPr>
          <w:rFonts w:ascii="Arial" w:cs="Arial" w:eastAsia="Arial" w:hAnsi="Arial"/>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All documents filed by the Registrant pursuant to Sections 13(a), 13(c), 14 and 15(d) of the Exchange Act on or after the date of this Registration Statement and prior to the filing of a post-effective amendment to</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 xml:space="preserve">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documents or information deemed to have been furnished and not filed in accordance with the rules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Under no circumstances will any information furnished under current items 2.02 or 7.01 of Form 8-K be deemed incorporated herein by reference unless such Form 8-K expressly provides to the contrary.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Description of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Interests of Named Experts and Counsel.</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Indemnification of Directors and Officers.</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Section 145 of the Delaware General Corporation Law authorizes a corporation’s board of directors to grant, and authorizes a court to award, indemnity to officers, directors, and other corporate agents.</w:t>
      </w:r>
    </w:p>
    <w:p>
      <w:pPr>
        <w:spacing w:after="0" w:line="177"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addition, as permitted by Section 145 of the Delaware General Corporation Law, the bylaws of the Registrant provide that:</w:t>
      </w:r>
    </w:p>
    <w:p>
      <w:pPr>
        <w:spacing w:after="0" w:line="216" w:lineRule="exact"/>
        <w:rPr>
          <w:sz w:val="20"/>
          <w:szCs w:val="20"/>
          <w:color w:val="auto"/>
        </w:rPr>
      </w:pPr>
    </w:p>
    <w:p>
      <w:pPr>
        <w:ind w:left="980" w:right="40" w:hanging="324"/>
        <w:spacing w:after="0" w:line="244" w:lineRule="auto"/>
        <w:tabs>
          <w:tab w:leader="none" w:pos="96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94" w:lineRule="exact"/>
        <w:rPr>
          <w:rFonts w:ascii="Arial" w:cs="Arial" w:eastAsia="Arial" w:hAnsi="Arial"/>
          <w:sz w:val="20"/>
          <w:szCs w:val="20"/>
          <w:color w:val="auto"/>
        </w:rPr>
      </w:pPr>
    </w:p>
    <w:p>
      <w:pPr>
        <w:ind w:left="980" w:right="540" w:hanging="324"/>
        <w:spacing w:after="0" w:line="260" w:lineRule="auto"/>
        <w:tabs>
          <w:tab w:leader="none" w:pos="96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Registrant may, in its discretion, indemnify employees and agents in those circumstances where indemnification is not required by law.</w:t>
      </w:r>
    </w:p>
    <w:p>
      <w:pPr>
        <w:spacing w:after="0" w:line="176" w:lineRule="exact"/>
        <w:rPr>
          <w:rFonts w:ascii="Arial" w:cs="Arial" w:eastAsia="Arial" w:hAnsi="Arial"/>
          <w:sz w:val="20"/>
          <w:szCs w:val="20"/>
          <w:color w:val="auto"/>
        </w:rPr>
      </w:pPr>
    </w:p>
    <w:p>
      <w:pPr>
        <w:ind w:left="980" w:right="360" w:hanging="324"/>
        <w:spacing w:after="0" w:line="250" w:lineRule="auto"/>
        <w:tabs>
          <w:tab w:leader="none" w:pos="96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52" w:lineRule="exact"/>
        <w:rPr>
          <w:sz w:val="20"/>
          <w:szCs w:val="20"/>
          <w:color w:val="auto"/>
        </w:rPr>
      </w:pPr>
    </w:p>
    <w:p>
      <w:pPr>
        <w:ind w:left="980" w:right="300" w:hanging="324"/>
        <w:spacing w:after="0" w:line="250"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85" w:lineRule="exact"/>
        <w:rPr>
          <w:rFonts w:ascii="Arial" w:cs="Arial" w:eastAsia="Arial" w:hAnsi="Arial"/>
          <w:sz w:val="20"/>
          <w:szCs w:val="20"/>
          <w:color w:val="auto"/>
        </w:rPr>
      </w:pPr>
    </w:p>
    <w:p>
      <w:pPr>
        <w:ind w:left="980" w:right="300" w:hanging="324"/>
        <w:spacing w:after="0" w:line="287" w:lineRule="auto"/>
        <w:tabs>
          <w:tab w:leader="none" w:pos="968"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52" w:lineRule="exact"/>
        <w:rPr>
          <w:rFonts w:ascii="Arial" w:cs="Arial" w:eastAsia="Arial" w:hAnsi="Arial"/>
          <w:sz w:val="19"/>
          <w:szCs w:val="19"/>
          <w:color w:val="auto"/>
        </w:rPr>
      </w:pPr>
    </w:p>
    <w:p>
      <w:pPr>
        <w:ind w:left="980" w:right="140" w:hanging="324"/>
        <w:spacing w:after="0" w:line="260"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Registrant may not retroactively amend the bylaw provisions to reduce its indemnification obligations to directors, officers, employees, and agents.</w:t>
      </w:r>
    </w:p>
    <w:p>
      <w:pPr>
        <w:spacing w:after="0" w:line="177"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91"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See also Registrant’s undertakings in Item 9 of this Registration Statement.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Exemption from Registration Claimed.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Exhibits.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Incorporated by</w:t>
            </w: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Incorporated by</w:t>
            </w:r>
          </w:p>
        </w:tc>
        <w:tc>
          <w:tcPr>
            <w:tcW w:w="1280" w:type="dxa"/>
            <w:vAlign w:val="bottom"/>
          </w:tcPr>
          <w:p>
            <w:pPr>
              <w:spacing w:after="0"/>
              <w:rPr>
                <w:sz w:val="17"/>
                <w:szCs w:val="17"/>
                <w:color w:val="auto"/>
              </w:rPr>
            </w:pPr>
          </w:p>
        </w:tc>
      </w:tr>
      <w:tr>
        <w:trPr>
          <w:trHeight w:val="203"/>
        </w:trPr>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Reference From</w:t>
            </w: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Reference From</w:t>
            </w:r>
          </w:p>
        </w:tc>
        <w:tc>
          <w:tcPr>
            <w:tcW w:w="1280" w:type="dxa"/>
            <w:vAlign w:val="bottom"/>
          </w:tcPr>
          <w:p>
            <w:pPr>
              <w:spacing w:after="0"/>
              <w:rPr>
                <w:sz w:val="17"/>
                <w:szCs w:val="17"/>
                <w:color w:val="auto"/>
              </w:rPr>
            </w:pPr>
          </w:p>
        </w:tc>
      </w:tr>
      <w:tr>
        <w:trPr>
          <w:trHeight w:val="210"/>
        </w:trPr>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560" w:type="dxa"/>
            <w:vAlign w:val="bottom"/>
            <w:gridSpan w:val="9"/>
          </w:tcPr>
          <w:p>
            <w:pPr>
              <w:ind w:left="200"/>
              <w:spacing w:after="0"/>
              <w:rPr>
                <w:sz w:val="20"/>
                <w:szCs w:val="20"/>
                <w:color w:val="auto"/>
              </w:rPr>
            </w:pPr>
            <w:r>
              <w:rPr>
                <w:rFonts w:ascii="Arial" w:cs="Arial" w:eastAsia="Arial" w:hAnsi="Arial"/>
                <w:sz w:val="16"/>
                <w:szCs w:val="16"/>
                <w:b w:val="1"/>
                <w:bCs w:val="1"/>
                <w:color w:val="auto"/>
              </w:rPr>
              <w:t>Description</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Exhibit Number</w:t>
            </w:r>
          </w:p>
        </w:tc>
        <w:tc>
          <w:tcPr>
            <w:tcW w:w="1280" w:type="dxa"/>
            <w:vAlign w:val="bottom"/>
          </w:tcPr>
          <w:p>
            <w:pPr>
              <w:ind w:left="280"/>
              <w:spacing w:after="0"/>
              <w:rPr>
                <w:sz w:val="20"/>
                <w:szCs w:val="20"/>
                <w:color w:val="auto"/>
              </w:rPr>
            </w:pPr>
            <w:r>
              <w:rPr>
                <w:rFonts w:ascii="Arial" w:cs="Arial" w:eastAsia="Arial" w:hAnsi="Arial"/>
                <w:sz w:val="16"/>
                <w:szCs w:val="16"/>
                <w:b w:val="1"/>
                <w:bCs w:val="1"/>
                <w:color w:val="auto"/>
              </w:rPr>
              <w:t>Date Filed</w:t>
            </w:r>
          </w:p>
        </w:tc>
      </w:tr>
      <w:tr>
        <w:trPr>
          <w:trHeight w:val="33"/>
        </w:trPr>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ind w:left="1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0" w:type="dxa"/>
            <w:vAlign w:val="bottom"/>
            <w:gridSpan w:val="12"/>
          </w:tcPr>
          <w:p>
            <w:pPr>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Specimen Common Stock Certificate of the Registrant.</w:t>
              </w:r>
            </w:hyperlink>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S-8</w:t>
            </w:r>
          </w:p>
        </w:tc>
        <w:tc>
          <w:tcPr>
            <w:tcW w:w="13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8/3/2017</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tcBorders>
              <w:bottom w:val="single" w:sz="8" w:color="0000FF"/>
            </w:tcBorders>
            <w:gridSpan w:val="8"/>
          </w:tcPr>
          <w:p>
            <w:pPr>
              <w:spacing w:after="0"/>
              <w:rPr>
                <w:rFonts w:ascii="Arial" w:cs="Arial" w:eastAsia="Arial" w:hAnsi="Arial"/>
                <w:sz w:val="18"/>
                <w:szCs w:val="18"/>
                <w:color w:val="0000FF"/>
                <w:w w:val="89"/>
              </w:rPr>
            </w:pPr>
            <w:hyperlink r:id="rId22">
              <w:r>
                <w:rPr>
                  <w:rFonts w:ascii="Arial" w:cs="Arial" w:eastAsia="Arial" w:hAnsi="Arial"/>
                  <w:sz w:val="18"/>
                  <w:szCs w:val="18"/>
                  <w:color w:val="0000FF"/>
                  <w:w w:val="89"/>
                </w:rPr>
                <w:t>2017 Employee Stock Purchase Plan of Fluidigm Corporation, as amended</w:t>
              </w:r>
            </w:hyperlink>
          </w:p>
        </w:tc>
        <w:tc>
          <w:tcPr>
            <w:tcW w:w="400" w:type="dxa"/>
            <w:vAlign w:val="bottom"/>
            <w:gridSpan w:val="4"/>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6/24/2020</w:t>
            </w: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gridSpan w:val="12"/>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and restated effective June 23, 2020.</w:t>
              </w:r>
            </w:hyperlink>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880" w:type="dxa"/>
            <w:vAlign w:val="bottom"/>
          </w:tcPr>
          <w:p>
            <w:pPr>
              <w:ind w:lef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80" w:type="dxa"/>
            <w:vAlign w:val="bottom"/>
            <w:tcBorders>
              <w:bottom w:val="single" w:sz="8" w:color="0000FF"/>
            </w:tcBorders>
            <w:gridSpan w:val="7"/>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2011 Equity Incentive Plan of Fluidigm Corporation, as amended effective</w:t>
              </w:r>
            </w:hyperlink>
          </w:p>
        </w:tc>
        <w:tc>
          <w:tcPr>
            <w:tcW w:w="420" w:type="dxa"/>
            <w:vAlign w:val="bottom"/>
            <w:gridSpan w:val="5"/>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6/24/2020</w:t>
            </w: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gridSpan w:val="12"/>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June 23, 2020.</w:t>
              </w:r>
            </w:hyperlink>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1"/>
        </w:trPr>
        <w:tc>
          <w:tcPr>
            <w:tcW w:w="880" w:type="dxa"/>
            <w:vAlign w:val="bottom"/>
          </w:tcPr>
          <w:p>
            <w:pPr>
              <w:ind w:lef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12"/>
          </w:tcPr>
          <w:p>
            <w:pPr>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Forms of U.S. agreements under the 2011 Equity Incentive Plan.</w:t>
              </w:r>
            </w:hyperlink>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SC TO-I</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(d)(2)</w:t>
            </w:r>
          </w:p>
        </w:tc>
        <w:tc>
          <w:tcPr>
            <w:tcW w:w="1280" w:type="dxa"/>
            <w:vAlign w:val="bottom"/>
          </w:tcPr>
          <w:p>
            <w:pPr>
              <w:ind w:left="20"/>
              <w:spacing w:after="0"/>
              <w:rPr>
                <w:sz w:val="20"/>
                <w:szCs w:val="20"/>
                <w:color w:val="auto"/>
              </w:rPr>
            </w:pPr>
            <w:r>
              <w:rPr>
                <w:rFonts w:ascii="Arial" w:cs="Arial" w:eastAsia="Arial" w:hAnsi="Arial"/>
                <w:sz w:val="18"/>
                <w:szCs w:val="18"/>
                <w:color w:val="auto"/>
              </w:rPr>
              <w:t>8/23/2017</w:t>
            </w:r>
          </w:p>
        </w:tc>
      </w:tr>
      <w:tr>
        <w:trPr>
          <w:trHeight w:val="229"/>
        </w:trPr>
        <w:tc>
          <w:tcPr>
            <w:tcW w:w="880" w:type="dxa"/>
            <w:vAlign w:val="bottom"/>
          </w:tcPr>
          <w:p>
            <w:pPr>
              <w:ind w:lef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20" w:type="dxa"/>
            <w:vAlign w:val="bottom"/>
            <w:tcBorders>
              <w:bottom w:val="single" w:sz="8" w:color="0000FF"/>
            </w:tcBorders>
            <w:gridSpan w:val="9"/>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Rules of the Fluidigm Corporation 2011 Equity Incentive Plan for Restricted</w:t>
              </w:r>
            </w:hyperlink>
          </w:p>
        </w:tc>
        <w:tc>
          <w:tcPr>
            <w:tcW w:w="280" w:type="dxa"/>
            <w:vAlign w:val="bottom"/>
            <w:gridSpan w:val="3"/>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SC TO-I</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(d)(3)</w:t>
            </w:r>
          </w:p>
        </w:tc>
        <w:tc>
          <w:tcPr>
            <w:tcW w:w="1280" w:type="dxa"/>
            <w:vAlign w:val="bottom"/>
          </w:tcPr>
          <w:p>
            <w:pPr>
              <w:ind w:left="20"/>
              <w:spacing w:after="0"/>
              <w:rPr>
                <w:sz w:val="20"/>
                <w:szCs w:val="20"/>
                <w:color w:val="auto"/>
              </w:rPr>
            </w:pPr>
            <w:r>
              <w:rPr>
                <w:rFonts w:ascii="Arial" w:cs="Arial" w:eastAsia="Arial" w:hAnsi="Arial"/>
                <w:sz w:val="18"/>
                <w:szCs w:val="18"/>
                <w:color w:val="auto"/>
              </w:rPr>
              <w:t>8/23/2017</w:t>
            </w: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gridSpan w:val="1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Stock Unit Awards Granted to French Participants.</w:t>
              </w:r>
            </w:hyperlink>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880" w:type="dxa"/>
            <w:vAlign w:val="bottom"/>
          </w:tcPr>
          <w:p>
            <w:pPr>
              <w:ind w:lef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60" w:type="dxa"/>
            <w:vAlign w:val="bottom"/>
            <w:tcBorders>
              <w:bottom w:val="single" w:sz="8" w:color="0000FF"/>
            </w:tcBorders>
            <w:gridSpan w:val="6"/>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Rules of the Fluidigm Corporation 2011 Equity Incentive Plan for Options</w:t>
              </w:r>
            </w:hyperlink>
          </w:p>
        </w:tc>
        <w:tc>
          <w:tcPr>
            <w:tcW w:w="440" w:type="dxa"/>
            <w:vAlign w:val="bottom"/>
            <w:gridSpan w:val="6"/>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SC TO-I</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(d)(4)</w:t>
            </w:r>
          </w:p>
        </w:tc>
        <w:tc>
          <w:tcPr>
            <w:tcW w:w="1280" w:type="dxa"/>
            <w:vAlign w:val="bottom"/>
          </w:tcPr>
          <w:p>
            <w:pPr>
              <w:ind w:left="20"/>
              <w:spacing w:after="0"/>
              <w:rPr>
                <w:sz w:val="20"/>
                <w:szCs w:val="20"/>
                <w:color w:val="auto"/>
              </w:rPr>
            </w:pPr>
            <w:r>
              <w:rPr>
                <w:rFonts w:ascii="Arial" w:cs="Arial" w:eastAsia="Arial" w:hAnsi="Arial"/>
                <w:sz w:val="18"/>
                <w:szCs w:val="18"/>
                <w:color w:val="auto"/>
              </w:rPr>
              <w:t>8/23/2017</w:t>
            </w: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Granted to French Participants.</w:t>
              </w:r>
            </w:hyperlink>
          </w:p>
        </w:tc>
        <w:tc>
          <w:tcPr>
            <w:tcW w:w="3560" w:type="dxa"/>
            <w:vAlign w:val="bottom"/>
            <w:gridSpan w:val="9"/>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90"/>
        </w:trPr>
        <w:tc>
          <w:tcPr>
            <w:tcW w:w="880" w:type="dxa"/>
            <w:vAlign w:val="bottom"/>
          </w:tcPr>
          <w:p>
            <w:pPr>
              <w:ind w:left="1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12"/>
          </w:tcPr>
          <w:p>
            <w:pPr>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UK Sub-plan to the Fluidigm Corporation 2011 Equity Incentive Plan.</w:t>
              </w:r>
            </w:hyperlink>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SC TO-I</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(d)(5)</w:t>
            </w:r>
          </w:p>
        </w:tc>
        <w:tc>
          <w:tcPr>
            <w:tcW w:w="1280" w:type="dxa"/>
            <w:vAlign w:val="bottom"/>
          </w:tcPr>
          <w:p>
            <w:pPr>
              <w:ind w:left="20"/>
              <w:spacing w:after="0"/>
              <w:rPr>
                <w:sz w:val="20"/>
                <w:szCs w:val="20"/>
                <w:color w:val="auto"/>
              </w:rPr>
            </w:pPr>
            <w:r>
              <w:rPr>
                <w:rFonts w:ascii="Arial" w:cs="Arial" w:eastAsia="Arial" w:hAnsi="Arial"/>
                <w:sz w:val="18"/>
                <w:szCs w:val="18"/>
                <w:color w:val="auto"/>
              </w:rPr>
              <w:t>8/23/2017</w:t>
            </w:r>
          </w:p>
        </w:tc>
      </w:tr>
      <w:tr>
        <w:trPr>
          <w:trHeight w:val="230"/>
        </w:trPr>
        <w:tc>
          <w:tcPr>
            <w:tcW w:w="880" w:type="dxa"/>
            <w:vAlign w:val="bottom"/>
          </w:tcPr>
          <w:p>
            <w:pPr>
              <w:ind w:left="1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60" w:type="dxa"/>
            <w:vAlign w:val="bottom"/>
            <w:tcBorders>
              <w:bottom w:val="single" w:sz="8" w:color="0000FF"/>
            </w:tcBorders>
            <w:gridSpan w:val="10"/>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Form of Restricted Stock Unit Agreement—Non–U.S. under the 2011 Equity</w:t>
              </w:r>
            </w:hyperlink>
          </w:p>
        </w:tc>
        <w:tc>
          <w:tcPr>
            <w:tcW w:w="240" w:type="dxa"/>
            <w:vAlign w:val="bottom"/>
            <w:gridSpan w:val="2"/>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SC TO-I</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(d)(6)</w:t>
            </w:r>
          </w:p>
        </w:tc>
        <w:tc>
          <w:tcPr>
            <w:tcW w:w="1280" w:type="dxa"/>
            <w:vAlign w:val="bottom"/>
          </w:tcPr>
          <w:p>
            <w:pPr>
              <w:ind w:left="20"/>
              <w:spacing w:after="0"/>
              <w:rPr>
                <w:sz w:val="20"/>
                <w:szCs w:val="20"/>
                <w:color w:val="auto"/>
              </w:rPr>
            </w:pPr>
            <w:r>
              <w:rPr>
                <w:rFonts w:ascii="Arial" w:cs="Arial" w:eastAsia="Arial" w:hAnsi="Arial"/>
                <w:sz w:val="18"/>
                <w:szCs w:val="18"/>
                <w:color w:val="auto"/>
              </w:rPr>
              <w:t>8/23/2017</w:t>
            </w: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28">
              <w:r>
                <w:rPr>
                  <w:rFonts w:ascii="Arial" w:cs="Arial" w:eastAsia="Arial" w:hAnsi="Arial"/>
                  <w:sz w:val="18"/>
                  <w:szCs w:val="18"/>
                  <w:color w:val="0000FF"/>
                  <w:w w:val="89"/>
                </w:rPr>
                <w:t>Incentive Plan.</w:t>
              </w:r>
            </w:hyperlink>
          </w:p>
        </w:tc>
        <w:tc>
          <w:tcPr>
            <w:tcW w:w="4720" w:type="dxa"/>
            <w:vAlign w:val="bottom"/>
            <w:gridSpan w:val="10"/>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center"/>
              <w:ind w:left="12"/>
              <w:spacing w:after="0"/>
              <w:rPr>
                <w:sz w:val="20"/>
                <w:szCs w:val="20"/>
                <w:color w:val="auto"/>
              </w:rPr>
            </w:pPr>
            <w:r>
              <w:rPr>
                <w:rFonts w:ascii="Arial" w:cs="Arial" w:eastAsia="Arial" w:hAnsi="Arial"/>
                <w:sz w:val="16"/>
                <w:szCs w:val="16"/>
                <w:b w:val="1"/>
                <w:bCs w:val="1"/>
                <w:color w:val="auto"/>
                <w:w w:val="94"/>
              </w:rPr>
              <w:t>Incorporated by</w:t>
            </w:r>
          </w:p>
        </w:tc>
        <w:tc>
          <w:tcPr>
            <w:tcW w:w="1520" w:type="dxa"/>
            <w:vAlign w:val="bottom"/>
          </w:tcPr>
          <w:p>
            <w:pPr>
              <w:ind w:left="260"/>
              <w:spacing w:after="0"/>
              <w:rPr>
                <w:sz w:val="20"/>
                <w:szCs w:val="20"/>
                <w:color w:val="auto"/>
              </w:rPr>
            </w:pPr>
            <w:r>
              <w:rPr>
                <w:rFonts w:ascii="Arial" w:cs="Arial" w:eastAsia="Arial" w:hAnsi="Arial"/>
                <w:sz w:val="16"/>
                <w:szCs w:val="16"/>
                <w:b w:val="1"/>
                <w:bCs w:val="1"/>
                <w:color w:val="auto"/>
              </w:rPr>
              <w:t>Incorporated by</w:t>
            </w:r>
          </w:p>
        </w:tc>
        <w:tc>
          <w:tcPr>
            <w:tcW w:w="1100" w:type="dxa"/>
            <w:vAlign w:val="bottom"/>
          </w:tcPr>
          <w:p>
            <w:pPr>
              <w:spacing w:after="0"/>
              <w:rPr>
                <w:sz w:val="17"/>
                <w:szCs w:val="17"/>
                <w:color w:val="auto"/>
              </w:rPr>
            </w:pPr>
          </w:p>
        </w:tc>
      </w:tr>
      <w:tr>
        <w:trPr>
          <w:trHeight w:val="203"/>
        </w:trPr>
        <w:tc>
          <w:tcPr>
            <w:tcW w:w="100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center"/>
              <w:ind w:left="12"/>
              <w:spacing w:after="0"/>
              <w:rPr>
                <w:sz w:val="20"/>
                <w:szCs w:val="20"/>
                <w:color w:val="auto"/>
              </w:rPr>
            </w:pPr>
            <w:r>
              <w:rPr>
                <w:rFonts w:ascii="Arial" w:cs="Arial" w:eastAsia="Arial" w:hAnsi="Arial"/>
                <w:sz w:val="16"/>
                <w:szCs w:val="16"/>
                <w:b w:val="1"/>
                <w:bCs w:val="1"/>
                <w:color w:val="auto"/>
                <w:w w:val="90"/>
              </w:rPr>
              <w:t>Reference From</w:t>
            </w:r>
          </w:p>
        </w:tc>
        <w:tc>
          <w:tcPr>
            <w:tcW w:w="1520" w:type="dxa"/>
            <w:vAlign w:val="bottom"/>
          </w:tcPr>
          <w:p>
            <w:pPr>
              <w:ind w:left="280"/>
              <w:spacing w:after="0"/>
              <w:rPr>
                <w:sz w:val="20"/>
                <w:szCs w:val="20"/>
                <w:color w:val="auto"/>
              </w:rPr>
            </w:pPr>
            <w:r>
              <w:rPr>
                <w:rFonts w:ascii="Arial" w:cs="Arial" w:eastAsia="Arial" w:hAnsi="Arial"/>
                <w:sz w:val="16"/>
                <w:szCs w:val="16"/>
                <w:b w:val="1"/>
                <w:bCs w:val="1"/>
                <w:color w:val="auto"/>
              </w:rPr>
              <w:t>Reference From</w:t>
            </w:r>
          </w:p>
        </w:tc>
        <w:tc>
          <w:tcPr>
            <w:tcW w:w="1100" w:type="dxa"/>
            <w:vAlign w:val="bottom"/>
          </w:tcPr>
          <w:p>
            <w:pPr>
              <w:spacing w:after="0"/>
              <w:rPr>
                <w:sz w:val="17"/>
                <w:szCs w:val="17"/>
                <w:color w:val="auto"/>
              </w:rPr>
            </w:pPr>
          </w:p>
        </w:tc>
      </w:tr>
      <w:tr>
        <w:trPr>
          <w:trHeight w:val="210"/>
        </w:trPr>
        <w:tc>
          <w:tcPr>
            <w:tcW w:w="1000" w:type="dxa"/>
            <w:vAlign w:val="bottom"/>
          </w:tcPr>
          <w:p>
            <w:pPr>
              <w:ind w:left="140"/>
              <w:spacing w:after="0"/>
              <w:rPr>
                <w:sz w:val="20"/>
                <w:szCs w:val="20"/>
                <w:color w:val="auto"/>
              </w:rPr>
            </w:pPr>
            <w:r>
              <w:rPr>
                <w:rFonts w:ascii="Arial" w:cs="Arial" w:eastAsia="Arial" w:hAnsi="Arial"/>
                <w:sz w:val="16"/>
                <w:szCs w:val="16"/>
                <w:b w:val="1"/>
                <w:bCs w:val="1"/>
                <w:color w:val="auto"/>
              </w:rPr>
              <w:t>Number</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20" w:type="dxa"/>
            <w:vAlign w:val="bottom"/>
            <w:gridSpan w:val="12"/>
          </w:tcPr>
          <w:p>
            <w:pPr>
              <w:ind w:left="100"/>
              <w:spacing w:after="0"/>
              <w:rPr>
                <w:sz w:val="20"/>
                <w:szCs w:val="20"/>
                <w:color w:val="auto"/>
              </w:rPr>
            </w:pPr>
            <w:r>
              <w:rPr>
                <w:rFonts w:ascii="Arial" w:cs="Arial" w:eastAsia="Arial" w:hAnsi="Arial"/>
                <w:sz w:val="16"/>
                <w:szCs w:val="16"/>
                <w:b w:val="1"/>
                <w:bCs w:val="1"/>
                <w:color w:val="auto"/>
              </w:rPr>
              <w:t>Description</w:t>
            </w:r>
          </w:p>
        </w:tc>
        <w:tc>
          <w:tcPr>
            <w:tcW w:w="1560" w:type="dxa"/>
            <w:vAlign w:val="bottom"/>
          </w:tcPr>
          <w:p>
            <w:pPr>
              <w:jc w:val="center"/>
              <w:ind w:left="12"/>
              <w:spacing w:after="0"/>
              <w:rPr>
                <w:sz w:val="20"/>
                <w:szCs w:val="20"/>
                <w:color w:val="auto"/>
              </w:rPr>
            </w:pPr>
            <w:r>
              <w:rPr>
                <w:rFonts w:ascii="Arial" w:cs="Arial" w:eastAsia="Arial" w:hAnsi="Arial"/>
                <w:sz w:val="16"/>
                <w:szCs w:val="16"/>
                <w:b w:val="1"/>
                <w:bCs w:val="1"/>
                <w:color w:val="auto"/>
                <w:w w:val="94"/>
              </w:rPr>
              <w:t>Form</w:t>
            </w:r>
          </w:p>
        </w:tc>
        <w:tc>
          <w:tcPr>
            <w:tcW w:w="1520" w:type="dxa"/>
            <w:vAlign w:val="bottom"/>
          </w:tcPr>
          <w:p>
            <w:pPr>
              <w:ind w:left="260"/>
              <w:spacing w:after="0"/>
              <w:rPr>
                <w:sz w:val="20"/>
                <w:szCs w:val="20"/>
                <w:color w:val="auto"/>
              </w:rPr>
            </w:pPr>
            <w:r>
              <w:rPr>
                <w:rFonts w:ascii="Arial" w:cs="Arial" w:eastAsia="Arial" w:hAnsi="Arial"/>
                <w:sz w:val="16"/>
                <w:szCs w:val="16"/>
                <w:b w:val="1"/>
                <w:bCs w:val="1"/>
                <w:color w:val="auto"/>
              </w:rPr>
              <w:t>Exhibit Number</w:t>
            </w:r>
          </w:p>
        </w:tc>
        <w:tc>
          <w:tcPr>
            <w:tcW w:w="1100" w:type="dxa"/>
            <w:vAlign w:val="bottom"/>
          </w:tcPr>
          <w:p>
            <w:pPr>
              <w:ind w:left="380"/>
              <w:spacing w:after="0"/>
              <w:rPr>
                <w:sz w:val="20"/>
                <w:szCs w:val="20"/>
                <w:color w:val="auto"/>
              </w:rPr>
            </w:pPr>
            <w:r>
              <w:rPr>
                <w:rFonts w:ascii="Arial" w:cs="Arial" w:eastAsia="Arial" w:hAnsi="Arial"/>
                <w:sz w:val="16"/>
                <w:szCs w:val="16"/>
                <w:b w:val="1"/>
                <w:bCs w:val="1"/>
                <w:color w:val="auto"/>
                <w:w w:val="91"/>
              </w:rPr>
              <w:t>Date Filed</w:t>
            </w:r>
          </w:p>
        </w:tc>
      </w:tr>
      <w:tr>
        <w:trPr>
          <w:trHeight w:val="235"/>
        </w:trPr>
        <w:tc>
          <w:tcPr>
            <w:tcW w:w="1000" w:type="dxa"/>
            <w:vAlign w:val="bottom"/>
          </w:tcPr>
          <w:p>
            <w:pPr>
              <w:ind w:left="100"/>
              <w:spacing w:after="0"/>
              <w:rPr>
                <w:sz w:val="20"/>
                <w:szCs w:val="20"/>
                <w:color w:val="auto"/>
              </w:rPr>
            </w:pPr>
            <w:r>
              <w:rPr>
                <w:rFonts w:ascii="Arial" w:cs="Arial" w:eastAsia="Arial" w:hAnsi="Arial"/>
                <w:sz w:val="18"/>
                <w:szCs w:val="18"/>
                <w:color w:val="auto"/>
              </w:rPr>
              <w:t>4.9+</w:t>
            </w:r>
          </w:p>
        </w:tc>
        <w:tc>
          <w:tcPr>
            <w:tcW w:w="5680" w:type="dxa"/>
            <w:vAlign w:val="bottom"/>
            <w:tcBorders>
              <w:bottom w:val="single" w:sz="8" w:color="0000FF"/>
            </w:tcBorders>
            <w:gridSpan w:val="14"/>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Form of Stock Option Agreement—Non–U.S. under the 2011 Equity Incentive</w:t>
              </w:r>
            </w:hyperlink>
          </w:p>
        </w:tc>
        <w:tc>
          <w:tcPr>
            <w:tcW w:w="80" w:type="dxa"/>
            <w:vAlign w:val="bottom"/>
          </w:tcPr>
          <w:p>
            <w:pPr>
              <w:spacing w:after="0"/>
              <w:rPr>
                <w:sz w:val="20"/>
                <w:szCs w:val="20"/>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SC TO-I</w:t>
            </w:r>
          </w:p>
        </w:tc>
        <w:tc>
          <w:tcPr>
            <w:tcW w:w="1520" w:type="dxa"/>
            <w:vAlign w:val="bottom"/>
          </w:tcPr>
          <w:p>
            <w:pPr>
              <w:ind w:left="180"/>
              <w:spacing w:after="0"/>
              <w:rPr>
                <w:sz w:val="20"/>
                <w:szCs w:val="20"/>
                <w:color w:val="auto"/>
              </w:rPr>
            </w:pPr>
            <w:r>
              <w:rPr>
                <w:rFonts w:ascii="Arial" w:cs="Arial" w:eastAsia="Arial" w:hAnsi="Arial"/>
                <w:sz w:val="18"/>
                <w:szCs w:val="18"/>
                <w:color w:val="auto"/>
              </w:rPr>
              <w:t>(d)(7)</w:t>
            </w:r>
          </w:p>
        </w:tc>
        <w:tc>
          <w:tcPr>
            <w:tcW w:w="1100" w:type="dxa"/>
            <w:vAlign w:val="bottom"/>
          </w:tcPr>
          <w:p>
            <w:pPr>
              <w:ind w:left="120"/>
              <w:spacing w:after="0"/>
              <w:rPr>
                <w:sz w:val="20"/>
                <w:szCs w:val="20"/>
                <w:color w:val="auto"/>
              </w:rPr>
            </w:pPr>
            <w:r>
              <w:rPr>
                <w:rFonts w:ascii="Arial" w:cs="Arial" w:eastAsia="Arial" w:hAnsi="Arial"/>
                <w:sz w:val="18"/>
                <w:szCs w:val="18"/>
                <w:color w:val="auto"/>
              </w:rPr>
              <w:t>8/23/2017</w:t>
            </w:r>
          </w:p>
        </w:tc>
      </w:tr>
      <w:tr>
        <w:trPr>
          <w:trHeight w:val="196"/>
        </w:trPr>
        <w:tc>
          <w:tcPr>
            <w:tcW w:w="100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29">
              <w:r>
                <w:rPr>
                  <w:rFonts w:ascii="Arial" w:cs="Arial" w:eastAsia="Arial" w:hAnsi="Arial"/>
                  <w:sz w:val="18"/>
                  <w:szCs w:val="18"/>
                  <w:color w:val="0000FF"/>
                  <w:w w:val="82"/>
                </w:rPr>
                <w:t>Plan.</w:t>
              </w:r>
            </w:hyperlink>
          </w:p>
        </w:tc>
        <w:tc>
          <w:tcPr>
            <w:tcW w:w="5400" w:type="dxa"/>
            <w:vAlign w:val="bottom"/>
            <w:gridSpan w:val="14"/>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1000" w:type="dxa"/>
            <w:vAlign w:val="bottom"/>
          </w:tcPr>
          <w:p>
            <w:pPr>
              <w:ind w:left="100"/>
              <w:spacing w:after="0"/>
              <w:rPr>
                <w:sz w:val="20"/>
                <w:szCs w:val="20"/>
                <w:color w:val="auto"/>
              </w:rPr>
            </w:pPr>
            <w:r>
              <w:rPr>
                <w:rFonts w:ascii="Arial" w:cs="Arial" w:eastAsia="Arial" w:hAnsi="Arial"/>
                <w:sz w:val="18"/>
                <w:szCs w:val="18"/>
                <w:color w:val="auto"/>
              </w:rPr>
              <w:t>4.10</w:t>
            </w:r>
          </w:p>
        </w:tc>
        <w:tc>
          <w:tcPr>
            <w:tcW w:w="5600" w:type="dxa"/>
            <w:vAlign w:val="bottom"/>
            <w:tcBorders>
              <w:bottom w:val="single" w:sz="8" w:color="0000FF"/>
            </w:tcBorders>
            <w:gridSpan w:val="13"/>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Indenture, dated February 4, 2014, by and between Fluidigm Corporation and</w:t>
              </w:r>
            </w:hyperlink>
          </w:p>
        </w:tc>
        <w:tc>
          <w:tcPr>
            <w:tcW w:w="160" w:type="dxa"/>
            <w:vAlign w:val="bottom"/>
            <w:gridSpan w:val="2"/>
          </w:tcPr>
          <w:p>
            <w:pPr>
              <w:spacing w:after="0"/>
              <w:rPr>
                <w:sz w:val="21"/>
                <w:szCs w:val="21"/>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8-K</w:t>
            </w:r>
          </w:p>
        </w:tc>
        <w:tc>
          <w:tcPr>
            <w:tcW w:w="1520" w:type="dxa"/>
            <w:vAlign w:val="bottom"/>
          </w:tcPr>
          <w:p>
            <w:pPr>
              <w:ind w:left="180"/>
              <w:spacing w:after="0"/>
              <w:rPr>
                <w:sz w:val="20"/>
                <w:szCs w:val="20"/>
                <w:color w:val="auto"/>
              </w:rPr>
            </w:pPr>
            <w:r>
              <w:rPr>
                <w:rFonts w:ascii="Arial" w:cs="Arial" w:eastAsia="Arial" w:hAnsi="Arial"/>
                <w:sz w:val="18"/>
                <w:szCs w:val="18"/>
                <w:color w:val="auto"/>
              </w:rPr>
              <w:t>4.1</w:t>
            </w:r>
          </w:p>
        </w:tc>
        <w:tc>
          <w:tcPr>
            <w:tcW w:w="1100" w:type="dxa"/>
            <w:vAlign w:val="bottom"/>
          </w:tcPr>
          <w:p>
            <w:pPr>
              <w:ind w:left="120"/>
              <w:spacing w:after="0"/>
              <w:rPr>
                <w:sz w:val="20"/>
                <w:szCs w:val="20"/>
                <w:color w:val="auto"/>
              </w:rPr>
            </w:pPr>
            <w:r>
              <w:rPr>
                <w:rFonts w:ascii="Arial" w:cs="Arial" w:eastAsia="Arial" w:hAnsi="Arial"/>
                <w:sz w:val="18"/>
                <w:szCs w:val="18"/>
                <w:color w:val="auto"/>
              </w:rPr>
              <w:t>2/4/2014</w:t>
            </w:r>
          </w:p>
        </w:tc>
      </w:tr>
      <w:tr>
        <w:trPr>
          <w:trHeight w:val="196"/>
        </w:trPr>
        <w:tc>
          <w:tcPr>
            <w:tcW w:w="1000" w:type="dxa"/>
            <w:vAlign w:val="bottom"/>
          </w:tcPr>
          <w:p>
            <w:pPr>
              <w:spacing w:after="0"/>
              <w:rPr>
                <w:sz w:val="17"/>
                <w:szCs w:val="17"/>
                <w:color w:val="auto"/>
              </w:rPr>
            </w:pPr>
          </w:p>
        </w:tc>
        <w:tc>
          <w:tcPr>
            <w:tcW w:w="5760" w:type="dxa"/>
            <w:vAlign w:val="bottom"/>
            <w:gridSpan w:val="15"/>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U.S. Bank National Association.</w:t>
              </w:r>
            </w:hyperlink>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000" w:type="dxa"/>
            <w:vAlign w:val="bottom"/>
          </w:tcPr>
          <w:p>
            <w:pPr>
              <w:ind w:left="100"/>
              <w:spacing w:after="0"/>
              <w:rPr>
                <w:sz w:val="20"/>
                <w:szCs w:val="20"/>
                <w:color w:val="auto"/>
              </w:rPr>
            </w:pPr>
            <w:r>
              <w:rPr>
                <w:rFonts w:ascii="Arial" w:cs="Arial" w:eastAsia="Arial" w:hAnsi="Arial"/>
                <w:sz w:val="18"/>
                <w:szCs w:val="18"/>
                <w:color w:val="auto"/>
              </w:rPr>
              <w:t>4.11</w:t>
            </w:r>
          </w:p>
        </w:tc>
        <w:tc>
          <w:tcPr>
            <w:tcW w:w="5760" w:type="dxa"/>
            <w:vAlign w:val="bottom"/>
            <w:gridSpan w:val="15"/>
          </w:tcPr>
          <w:p>
            <w:pPr>
              <w:spacing w:after="0"/>
              <w:rPr>
                <w:rFonts w:ascii="Arial" w:cs="Arial" w:eastAsia="Arial" w:hAnsi="Arial"/>
                <w:sz w:val="18"/>
                <w:szCs w:val="18"/>
                <w:color w:val="0000FF"/>
              </w:rPr>
            </w:pPr>
            <w:hyperlink r:id="rId31">
              <w:r>
                <w:rPr>
                  <w:rFonts w:ascii="Arial" w:cs="Arial" w:eastAsia="Arial" w:hAnsi="Arial"/>
                  <w:sz w:val="18"/>
                  <w:szCs w:val="18"/>
                  <w:color w:val="0000FF"/>
                </w:rPr>
                <w:t>First Supplemental Indenture, dated February 4, 2014, by and between</w:t>
              </w:r>
            </w:hyperlink>
          </w:p>
        </w:tc>
        <w:tc>
          <w:tcPr>
            <w:tcW w:w="1560" w:type="dxa"/>
            <w:vAlign w:val="bottom"/>
          </w:tcPr>
          <w:p>
            <w:pPr>
              <w:ind w:left="60"/>
              <w:spacing w:after="0"/>
              <w:rPr>
                <w:sz w:val="20"/>
                <w:szCs w:val="20"/>
                <w:color w:val="auto"/>
              </w:rPr>
            </w:pPr>
            <w:r>
              <w:rPr>
                <w:rFonts w:ascii="Arial" w:cs="Arial" w:eastAsia="Arial" w:hAnsi="Arial"/>
                <w:sz w:val="18"/>
                <w:szCs w:val="18"/>
                <w:color w:val="auto"/>
              </w:rPr>
              <w:t>8-K</w:t>
            </w:r>
          </w:p>
        </w:tc>
        <w:tc>
          <w:tcPr>
            <w:tcW w:w="1520" w:type="dxa"/>
            <w:vAlign w:val="bottom"/>
          </w:tcPr>
          <w:p>
            <w:pPr>
              <w:ind w:left="180"/>
              <w:spacing w:after="0"/>
              <w:rPr>
                <w:sz w:val="20"/>
                <w:szCs w:val="20"/>
                <w:color w:val="auto"/>
              </w:rPr>
            </w:pPr>
            <w:r>
              <w:rPr>
                <w:rFonts w:ascii="Arial" w:cs="Arial" w:eastAsia="Arial" w:hAnsi="Arial"/>
                <w:sz w:val="18"/>
                <w:szCs w:val="18"/>
                <w:color w:val="auto"/>
              </w:rPr>
              <w:t>4.2</w:t>
            </w:r>
          </w:p>
        </w:tc>
        <w:tc>
          <w:tcPr>
            <w:tcW w:w="1100" w:type="dxa"/>
            <w:vAlign w:val="bottom"/>
          </w:tcPr>
          <w:p>
            <w:pPr>
              <w:ind w:left="120"/>
              <w:spacing w:after="0"/>
              <w:rPr>
                <w:sz w:val="20"/>
                <w:szCs w:val="20"/>
                <w:color w:val="auto"/>
              </w:rPr>
            </w:pPr>
            <w:r>
              <w:rPr>
                <w:rFonts w:ascii="Arial" w:cs="Arial" w:eastAsia="Arial" w:hAnsi="Arial"/>
                <w:sz w:val="18"/>
                <w:szCs w:val="18"/>
                <w:color w:val="auto"/>
              </w:rPr>
              <w:t>2/4/2014</w:t>
            </w:r>
          </w:p>
        </w:tc>
      </w:tr>
      <w:tr>
        <w:trPr>
          <w:trHeight w:val="237"/>
        </w:trPr>
        <w:tc>
          <w:tcPr>
            <w:tcW w:w="1000" w:type="dxa"/>
            <w:vAlign w:val="bottom"/>
          </w:tcPr>
          <w:p>
            <w:pPr>
              <w:spacing w:after="0"/>
              <w:rPr>
                <w:sz w:val="20"/>
                <w:szCs w:val="20"/>
                <w:color w:val="auto"/>
              </w:rPr>
            </w:pPr>
          </w:p>
        </w:tc>
        <w:tc>
          <w:tcPr>
            <w:tcW w:w="506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Fluidigm Corporation and U.S. Bank National Association.</w:t>
              </w:r>
            </w:hyperlink>
          </w:p>
        </w:tc>
        <w:tc>
          <w:tcPr>
            <w:tcW w:w="700" w:type="dxa"/>
            <w:vAlign w:val="bottom"/>
            <w:gridSpan w:val="9"/>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1000" w:type="dxa"/>
            <w:vAlign w:val="bottom"/>
          </w:tcPr>
          <w:p>
            <w:pPr>
              <w:ind w:left="100"/>
              <w:spacing w:after="0"/>
              <w:rPr>
                <w:sz w:val="20"/>
                <w:szCs w:val="20"/>
                <w:color w:val="auto"/>
              </w:rPr>
            </w:pPr>
            <w:r>
              <w:rPr>
                <w:rFonts w:ascii="Arial" w:cs="Arial" w:eastAsia="Arial" w:hAnsi="Arial"/>
                <w:sz w:val="18"/>
                <w:szCs w:val="18"/>
                <w:color w:val="auto"/>
              </w:rPr>
              <w:t>4.12</w:t>
            </w:r>
          </w:p>
        </w:tc>
        <w:tc>
          <w:tcPr>
            <w:tcW w:w="5760" w:type="dxa"/>
            <w:vAlign w:val="bottom"/>
            <w:gridSpan w:val="15"/>
          </w:tcPr>
          <w:p>
            <w:pPr>
              <w:spacing w:after="0"/>
              <w:rPr>
                <w:rFonts w:ascii="Arial" w:cs="Arial" w:eastAsia="Arial" w:hAnsi="Arial"/>
                <w:sz w:val="18"/>
                <w:szCs w:val="18"/>
                <w:color w:val="0000FF"/>
              </w:rPr>
            </w:pPr>
            <w:hyperlink r:id="rId31">
              <w:r>
                <w:rPr>
                  <w:rFonts w:ascii="Arial" w:cs="Arial" w:eastAsia="Arial" w:hAnsi="Arial"/>
                  <w:sz w:val="18"/>
                  <w:szCs w:val="18"/>
                  <w:u w:val="single" w:color="auto"/>
                  <w:color w:val="0000FF"/>
                </w:rPr>
                <w:t>Form of Global Note (included in Exhibit 4.11)</w:t>
              </w:r>
              <w:r>
                <w:rPr>
                  <w:rFonts w:ascii="Arial" w:cs="Arial" w:eastAsia="Arial" w:hAnsi="Arial"/>
                  <w:sz w:val="18"/>
                  <w:szCs w:val="18"/>
                  <w:color w:val="0000FF"/>
                </w:rPr>
                <w:t>.</w:t>
              </w:r>
            </w:hyperlink>
          </w:p>
        </w:tc>
        <w:tc>
          <w:tcPr>
            <w:tcW w:w="1560" w:type="dxa"/>
            <w:vAlign w:val="bottom"/>
          </w:tcPr>
          <w:p>
            <w:pPr>
              <w:ind w:left="60"/>
              <w:spacing w:after="0"/>
              <w:rPr>
                <w:sz w:val="20"/>
                <w:szCs w:val="20"/>
                <w:color w:val="auto"/>
              </w:rPr>
            </w:pPr>
            <w:r>
              <w:rPr>
                <w:rFonts w:ascii="Arial" w:cs="Arial" w:eastAsia="Arial" w:hAnsi="Arial"/>
                <w:sz w:val="18"/>
                <w:szCs w:val="18"/>
                <w:color w:val="auto"/>
              </w:rPr>
              <w:t>8-K</w:t>
            </w:r>
          </w:p>
        </w:tc>
        <w:tc>
          <w:tcPr>
            <w:tcW w:w="1520" w:type="dxa"/>
            <w:vAlign w:val="bottom"/>
          </w:tcPr>
          <w:p>
            <w:pPr>
              <w:ind w:left="180"/>
              <w:spacing w:after="0"/>
              <w:rPr>
                <w:sz w:val="20"/>
                <w:szCs w:val="20"/>
                <w:color w:val="auto"/>
              </w:rPr>
            </w:pPr>
            <w:r>
              <w:rPr>
                <w:rFonts w:ascii="Arial" w:cs="Arial" w:eastAsia="Arial" w:hAnsi="Arial"/>
                <w:sz w:val="18"/>
                <w:szCs w:val="18"/>
                <w:color w:val="auto"/>
              </w:rPr>
              <w:t>4.3</w:t>
            </w:r>
          </w:p>
        </w:tc>
        <w:tc>
          <w:tcPr>
            <w:tcW w:w="1100" w:type="dxa"/>
            <w:vAlign w:val="bottom"/>
          </w:tcPr>
          <w:p>
            <w:pPr>
              <w:ind w:left="120"/>
              <w:spacing w:after="0"/>
              <w:rPr>
                <w:sz w:val="20"/>
                <w:szCs w:val="20"/>
                <w:color w:val="auto"/>
              </w:rPr>
            </w:pPr>
            <w:r>
              <w:rPr>
                <w:rFonts w:ascii="Arial" w:cs="Arial" w:eastAsia="Arial" w:hAnsi="Arial"/>
                <w:sz w:val="18"/>
                <w:szCs w:val="18"/>
                <w:color w:val="auto"/>
              </w:rPr>
              <w:t>2/4/2014</w:t>
            </w:r>
          </w:p>
        </w:tc>
      </w:tr>
      <w:tr>
        <w:trPr>
          <w:trHeight w:val="229"/>
        </w:trPr>
        <w:tc>
          <w:tcPr>
            <w:tcW w:w="1000" w:type="dxa"/>
            <w:vAlign w:val="bottom"/>
          </w:tcPr>
          <w:p>
            <w:pPr>
              <w:ind w:left="100"/>
              <w:spacing w:after="0"/>
              <w:rPr>
                <w:sz w:val="20"/>
                <w:szCs w:val="20"/>
                <w:color w:val="auto"/>
              </w:rPr>
            </w:pPr>
            <w:r>
              <w:rPr>
                <w:rFonts w:ascii="Arial" w:cs="Arial" w:eastAsia="Arial" w:hAnsi="Arial"/>
                <w:sz w:val="18"/>
                <w:szCs w:val="18"/>
                <w:color w:val="auto"/>
              </w:rPr>
              <w:t>4.14</w:t>
            </w:r>
          </w:p>
        </w:tc>
        <w:tc>
          <w:tcPr>
            <w:tcW w:w="5480" w:type="dxa"/>
            <w:vAlign w:val="bottom"/>
            <w:tcBorders>
              <w:bottom w:val="single" w:sz="8" w:color="0000FF"/>
            </w:tcBorders>
            <w:gridSpan w:val="11"/>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Indenture, dated November 22, 2019, by and between Fluidigm Corporation</w:t>
              </w:r>
            </w:hyperlink>
          </w:p>
        </w:tc>
        <w:tc>
          <w:tcPr>
            <w:tcW w:w="280" w:type="dxa"/>
            <w:vAlign w:val="bottom"/>
            <w:gridSpan w:val="4"/>
          </w:tcPr>
          <w:p>
            <w:pPr>
              <w:spacing w:after="0"/>
              <w:rPr>
                <w:sz w:val="19"/>
                <w:szCs w:val="19"/>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8-K</w:t>
            </w:r>
          </w:p>
        </w:tc>
        <w:tc>
          <w:tcPr>
            <w:tcW w:w="1520" w:type="dxa"/>
            <w:vAlign w:val="bottom"/>
          </w:tcPr>
          <w:p>
            <w:pPr>
              <w:ind w:left="180"/>
              <w:spacing w:after="0"/>
              <w:rPr>
                <w:sz w:val="20"/>
                <w:szCs w:val="20"/>
                <w:color w:val="auto"/>
              </w:rPr>
            </w:pPr>
            <w:r>
              <w:rPr>
                <w:rFonts w:ascii="Arial" w:cs="Arial" w:eastAsia="Arial" w:hAnsi="Arial"/>
                <w:sz w:val="18"/>
                <w:szCs w:val="18"/>
                <w:color w:val="auto"/>
              </w:rPr>
              <w:t>4.1</w:t>
            </w:r>
          </w:p>
        </w:tc>
        <w:tc>
          <w:tcPr>
            <w:tcW w:w="1100" w:type="dxa"/>
            <w:vAlign w:val="bottom"/>
          </w:tcPr>
          <w:p>
            <w:pPr>
              <w:ind w:left="120"/>
              <w:spacing w:after="0"/>
              <w:rPr>
                <w:sz w:val="20"/>
                <w:szCs w:val="20"/>
                <w:color w:val="auto"/>
              </w:rPr>
            </w:pPr>
            <w:r>
              <w:rPr>
                <w:rFonts w:ascii="Arial" w:cs="Arial" w:eastAsia="Arial" w:hAnsi="Arial"/>
                <w:sz w:val="18"/>
                <w:szCs w:val="18"/>
                <w:color w:val="auto"/>
              </w:rPr>
              <w:t>11/22/2019</w:t>
            </w:r>
          </w:p>
        </w:tc>
      </w:tr>
      <w:tr>
        <w:trPr>
          <w:trHeight w:val="196"/>
        </w:trPr>
        <w:tc>
          <w:tcPr>
            <w:tcW w:w="1000" w:type="dxa"/>
            <w:vAlign w:val="bottom"/>
          </w:tcPr>
          <w:p>
            <w:pPr>
              <w:spacing w:after="0"/>
              <w:rPr>
                <w:sz w:val="17"/>
                <w:szCs w:val="17"/>
                <w:color w:val="auto"/>
              </w:rPr>
            </w:pPr>
          </w:p>
        </w:tc>
        <w:tc>
          <w:tcPr>
            <w:tcW w:w="5760" w:type="dxa"/>
            <w:vAlign w:val="bottom"/>
            <w:gridSpan w:val="15"/>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and U.S. Bank National Association.</w:t>
              </w:r>
            </w:hyperlink>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91"/>
        </w:trPr>
        <w:tc>
          <w:tcPr>
            <w:tcW w:w="1000" w:type="dxa"/>
            <w:vAlign w:val="bottom"/>
          </w:tcPr>
          <w:p>
            <w:pPr>
              <w:ind w:left="100"/>
              <w:spacing w:after="0"/>
              <w:rPr>
                <w:sz w:val="20"/>
                <w:szCs w:val="20"/>
                <w:color w:val="auto"/>
              </w:rPr>
            </w:pPr>
            <w:r>
              <w:rPr>
                <w:rFonts w:ascii="Arial" w:cs="Arial" w:eastAsia="Arial" w:hAnsi="Arial"/>
                <w:sz w:val="18"/>
                <w:szCs w:val="18"/>
                <w:color w:val="auto"/>
              </w:rPr>
              <w:t>4.15</w:t>
            </w:r>
          </w:p>
        </w:tc>
        <w:tc>
          <w:tcPr>
            <w:tcW w:w="5760" w:type="dxa"/>
            <w:vAlign w:val="bottom"/>
            <w:gridSpan w:val="15"/>
          </w:tcPr>
          <w:p>
            <w:pPr>
              <w:spacing w:after="0"/>
              <w:rPr>
                <w:rFonts w:ascii="Arial" w:cs="Arial" w:eastAsia="Arial" w:hAnsi="Arial"/>
                <w:sz w:val="18"/>
                <w:szCs w:val="18"/>
                <w:u w:val="single" w:color="auto"/>
                <w:color w:val="0000FF"/>
                <w:w w:val="95"/>
              </w:rPr>
            </w:pPr>
            <w:hyperlink r:id="rId32">
              <w:r>
                <w:rPr>
                  <w:rFonts w:ascii="Arial" w:cs="Arial" w:eastAsia="Arial" w:hAnsi="Arial"/>
                  <w:sz w:val="18"/>
                  <w:szCs w:val="18"/>
                  <w:u w:val="single" w:color="auto"/>
                  <w:color w:val="0000FF"/>
                  <w:w w:val="95"/>
                </w:rPr>
                <w:t>Form of 5.25% Convertible Senior Note due 2024 (included in Exhibit 4.14).</w:t>
              </w:r>
            </w:hyperlink>
          </w:p>
        </w:tc>
        <w:tc>
          <w:tcPr>
            <w:tcW w:w="1560" w:type="dxa"/>
            <w:vAlign w:val="bottom"/>
          </w:tcPr>
          <w:p>
            <w:pPr>
              <w:ind w:left="60"/>
              <w:spacing w:after="0"/>
              <w:rPr>
                <w:sz w:val="20"/>
                <w:szCs w:val="20"/>
                <w:color w:val="auto"/>
              </w:rPr>
            </w:pPr>
            <w:r>
              <w:rPr>
                <w:rFonts w:ascii="Arial" w:cs="Arial" w:eastAsia="Arial" w:hAnsi="Arial"/>
                <w:sz w:val="18"/>
                <w:szCs w:val="18"/>
                <w:color w:val="auto"/>
              </w:rPr>
              <w:t>8-K</w:t>
            </w:r>
          </w:p>
        </w:tc>
        <w:tc>
          <w:tcPr>
            <w:tcW w:w="1520" w:type="dxa"/>
            <w:vAlign w:val="bottom"/>
          </w:tcPr>
          <w:p>
            <w:pPr>
              <w:ind w:left="180"/>
              <w:spacing w:after="0"/>
              <w:rPr>
                <w:sz w:val="20"/>
                <w:szCs w:val="20"/>
                <w:color w:val="auto"/>
              </w:rPr>
            </w:pPr>
            <w:r>
              <w:rPr>
                <w:rFonts w:ascii="Arial" w:cs="Arial" w:eastAsia="Arial" w:hAnsi="Arial"/>
                <w:sz w:val="18"/>
                <w:szCs w:val="18"/>
                <w:color w:val="auto"/>
              </w:rPr>
              <w:t>4.2</w:t>
            </w:r>
          </w:p>
        </w:tc>
        <w:tc>
          <w:tcPr>
            <w:tcW w:w="1100" w:type="dxa"/>
            <w:vAlign w:val="bottom"/>
          </w:tcPr>
          <w:p>
            <w:pPr>
              <w:ind w:left="120"/>
              <w:spacing w:after="0"/>
              <w:rPr>
                <w:sz w:val="20"/>
                <w:szCs w:val="20"/>
                <w:color w:val="auto"/>
              </w:rPr>
            </w:pPr>
            <w:r>
              <w:rPr>
                <w:rFonts w:ascii="Arial" w:cs="Arial" w:eastAsia="Arial" w:hAnsi="Arial"/>
                <w:sz w:val="18"/>
                <w:szCs w:val="18"/>
                <w:color w:val="auto"/>
              </w:rPr>
              <w:t>11/22/2019</w:t>
            </w:r>
          </w:p>
        </w:tc>
      </w:tr>
      <w:tr>
        <w:trPr>
          <w:trHeight w:val="229"/>
        </w:trPr>
        <w:tc>
          <w:tcPr>
            <w:tcW w:w="1000" w:type="dxa"/>
            <w:vAlign w:val="bottom"/>
          </w:tcPr>
          <w:p>
            <w:pPr>
              <w:ind w:left="100"/>
              <w:spacing w:after="0"/>
              <w:rPr>
                <w:sz w:val="20"/>
                <w:szCs w:val="20"/>
                <w:color w:val="auto"/>
              </w:rPr>
            </w:pPr>
            <w:r>
              <w:rPr>
                <w:rFonts w:ascii="Arial" w:cs="Arial" w:eastAsia="Arial" w:hAnsi="Arial"/>
                <w:sz w:val="18"/>
                <w:szCs w:val="18"/>
                <w:color w:val="auto"/>
              </w:rPr>
              <w:t>4.14</w:t>
            </w:r>
          </w:p>
        </w:tc>
        <w:tc>
          <w:tcPr>
            <w:tcW w:w="5200" w:type="dxa"/>
            <w:vAlign w:val="bottom"/>
            <w:tcBorders>
              <w:bottom w:val="single" w:sz="8" w:color="0000FF"/>
            </w:tcBorders>
            <w:gridSpan w:val="7"/>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Loan and Security Agreement, dated and effective as of August 2, 2018,</w:t>
              </w:r>
            </w:hyperlink>
          </w:p>
        </w:tc>
        <w:tc>
          <w:tcPr>
            <w:tcW w:w="560" w:type="dxa"/>
            <w:vAlign w:val="bottom"/>
            <w:gridSpan w:val="8"/>
          </w:tcPr>
          <w:p>
            <w:pPr>
              <w:spacing w:after="0"/>
              <w:rPr>
                <w:sz w:val="19"/>
                <w:szCs w:val="19"/>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8-K</w:t>
            </w:r>
          </w:p>
        </w:tc>
        <w:tc>
          <w:tcPr>
            <w:tcW w:w="1520" w:type="dxa"/>
            <w:vAlign w:val="bottom"/>
          </w:tcPr>
          <w:p>
            <w:pPr>
              <w:ind w:left="180"/>
              <w:spacing w:after="0"/>
              <w:rPr>
                <w:sz w:val="20"/>
                <w:szCs w:val="20"/>
                <w:color w:val="auto"/>
              </w:rPr>
            </w:pPr>
            <w:r>
              <w:rPr>
                <w:rFonts w:ascii="Arial" w:cs="Arial" w:eastAsia="Arial" w:hAnsi="Arial"/>
                <w:sz w:val="18"/>
                <w:szCs w:val="18"/>
                <w:color w:val="auto"/>
              </w:rPr>
              <w:t>10.1</w:t>
            </w:r>
          </w:p>
        </w:tc>
        <w:tc>
          <w:tcPr>
            <w:tcW w:w="1100" w:type="dxa"/>
            <w:vAlign w:val="bottom"/>
          </w:tcPr>
          <w:p>
            <w:pPr>
              <w:ind w:left="120"/>
              <w:spacing w:after="0"/>
              <w:rPr>
                <w:sz w:val="20"/>
                <w:szCs w:val="20"/>
                <w:color w:val="auto"/>
              </w:rPr>
            </w:pPr>
            <w:r>
              <w:rPr>
                <w:rFonts w:ascii="Arial" w:cs="Arial" w:eastAsia="Arial" w:hAnsi="Arial"/>
                <w:sz w:val="18"/>
                <w:szCs w:val="18"/>
                <w:color w:val="auto"/>
              </w:rPr>
              <w:t>8/2/2018</w:t>
            </w:r>
          </w:p>
        </w:tc>
      </w:tr>
      <w:tr>
        <w:trPr>
          <w:trHeight w:val="196"/>
        </w:trPr>
        <w:tc>
          <w:tcPr>
            <w:tcW w:w="1000" w:type="dxa"/>
            <w:vAlign w:val="bottom"/>
          </w:tcPr>
          <w:p>
            <w:pPr>
              <w:spacing w:after="0"/>
              <w:rPr>
                <w:sz w:val="17"/>
                <w:szCs w:val="17"/>
                <w:color w:val="auto"/>
              </w:rPr>
            </w:pPr>
          </w:p>
        </w:tc>
        <w:tc>
          <w:tcPr>
            <w:tcW w:w="5760" w:type="dxa"/>
            <w:vAlign w:val="bottom"/>
            <w:gridSpan w:val="15"/>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between Silicon Valley Bank and Fluidigm Corporation.</w:t>
              </w:r>
            </w:hyperlink>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000" w:type="dxa"/>
            <w:vAlign w:val="bottom"/>
          </w:tcPr>
          <w:p>
            <w:pPr>
              <w:ind w:left="100"/>
              <w:spacing w:after="0"/>
              <w:rPr>
                <w:sz w:val="20"/>
                <w:szCs w:val="20"/>
                <w:color w:val="auto"/>
              </w:rPr>
            </w:pPr>
            <w:r>
              <w:rPr>
                <w:rFonts w:ascii="Arial" w:cs="Arial" w:eastAsia="Arial" w:hAnsi="Arial"/>
                <w:sz w:val="18"/>
                <w:szCs w:val="18"/>
                <w:color w:val="auto"/>
              </w:rPr>
              <w:t>4.15</w:t>
            </w:r>
          </w:p>
        </w:tc>
        <w:tc>
          <w:tcPr>
            <w:tcW w:w="5580" w:type="dxa"/>
            <w:vAlign w:val="bottom"/>
            <w:tcBorders>
              <w:bottom w:val="single" w:sz="8" w:color="0000FF"/>
            </w:tcBorders>
            <w:gridSpan w:val="12"/>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Default Waiver and First Amendment to Loan and Security Agreement, dated</w:t>
              </w:r>
            </w:hyperlink>
          </w:p>
        </w:tc>
        <w:tc>
          <w:tcPr>
            <w:tcW w:w="180" w:type="dxa"/>
            <w:vAlign w:val="bottom"/>
            <w:gridSpan w:val="3"/>
          </w:tcPr>
          <w:p>
            <w:pPr>
              <w:spacing w:after="0"/>
              <w:rPr>
                <w:sz w:val="21"/>
                <w:szCs w:val="21"/>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10-K</w:t>
            </w:r>
          </w:p>
        </w:tc>
        <w:tc>
          <w:tcPr>
            <w:tcW w:w="1520" w:type="dxa"/>
            <w:vAlign w:val="bottom"/>
          </w:tcPr>
          <w:p>
            <w:pPr>
              <w:ind w:left="180"/>
              <w:spacing w:after="0"/>
              <w:rPr>
                <w:sz w:val="20"/>
                <w:szCs w:val="20"/>
                <w:color w:val="auto"/>
              </w:rPr>
            </w:pPr>
            <w:r>
              <w:rPr>
                <w:rFonts w:ascii="Arial" w:cs="Arial" w:eastAsia="Arial" w:hAnsi="Arial"/>
                <w:sz w:val="18"/>
                <w:szCs w:val="18"/>
                <w:color w:val="auto"/>
              </w:rPr>
              <w:t>10.13A</w:t>
            </w:r>
          </w:p>
        </w:tc>
        <w:tc>
          <w:tcPr>
            <w:tcW w:w="1100" w:type="dxa"/>
            <w:vAlign w:val="bottom"/>
          </w:tcPr>
          <w:p>
            <w:pPr>
              <w:ind w:left="120"/>
              <w:spacing w:after="0"/>
              <w:rPr>
                <w:sz w:val="20"/>
                <w:szCs w:val="20"/>
                <w:color w:val="auto"/>
              </w:rPr>
            </w:pPr>
            <w:r>
              <w:rPr>
                <w:rFonts w:ascii="Arial" w:cs="Arial" w:eastAsia="Arial" w:hAnsi="Arial"/>
                <w:sz w:val="18"/>
                <w:szCs w:val="18"/>
                <w:color w:val="auto"/>
              </w:rPr>
              <w:t>2/27/2020</w:t>
            </w:r>
          </w:p>
        </w:tc>
      </w:tr>
      <w:tr>
        <w:trPr>
          <w:trHeight w:val="237"/>
        </w:trPr>
        <w:tc>
          <w:tcPr>
            <w:tcW w:w="1000" w:type="dxa"/>
            <w:vAlign w:val="bottom"/>
          </w:tcPr>
          <w:p>
            <w:pPr>
              <w:spacing w:after="0"/>
              <w:rPr>
                <w:sz w:val="20"/>
                <w:szCs w:val="20"/>
                <w:color w:val="auto"/>
              </w:rPr>
            </w:pPr>
          </w:p>
        </w:tc>
        <w:tc>
          <w:tcPr>
            <w:tcW w:w="5760" w:type="dxa"/>
            <w:vAlign w:val="bottom"/>
            <w:gridSpan w:val="15"/>
          </w:tcPr>
          <w:p>
            <w:pPr>
              <w:spacing w:after="0"/>
              <w:rPr>
                <w:rFonts w:ascii="Arial" w:cs="Arial" w:eastAsia="Arial" w:hAnsi="Arial"/>
                <w:sz w:val="18"/>
                <w:szCs w:val="18"/>
                <w:u w:val="single" w:color="auto"/>
                <w:color w:val="0000FF"/>
                <w:w w:val="95"/>
              </w:rPr>
            </w:pPr>
            <w:hyperlink r:id="rId34">
              <w:r>
                <w:rPr>
                  <w:rFonts w:ascii="Arial" w:cs="Arial" w:eastAsia="Arial" w:hAnsi="Arial"/>
                  <w:sz w:val="18"/>
                  <w:szCs w:val="18"/>
                  <w:u w:val="single" w:color="auto"/>
                  <w:color w:val="0000FF"/>
                  <w:w w:val="95"/>
                </w:rPr>
                <w:t>September 1, 2018, between Fluidigm Corporation and Silicon Valley Bank.</w:t>
              </w:r>
            </w:hyperlink>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1000" w:type="dxa"/>
            <w:vAlign w:val="bottom"/>
          </w:tcPr>
          <w:p>
            <w:pPr>
              <w:ind w:left="100"/>
              <w:spacing w:after="0"/>
              <w:rPr>
                <w:sz w:val="20"/>
                <w:szCs w:val="20"/>
                <w:color w:val="auto"/>
              </w:rPr>
            </w:pPr>
            <w:r>
              <w:rPr>
                <w:rFonts w:ascii="Arial" w:cs="Arial" w:eastAsia="Arial" w:hAnsi="Arial"/>
                <w:sz w:val="18"/>
                <w:szCs w:val="18"/>
                <w:color w:val="auto"/>
              </w:rPr>
              <w:t>4.16</w:t>
            </w:r>
          </w:p>
        </w:tc>
        <w:tc>
          <w:tcPr>
            <w:tcW w:w="5760" w:type="dxa"/>
            <w:vAlign w:val="bottom"/>
            <w:gridSpan w:val="15"/>
          </w:tcPr>
          <w:p>
            <w:pPr>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Second Amendment to Loan and Security Agreement, dated November 20,</w:t>
              </w:r>
            </w:hyperlink>
          </w:p>
        </w:tc>
        <w:tc>
          <w:tcPr>
            <w:tcW w:w="1560" w:type="dxa"/>
            <w:vAlign w:val="bottom"/>
          </w:tcPr>
          <w:p>
            <w:pPr>
              <w:ind w:left="60"/>
              <w:spacing w:after="0"/>
              <w:rPr>
                <w:sz w:val="20"/>
                <w:szCs w:val="20"/>
                <w:color w:val="auto"/>
              </w:rPr>
            </w:pPr>
            <w:r>
              <w:rPr>
                <w:rFonts w:ascii="Arial" w:cs="Arial" w:eastAsia="Arial" w:hAnsi="Arial"/>
                <w:sz w:val="18"/>
                <w:szCs w:val="18"/>
                <w:color w:val="auto"/>
              </w:rPr>
              <w:t>8-K</w:t>
            </w:r>
          </w:p>
        </w:tc>
        <w:tc>
          <w:tcPr>
            <w:tcW w:w="1520" w:type="dxa"/>
            <w:vAlign w:val="bottom"/>
          </w:tcPr>
          <w:p>
            <w:pPr>
              <w:ind w:left="180"/>
              <w:spacing w:after="0"/>
              <w:rPr>
                <w:sz w:val="20"/>
                <w:szCs w:val="20"/>
                <w:color w:val="auto"/>
              </w:rPr>
            </w:pPr>
            <w:r>
              <w:rPr>
                <w:rFonts w:ascii="Arial" w:cs="Arial" w:eastAsia="Arial" w:hAnsi="Arial"/>
                <w:sz w:val="18"/>
                <w:szCs w:val="18"/>
                <w:color w:val="auto"/>
              </w:rPr>
              <w:t>10.2</w:t>
            </w:r>
          </w:p>
        </w:tc>
        <w:tc>
          <w:tcPr>
            <w:tcW w:w="1100" w:type="dxa"/>
            <w:vAlign w:val="bottom"/>
          </w:tcPr>
          <w:p>
            <w:pPr>
              <w:ind w:left="120"/>
              <w:spacing w:after="0"/>
              <w:rPr>
                <w:sz w:val="20"/>
                <w:szCs w:val="20"/>
                <w:color w:val="auto"/>
              </w:rPr>
            </w:pPr>
            <w:r>
              <w:rPr>
                <w:rFonts w:ascii="Arial" w:cs="Arial" w:eastAsia="Arial" w:hAnsi="Arial"/>
                <w:sz w:val="18"/>
                <w:szCs w:val="18"/>
                <w:color w:val="auto"/>
              </w:rPr>
              <w:t>11/22/2019</w:t>
            </w:r>
          </w:p>
        </w:tc>
      </w:tr>
      <w:tr>
        <w:trPr>
          <w:trHeight w:val="237"/>
        </w:trPr>
        <w:tc>
          <w:tcPr>
            <w:tcW w:w="1000" w:type="dxa"/>
            <w:vAlign w:val="bottom"/>
          </w:tcPr>
          <w:p>
            <w:pPr>
              <w:spacing w:after="0"/>
              <w:rPr>
                <w:sz w:val="20"/>
                <w:szCs w:val="20"/>
                <w:color w:val="auto"/>
              </w:rPr>
            </w:pPr>
          </w:p>
        </w:tc>
        <w:tc>
          <w:tcPr>
            <w:tcW w:w="540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2019, between Fluidigm Corporation and Silicon Valley Bank.</w:t>
              </w:r>
            </w:hyperlink>
          </w:p>
        </w:tc>
        <w:tc>
          <w:tcPr>
            <w:tcW w:w="360" w:type="dxa"/>
            <w:vAlign w:val="bottom"/>
            <w:gridSpan w:val="5"/>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1000" w:type="dxa"/>
            <w:vAlign w:val="bottom"/>
          </w:tcPr>
          <w:p>
            <w:pPr>
              <w:ind w:left="100"/>
              <w:spacing w:after="0"/>
              <w:rPr>
                <w:sz w:val="20"/>
                <w:szCs w:val="20"/>
                <w:color w:val="auto"/>
              </w:rPr>
            </w:pPr>
            <w:r>
              <w:rPr>
                <w:rFonts w:ascii="Arial" w:cs="Arial" w:eastAsia="Arial" w:hAnsi="Arial"/>
                <w:sz w:val="18"/>
                <w:szCs w:val="18"/>
                <w:color w:val="auto"/>
              </w:rPr>
              <w:t>4.17</w:t>
            </w:r>
          </w:p>
        </w:tc>
        <w:tc>
          <w:tcPr>
            <w:tcW w:w="5760" w:type="dxa"/>
            <w:vAlign w:val="bottom"/>
            <w:gridSpan w:val="15"/>
          </w:tcPr>
          <w:p>
            <w:pPr>
              <w:spacing w:after="0"/>
              <w:rPr>
                <w:rFonts w:ascii="Arial" w:cs="Arial" w:eastAsia="Arial" w:hAnsi="Arial"/>
                <w:sz w:val="18"/>
                <w:szCs w:val="18"/>
                <w:color w:val="0000FF"/>
                <w:w w:val="98"/>
              </w:rPr>
            </w:pPr>
            <w:hyperlink r:id="rId36">
              <w:r>
                <w:rPr>
                  <w:rFonts w:ascii="Arial" w:cs="Arial" w:eastAsia="Arial" w:hAnsi="Arial"/>
                  <w:sz w:val="18"/>
                  <w:szCs w:val="18"/>
                  <w:color w:val="0000FF"/>
                  <w:w w:val="98"/>
                </w:rPr>
                <w:t>Third Amendment to Loan and Security Agreement, dated April 21, 2020,</w:t>
              </w:r>
            </w:hyperlink>
          </w:p>
        </w:tc>
        <w:tc>
          <w:tcPr>
            <w:tcW w:w="1560" w:type="dxa"/>
            <w:vAlign w:val="bottom"/>
          </w:tcPr>
          <w:p>
            <w:pPr>
              <w:ind w:left="60"/>
              <w:spacing w:after="0"/>
              <w:rPr>
                <w:sz w:val="20"/>
                <w:szCs w:val="20"/>
                <w:color w:val="auto"/>
              </w:rPr>
            </w:pPr>
            <w:r>
              <w:rPr>
                <w:rFonts w:ascii="Arial" w:cs="Arial" w:eastAsia="Arial" w:hAnsi="Arial"/>
                <w:sz w:val="18"/>
                <w:szCs w:val="18"/>
                <w:color w:val="auto"/>
              </w:rPr>
              <w:t>8-K</w:t>
            </w:r>
          </w:p>
        </w:tc>
        <w:tc>
          <w:tcPr>
            <w:tcW w:w="1520" w:type="dxa"/>
            <w:vAlign w:val="bottom"/>
          </w:tcPr>
          <w:p>
            <w:pPr>
              <w:ind w:left="180"/>
              <w:spacing w:after="0"/>
              <w:rPr>
                <w:sz w:val="20"/>
                <w:szCs w:val="20"/>
                <w:color w:val="auto"/>
              </w:rPr>
            </w:pPr>
            <w:r>
              <w:rPr>
                <w:rFonts w:ascii="Arial" w:cs="Arial" w:eastAsia="Arial" w:hAnsi="Arial"/>
                <w:sz w:val="18"/>
                <w:szCs w:val="18"/>
                <w:color w:val="auto"/>
              </w:rPr>
              <w:t>10.1</w:t>
            </w:r>
          </w:p>
        </w:tc>
        <w:tc>
          <w:tcPr>
            <w:tcW w:w="1100" w:type="dxa"/>
            <w:vAlign w:val="bottom"/>
          </w:tcPr>
          <w:p>
            <w:pPr>
              <w:ind w:left="120"/>
              <w:spacing w:after="0"/>
              <w:rPr>
                <w:sz w:val="20"/>
                <w:szCs w:val="20"/>
                <w:color w:val="auto"/>
              </w:rPr>
            </w:pPr>
            <w:r>
              <w:rPr>
                <w:rFonts w:ascii="Arial" w:cs="Arial" w:eastAsia="Arial" w:hAnsi="Arial"/>
                <w:sz w:val="18"/>
                <w:szCs w:val="18"/>
                <w:color w:val="auto"/>
              </w:rPr>
              <w:t>4/21/2020</w:t>
            </w:r>
          </w:p>
        </w:tc>
      </w:tr>
      <w:tr>
        <w:trPr>
          <w:trHeight w:val="196"/>
        </w:trPr>
        <w:tc>
          <w:tcPr>
            <w:tcW w:w="1000" w:type="dxa"/>
            <w:vAlign w:val="bottom"/>
          </w:tcPr>
          <w:p>
            <w:pPr>
              <w:spacing w:after="0"/>
              <w:rPr>
                <w:sz w:val="17"/>
                <w:szCs w:val="17"/>
                <w:color w:val="auto"/>
              </w:rPr>
            </w:pPr>
          </w:p>
        </w:tc>
        <w:tc>
          <w:tcPr>
            <w:tcW w:w="534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between Fluidigm Corporation and Silicon Valley Bank.</w:t>
              </w:r>
            </w:hyperlink>
          </w:p>
        </w:tc>
        <w:tc>
          <w:tcPr>
            <w:tcW w:w="420" w:type="dxa"/>
            <w:vAlign w:val="bottom"/>
            <w:gridSpan w:val="6"/>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90"/>
        </w:trPr>
        <w:tc>
          <w:tcPr>
            <w:tcW w:w="1000" w:type="dxa"/>
            <w:vAlign w:val="bottom"/>
          </w:tcPr>
          <w:p>
            <w:pPr>
              <w:ind w:left="100"/>
              <w:spacing w:after="0"/>
              <w:rPr>
                <w:sz w:val="20"/>
                <w:szCs w:val="20"/>
                <w:color w:val="auto"/>
              </w:rPr>
            </w:pPr>
            <w:r>
              <w:rPr>
                <w:rFonts w:ascii="Arial" w:cs="Arial" w:eastAsia="Arial" w:hAnsi="Arial"/>
                <w:sz w:val="18"/>
                <w:szCs w:val="18"/>
                <w:color w:val="auto"/>
              </w:rPr>
              <w:t>5.1</w:t>
            </w:r>
          </w:p>
        </w:tc>
        <w:tc>
          <w:tcPr>
            <w:tcW w:w="5760" w:type="dxa"/>
            <w:vAlign w:val="bottom"/>
            <w:gridSpan w:val="15"/>
          </w:tcPr>
          <w:p>
            <w:pPr>
              <w:spacing w:after="0"/>
              <w:rPr>
                <w:rFonts w:ascii="Arial" w:cs="Arial" w:eastAsia="Arial" w:hAnsi="Arial"/>
                <w:sz w:val="18"/>
                <w:szCs w:val="18"/>
                <w:color w:val="0000FF"/>
              </w:rPr>
            </w:pPr>
            <w:hyperlink w:anchor="page10">
              <w:r>
                <w:rPr>
                  <w:rFonts w:ascii="Arial" w:cs="Arial" w:eastAsia="Arial" w:hAnsi="Arial"/>
                  <w:sz w:val="18"/>
                  <w:szCs w:val="18"/>
                  <w:u w:val="single" w:color="auto"/>
                  <w:color w:val="0000FF"/>
                </w:rPr>
                <w:t>Opinion of Wilson Sonsini Goodrich &amp; Rosati, Professional Corporation</w:t>
              </w:r>
              <w:r>
                <w:rPr>
                  <w:rFonts w:ascii="Arial" w:cs="Arial" w:eastAsia="Arial" w:hAnsi="Arial"/>
                  <w:sz w:val="18"/>
                  <w:szCs w:val="18"/>
                  <w:color w:val="0000FF"/>
                </w:rPr>
                <w:t>.</w:t>
              </w:r>
            </w:hyperlink>
          </w:p>
        </w:tc>
        <w:tc>
          <w:tcPr>
            <w:tcW w:w="156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1000" w:type="dxa"/>
            <w:vAlign w:val="bottom"/>
          </w:tcPr>
          <w:p>
            <w:pPr>
              <w:ind w:left="60"/>
              <w:spacing w:after="0"/>
              <w:rPr>
                <w:sz w:val="20"/>
                <w:szCs w:val="20"/>
                <w:color w:val="auto"/>
              </w:rPr>
            </w:pPr>
            <w:r>
              <w:rPr>
                <w:rFonts w:ascii="Arial" w:cs="Arial" w:eastAsia="Arial" w:hAnsi="Arial"/>
                <w:sz w:val="18"/>
                <w:szCs w:val="18"/>
                <w:color w:val="auto"/>
              </w:rPr>
              <w:t>23.1</w:t>
            </w:r>
          </w:p>
        </w:tc>
        <w:tc>
          <w:tcPr>
            <w:tcW w:w="526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Consent of PricewaterhouseCoopers LLP, Independent Registered Public</w:t>
              </w:r>
            </w:hyperlink>
          </w:p>
        </w:tc>
        <w:tc>
          <w:tcPr>
            <w:tcW w:w="500" w:type="dxa"/>
            <w:vAlign w:val="bottom"/>
            <w:gridSpan w:val="7"/>
          </w:tcPr>
          <w:p>
            <w:pPr>
              <w:spacing w:after="0"/>
              <w:rPr>
                <w:sz w:val="19"/>
                <w:szCs w:val="19"/>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w:anchor="page11">
              <w:r>
                <w:rPr>
                  <w:rFonts w:ascii="Arial" w:cs="Arial" w:eastAsia="Arial" w:hAnsi="Arial"/>
                  <w:sz w:val="18"/>
                  <w:szCs w:val="18"/>
                  <w:color w:val="0000FF"/>
                  <w:w w:val="93"/>
                </w:rPr>
                <w:t>Accounting Firm.</w:t>
              </w:r>
            </w:hyperlink>
          </w:p>
        </w:tc>
        <w:tc>
          <w:tcPr>
            <w:tcW w:w="4480" w:type="dxa"/>
            <w:vAlign w:val="bottom"/>
            <w:gridSpan w:val="13"/>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6"/>
        </w:trPr>
        <w:tc>
          <w:tcPr>
            <w:tcW w:w="1000" w:type="dxa"/>
            <w:vAlign w:val="bottom"/>
          </w:tcPr>
          <w:p>
            <w:pPr>
              <w:ind w:left="60"/>
              <w:spacing w:after="0"/>
              <w:rPr>
                <w:sz w:val="20"/>
                <w:szCs w:val="20"/>
                <w:color w:val="auto"/>
              </w:rPr>
            </w:pPr>
            <w:r>
              <w:rPr>
                <w:rFonts w:ascii="Arial" w:cs="Arial" w:eastAsia="Arial" w:hAnsi="Arial"/>
                <w:sz w:val="18"/>
                <w:szCs w:val="18"/>
                <w:color w:val="auto"/>
              </w:rPr>
              <w:t>23.3</w:t>
            </w:r>
          </w:p>
        </w:tc>
        <w:tc>
          <w:tcPr>
            <w:tcW w:w="5760" w:type="dxa"/>
            <w:vAlign w:val="bottom"/>
            <w:gridSpan w:val="15"/>
          </w:tcPr>
          <w:p>
            <w:pPr>
              <w:spacing w:after="0"/>
              <w:rPr>
                <w:sz w:val="20"/>
                <w:szCs w:val="20"/>
                <w:color w:val="auto"/>
              </w:rPr>
            </w:pPr>
            <w:r>
              <w:rPr>
                <w:rFonts w:ascii="Arial" w:cs="Arial" w:eastAsia="Arial" w:hAnsi="Arial"/>
                <w:sz w:val="18"/>
                <w:szCs w:val="18"/>
                <w:color w:val="auto"/>
              </w:rPr>
              <w:t>Consent of Wilson Sonsini Goodrich &amp; Rosati, Professional Corporation</w:t>
            </w: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5760" w:type="dxa"/>
            <w:vAlign w:val="bottom"/>
            <w:gridSpan w:val="15"/>
          </w:tcPr>
          <w:p>
            <w:pPr>
              <w:spacing w:after="0"/>
              <w:rPr>
                <w:sz w:val="20"/>
                <w:szCs w:val="20"/>
                <w:color w:val="auto"/>
              </w:rPr>
            </w:pPr>
            <w:r>
              <w:rPr>
                <w:rFonts w:ascii="Arial" w:cs="Arial" w:eastAsia="Arial" w:hAnsi="Arial"/>
                <w:sz w:val="18"/>
                <w:szCs w:val="18"/>
                <w:color w:val="auto"/>
              </w:rPr>
              <w:t>(contained in Exhibit 5.1 hereto).</w:t>
            </w: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5760" w:type="dxa"/>
            <w:vAlign w:val="bottom"/>
            <w:gridSpan w:val="15"/>
          </w:tcPr>
          <w:p>
            <w:pPr>
              <w:spacing w:after="0"/>
              <w:rPr>
                <w:sz w:val="20"/>
                <w:szCs w:val="20"/>
                <w:color w:val="auto"/>
              </w:rPr>
            </w:pPr>
            <w:r>
              <w:rPr>
                <w:rFonts w:ascii="Arial" w:cs="Arial" w:eastAsia="Arial" w:hAnsi="Arial"/>
                <w:sz w:val="18"/>
                <w:szCs w:val="18"/>
                <w:color w:val="auto"/>
              </w:rPr>
              <w:t>Power of Attorney (contained on signature page hereto).</w:t>
            </w:r>
          </w:p>
        </w:tc>
        <w:tc>
          <w:tcPr>
            <w:tcW w:w="15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 contract, or arrangement.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Undertakings.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The undersigned Registrant hereby undertakes:</w:t>
      </w:r>
    </w:p>
    <w:p>
      <w:pPr>
        <w:spacing w:after="0" w:line="216"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38" w:lineRule="exact"/>
        <w:rPr>
          <w:rFonts w:ascii="Arial" w:cs="Arial" w:eastAsia="Arial" w:hAnsi="Arial"/>
          <w:sz w:val="18"/>
          <w:szCs w:val="18"/>
          <w:color w:val="auto"/>
        </w:rPr>
      </w:pPr>
    </w:p>
    <w:p>
      <w:pPr>
        <w:ind w:left="1540" w:hanging="236"/>
        <w:spacing w:after="0"/>
        <w:tabs>
          <w:tab w:leader="none" w:pos="1540" w:val="left"/>
        </w:tabs>
        <w:numPr>
          <w:ilvl w:val="1"/>
          <w:numId w:val="6"/>
        </w:numPr>
        <w:rPr>
          <w:rFonts w:ascii="Arial" w:cs="Arial" w:eastAsia="Arial" w:hAnsi="Arial"/>
          <w:sz w:val="20"/>
          <w:szCs w:val="20"/>
          <w:color w:val="auto"/>
        </w:rPr>
      </w:pPr>
      <w:r>
        <w:rPr>
          <w:rFonts w:ascii="Arial" w:cs="Arial" w:eastAsia="Arial" w:hAnsi="Arial"/>
          <w:sz w:val="20"/>
          <w:szCs w:val="20"/>
          <w:color w:val="auto"/>
        </w:rPr>
        <w:t>To include any prospectus required by Section 10(a)(3) of the Securities Act of 1933;</w:t>
      </w:r>
    </w:p>
    <w:p>
      <w:pPr>
        <w:spacing w:after="0" w:line="215" w:lineRule="exact"/>
        <w:rPr>
          <w:rFonts w:ascii="Arial" w:cs="Arial" w:eastAsia="Arial" w:hAnsi="Arial"/>
          <w:sz w:val="20"/>
          <w:szCs w:val="20"/>
          <w:color w:val="auto"/>
        </w:rPr>
      </w:pPr>
    </w:p>
    <w:p>
      <w:pPr>
        <w:ind w:left="1300" w:firstLine="4"/>
        <w:spacing w:after="0" w:line="291" w:lineRule="auto"/>
        <w:tabs>
          <w:tab w:leader="none" w:pos="1591"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40"/>
          </w:cols>
          <w:pgMar w:left="320" w:top="1440" w:right="539" w:bottom="1440" w:gutter="0" w:footer="0" w:header="0"/>
        </w:sectPr>
      </w:pPr>
    </w:p>
    <w:bookmarkStart w:id="7" w:name="page8"/>
    <w:bookmarkEnd w:id="7"/>
    <w:p>
      <w:pPr>
        <w:spacing w:after="0" w:line="200" w:lineRule="exact"/>
        <w:rPr>
          <w:sz w:val="20"/>
          <w:szCs w:val="20"/>
          <w:color w:val="auto"/>
        </w:rPr>
      </w:pPr>
    </w:p>
    <w:p>
      <w:pPr>
        <w:spacing w:after="0" w:line="252" w:lineRule="exact"/>
        <w:rPr>
          <w:sz w:val="20"/>
          <w:szCs w:val="20"/>
          <w:color w:val="auto"/>
        </w:rPr>
      </w:pPr>
    </w:p>
    <w:p>
      <w:pPr>
        <w:ind w:left="1300" w:right="100"/>
        <w:spacing w:after="0" w:line="244" w:lineRule="auto"/>
        <w:rPr>
          <w:sz w:val="20"/>
          <w:szCs w:val="20"/>
          <w:color w:val="auto"/>
        </w:rPr>
      </w:pPr>
      <w:r>
        <w:rPr>
          <w:rFonts w:ascii="Arial" w:cs="Arial" w:eastAsia="Arial" w:hAnsi="Arial"/>
          <w:sz w:val="20"/>
          <w:szCs w:val="20"/>
          <w:color w:val="auto"/>
        </w:rPr>
        <w:t>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94" w:lineRule="exact"/>
        <w:rPr>
          <w:sz w:val="20"/>
          <w:szCs w:val="20"/>
          <w:color w:val="auto"/>
        </w:rPr>
      </w:pPr>
    </w:p>
    <w:p>
      <w:pPr>
        <w:ind w:left="1300" w:right="180" w:firstLine="4"/>
        <w:spacing w:after="0" w:line="260" w:lineRule="auto"/>
        <w:tabs>
          <w:tab w:leader="none" w:pos="1646"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include any material information with respect to the plan of distribution not previously disclosed in the Registration Statement or any material change to such information in the Registration Statement.</w:t>
      </w:r>
    </w:p>
    <w:p>
      <w:pPr>
        <w:spacing w:after="0" w:line="177" w:lineRule="exact"/>
        <w:rPr>
          <w:sz w:val="20"/>
          <w:szCs w:val="20"/>
          <w:color w:val="auto"/>
        </w:rPr>
      </w:pPr>
    </w:p>
    <w:p>
      <w:pPr>
        <w:ind w:right="480"/>
        <w:spacing w:after="0" w:line="291"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52" w:lineRule="exact"/>
        <w:rPr>
          <w:sz w:val="20"/>
          <w:szCs w:val="20"/>
          <w:color w:val="auto"/>
        </w:rPr>
      </w:pPr>
    </w:p>
    <w:p>
      <w:pPr>
        <w:ind w:left="660" w:hanging="4"/>
        <w:spacing w:after="0" w:line="250" w:lineRule="auto"/>
        <w:tabs>
          <w:tab w:leader="none" w:pos="940" w:val="left"/>
        </w:tabs>
        <w:numPr>
          <w:ilvl w:val="1"/>
          <w:numId w:val="8"/>
        </w:numPr>
        <w:rPr>
          <w:rFonts w:ascii="Arial" w:cs="Arial" w:eastAsia="Arial" w:hAnsi="Arial"/>
          <w:sz w:val="20"/>
          <w:szCs w:val="20"/>
          <w:color w:val="auto"/>
        </w:rPr>
      </w:pPr>
      <w:r>
        <w:rPr>
          <w:rFonts w:ascii="Arial" w:cs="Arial" w:eastAsia="Arial" w:hAnsi="Arial"/>
          <w:sz w:val="20"/>
          <w:szCs w:val="20"/>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5" w:lineRule="exact"/>
        <w:rPr>
          <w:rFonts w:ascii="Arial" w:cs="Arial" w:eastAsia="Arial" w:hAnsi="Arial"/>
          <w:sz w:val="20"/>
          <w:szCs w:val="20"/>
          <w:color w:val="auto"/>
        </w:rPr>
      </w:pPr>
    </w:p>
    <w:p>
      <w:pPr>
        <w:ind w:left="660" w:right="140" w:hanging="4"/>
        <w:spacing w:after="0" w:line="260" w:lineRule="auto"/>
        <w:tabs>
          <w:tab w:leader="none" w:pos="940" w:val="left"/>
        </w:tabs>
        <w:numPr>
          <w:ilvl w:val="1"/>
          <w:numId w:val="8"/>
        </w:numPr>
        <w:rPr>
          <w:rFonts w:ascii="Arial" w:cs="Arial" w:eastAsia="Arial" w:hAnsi="Arial"/>
          <w:sz w:val="20"/>
          <w:szCs w:val="20"/>
          <w:color w:val="auto"/>
        </w:rPr>
      </w:pPr>
      <w:r>
        <w:rPr>
          <w:rFonts w:ascii="Arial" w:cs="Arial" w:eastAsia="Arial" w:hAnsi="Arial"/>
          <w:sz w:val="20"/>
          <w:szCs w:val="20"/>
          <w:color w:val="auto"/>
        </w:rPr>
        <w:t>To remove from registration by means of a post-effective amendment any of the securities being registered which remain unsold at the termination of the offering.</w:t>
      </w:r>
    </w:p>
    <w:p>
      <w:pPr>
        <w:spacing w:after="0" w:line="176" w:lineRule="exact"/>
        <w:rPr>
          <w:rFonts w:ascii="Arial" w:cs="Arial" w:eastAsia="Arial" w:hAnsi="Arial"/>
          <w:sz w:val="20"/>
          <w:szCs w:val="20"/>
          <w:color w:val="auto"/>
        </w:rPr>
      </w:pPr>
    </w:p>
    <w:p>
      <w:pPr>
        <w:ind w:right="40" w:firstLine="8"/>
        <w:spacing w:after="0" w:line="278" w:lineRule="auto"/>
        <w:tabs>
          <w:tab w:leader="none" w:pos="23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64" w:lineRule="exact"/>
        <w:rPr>
          <w:rFonts w:ascii="Arial" w:cs="Arial" w:eastAsia="Arial" w:hAnsi="Arial"/>
          <w:sz w:val="18"/>
          <w:szCs w:val="18"/>
          <w:color w:val="auto"/>
        </w:rPr>
      </w:pPr>
    </w:p>
    <w:p>
      <w:pPr>
        <w:ind w:right="240" w:firstLine="8"/>
        <w:spacing w:after="0" w:line="256" w:lineRule="auto"/>
        <w:tabs>
          <w:tab w:leader="none" w:pos="231" w:val="left"/>
        </w:tabs>
        <w:numPr>
          <w:ilvl w:val="0"/>
          <w:numId w:val="9"/>
        </w:numPr>
        <w:rPr>
          <w:rFonts w:ascii="Arial" w:cs="Arial" w:eastAsia="Arial" w:hAnsi="Arial"/>
          <w:sz w:val="19"/>
          <w:szCs w:val="19"/>
          <w:color w:val="auto"/>
        </w:rPr>
      </w:pPr>
      <w:r>
        <w:rPr>
          <w:rFonts w:ascii="Arial" w:cs="Arial" w:eastAsia="Arial" w:hAnsi="Arial"/>
          <w:sz w:val="19"/>
          <w:szCs w:val="19"/>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260" w:firstLine="648"/>
        <w:spacing w:after="0" w:line="28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July 10, 2020.</w:t>
      </w:r>
    </w:p>
    <w:p>
      <w:pPr>
        <w:spacing w:after="0" w:line="2"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Fluidigm Corporation</w:t>
      </w:r>
    </w:p>
    <w:p>
      <w:pPr>
        <w:spacing w:after="0" w:line="60" w:lineRule="exact"/>
        <w:rPr>
          <w:sz w:val="20"/>
          <w:szCs w:val="20"/>
          <w:color w:val="auto"/>
        </w:rPr>
      </w:pPr>
    </w:p>
    <w:p>
      <w:pPr>
        <w:ind w:left="5000"/>
        <w:spacing w:after="0"/>
        <w:tabs>
          <w:tab w:leader="none" w:pos="6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27305</wp:posOffset>
            </wp:positionV>
            <wp:extent cx="2700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41" w:lineRule="exact"/>
        <w:rPr>
          <w:sz w:val="20"/>
          <w:szCs w:val="20"/>
          <w:color w:val="auto"/>
        </w:rPr>
      </w:pPr>
    </w:p>
    <w:p>
      <w:pPr>
        <w:jc w:val="center"/>
        <w:ind w:left="4000"/>
        <w:spacing w:after="0"/>
        <w:rPr>
          <w:sz w:val="20"/>
          <w:szCs w:val="20"/>
          <w:color w:val="auto"/>
        </w:rPr>
      </w:pPr>
      <w:r>
        <w:rPr>
          <w:rFonts w:ascii="Arial" w:cs="Arial" w:eastAsia="Arial" w:hAnsi="Arial"/>
          <w:sz w:val="20"/>
          <w:szCs w:val="20"/>
          <w:b w:val="1"/>
          <w:bCs w:val="1"/>
          <w:color w:val="auto"/>
        </w:rPr>
        <w:t>Stephen Christopher Linthwaite</w:t>
      </w:r>
    </w:p>
    <w:p>
      <w:pPr>
        <w:spacing w:after="0" w:line="54" w:lineRule="exact"/>
        <w:rPr>
          <w:sz w:val="20"/>
          <w:szCs w:val="20"/>
          <w:color w:val="auto"/>
        </w:rPr>
      </w:pPr>
    </w:p>
    <w:p>
      <w:pPr>
        <w:jc w:val="center"/>
        <w:ind w:left="4000"/>
        <w:spacing w:after="0"/>
        <w:rPr>
          <w:sz w:val="20"/>
          <w:szCs w:val="20"/>
          <w:color w:val="auto"/>
        </w:rPr>
      </w:pPr>
      <w:r>
        <w:rPr>
          <w:rFonts w:ascii="Arial" w:cs="Arial" w:eastAsia="Arial" w:hAnsi="Arial"/>
          <w:sz w:val="20"/>
          <w:szCs w:val="20"/>
          <w:b w:val="1"/>
          <w:bCs w:val="1"/>
          <w:color w:val="auto"/>
        </w:rPr>
        <w:t>President and Chief Executive Officer</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POWER OF ATTORNEY</w:t>
      </w:r>
    </w:p>
    <w:p>
      <w:pPr>
        <w:spacing w:after="0" w:line="222" w:lineRule="exact"/>
        <w:rPr>
          <w:sz w:val="20"/>
          <w:szCs w:val="20"/>
          <w:color w:val="auto"/>
        </w:rPr>
      </w:pPr>
    </w:p>
    <w:p>
      <w:pPr>
        <w:ind w:right="60" w:firstLine="648"/>
        <w:spacing w:after="0" w:line="269"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Stephen Christopher Linthwaite and Vikram Jog, and each of them severally, as his or her true and lawful attorneys-in-fact and agents, with full power of substitution and resubstitution, for him or her and in his or her name, place and stead, in any and all capacities, to sign the Registration Statement on Form S-8 of Fluidigm Corporation, and to sign, date and file any and all amendments thereto (including post-effective amendments to this Registration Statement, in each case on his or her behalf, in any and all capacities stated below, as appropriate, in such forms as they or any one of them may approve),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to the end that such Registration Statement or Registration Statements shall comply with the Securities Act of 1933, as amended, and the applicable Rules and Regulations adopted or issued pursuant thereto, as fully for all intents and purposes as he or she might or could do in person, hereby and about the premises hereby ratifying and confirming all that said attorneys-in-fact and agent, proxy and agent, or his, her or their substitute or substitutes, may lawfully do or cause to be done by virtue hereof, and generally to do all such things on their behalf in their capacities as officers and directors to enable the Registrant to comply with the provisions of the Securities Act of 1933, as amended, and all requirements of the Securities and Exchange Commission.</w:t>
      </w:r>
    </w:p>
    <w:p>
      <w:pPr>
        <w:spacing w:after="0" w:line="181"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Pursuant to the requirements of the Securities Act of 1933, this Registration Statement has been signed by the following persons in the capacities and on the dates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100" w:type="dxa"/>
            <w:vAlign w:val="bottom"/>
          </w:tcPr>
          <w:p>
            <w:pPr>
              <w:spacing w:after="0"/>
              <w:rPr>
                <w:sz w:val="18"/>
                <w:szCs w:val="18"/>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Title</w:t>
            </w: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33"/>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63"/>
        </w:trPr>
        <w:tc>
          <w:tcPr>
            <w:tcW w:w="3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President, Chief Executive Officer, and Director (Principal</w:t>
            </w:r>
          </w:p>
        </w:tc>
        <w:tc>
          <w:tcPr>
            <w:tcW w:w="2420" w:type="dxa"/>
            <w:vAlign w:val="bottom"/>
          </w:tcPr>
          <w:p>
            <w:pPr>
              <w:spacing w:after="0"/>
              <w:rPr>
                <w:sz w:val="22"/>
                <w:szCs w:val="22"/>
                <w:color w:val="auto"/>
              </w:rPr>
            </w:pPr>
          </w:p>
        </w:tc>
      </w:tr>
      <w:tr>
        <w:trPr>
          <w:trHeight w:val="230"/>
        </w:trPr>
        <w:tc>
          <w:tcPr>
            <w:tcW w:w="3940" w:type="dxa"/>
            <w:vAlign w:val="bottom"/>
          </w:tcPr>
          <w:p>
            <w:pPr>
              <w:jc w:val="center"/>
              <w:spacing w:after="0"/>
              <w:rPr>
                <w:sz w:val="20"/>
                <w:szCs w:val="20"/>
                <w:color w:val="auto"/>
              </w:rPr>
            </w:pPr>
            <w:r>
              <w:rPr>
                <w:rFonts w:ascii="Arial" w:cs="Arial" w:eastAsia="Arial" w:hAnsi="Arial"/>
                <w:sz w:val="18"/>
                <w:szCs w:val="18"/>
                <w:color w:val="auto"/>
                <w:w w:val="90"/>
              </w:rPr>
              <w:t>/s/ Stephen Christopher Linthwaite</w:t>
            </w:r>
          </w:p>
        </w:tc>
        <w:tc>
          <w:tcPr>
            <w:tcW w:w="100" w:type="dxa"/>
            <w:vAlign w:val="bottom"/>
          </w:tcPr>
          <w:p>
            <w:pPr>
              <w:spacing w:after="0"/>
              <w:rPr>
                <w:sz w:val="20"/>
                <w:szCs w:val="20"/>
                <w:color w:val="auto"/>
              </w:rPr>
            </w:pPr>
          </w:p>
        </w:tc>
        <w:tc>
          <w:tcPr>
            <w:tcW w:w="4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Executive Officer)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July 10, 2020</w:t>
            </w:r>
          </w:p>
        </w:tc>
      </w:tr>
      <w:tr>
        <w:trPr>
          <w:trHeight w:val="27"/>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1"/>
              </w:rPr>
              <w:t>Stephen Christopher Linthwaite</w:t>
            </w: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56"/>
        </w:trPr>
        <w:tc>
          <w:tcPr>
            <w:tcW w:w="3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420" w:type="dxa"/>
            <w:vAlign w:val="bottom"/>
          </w:tcPr>
          <w:p>
            <w:pPr>
              <w:spacing w:after="0"/>
              <w:rPr>
                <w:sz w:val="22"/>
                <w:szCs w:val="22"/>
                <w:color w:val="auto"/>
              </w:rPr>
            </w:pPr>
          </w:p>
        </w:tc>
      </w:tr>
      <w:tr>
        <w:trPr>
          <w:trHeight w:val="230"/>
        </w:trPr>
        <w:tc>
          <w:tcPr>
            <w:tcW w:w="3940" w:type="dxa"/>
            <w:vAlign w:val="bottom"/>
          </w:tcPr>
          <w:p>
            <w:pPr>
              <w:jc w:val="center"/>
              <w:spacing w:after="0"/>
              <w:rPr>
                <w:sz w:val="20"/>
                <w:szCs w:val="20"/>
                <w:color w:val="auto"/>
              </w:rPr>
            </w:pPr>
            <w:r>
              <w:rPr>
                <w:rFonts w:ascii="Arial" w:cs="Arial" w:eastAsia="Arial" w:hAnsi="Arial"/>
                <w:sz w:val="18"/>
                <w:szCs w:val="18"/>
                <w:color w:val="auto"/>
                <w:w w:val="92"/>
              </w:rPr>
              <w:t>/s/ Vikram Jog</w:t>
            </w:r>
          </w:p>
        </w:tc>
        <w:tc>
          <w:tcPr>
            <w:tcW w:w="100" w:type="dxa"/>
            <w:vAlign w:val="bottom"/>
          </w:tcPr>
          <w:p>
            <w:pPr>
              <w:spacing w:after="0"/>
              <w:rPr>
                <w:sz w:val="20"/>
                <w:szCs w:val="20"/>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July 10, 2020</w:t>
            </w:r>
          </w:p>
        </w:tc>
      </w:tr>
      <w:tr>
        <w:trPr>
          <w:trHeight w:val="27"/>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2"/>
              </w:rPr>
              <w:t>Vikram Jog</w:t>
            </w: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3940" w:type="dxa"/>
            <w:vAlign w:val="bottom"/>
          </w:tcPr>
          <w:p>
            <w:pPr>
              <w:jc w:val="center"/>
              <w:spacing w:after="0"/>
              <w:rPr>
                <w:sz w:val="20"/>
                <w:szCs w:val="20"/>
                <w:color w:val="auto"/>
              </w:rPr>
            </w:pPr>
            <w:r>
              <w:rPr>
                <w:rFonts w:ascii="Arial" w:cs="Arial" w:eastAsia="Arial" w:hAnsi="Arial"/>
                <w:sz w:val="18"/>
                <w:szCs w:val="18"/>
                <w:color w:val="auto"/>
                <w:w w:val="88"/>
              </w:rPr>
              <w:t>/s/ Carlos Paya</w:t>
            </w:r>
          </w:p>
        </w:tc>
        <w:tc>
          <w:tcPr>
            <w:tcW w:w="100" w:type="dxa"/>
            <w:vAlign w:val="bottom"/>
          </w:tcPr>
          <w:p>
            <w:pPr>
              <w:spacing w:after="0"/>
              <w:rPr>
                <w:sz w:val="24"/>
                <w:szCs w:val="24"/>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Chairman of the Board of Directors</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July 10, 2020</w:t>
            </w:r>
          </w:p>
        </w:tc>
      </w:tr>
      <w:tr>
        <w:trPr>
          <w:trHeight w:val="27"/>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1"/>
              </w:rPr>
              <w:t>Carlos Paya</w:t>
            </w: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3940" w:type="dxa"/>
            <w:vAlign w:val="bottom"/>
          </w:tcPr>
          <w:p>
            <w:pPr>
              <w:jc w:val="center"/>
              <w:spacing w:after="0"/>
              <w:rPr>
                <w:sz w:val="20"/>
                <w:szCs w:val="20"/>
                <w:color w:val="auto"/>
              </w:rPr>
            </w:pPr>
            <w:r>
              <w:rPr>
                <w:rFonts w:ascii="Arial" w:cs="Arial" w:eastAsia="Arial" w:hAnsi="Arial"/>
                <w:sz w:val="18"/>
                <w:szCs w:val="18"/>
                <w:color w:val="auto"/>
                <w:w w:val="92"/>
              </w:rPr>
              <w:t>/s/ Nicolas Barthelemy</w:t>
            </w:r>
          </w:p>
        </w:tc>
        <w:tc>
          <w:tcPr>
            <w:tcW w:w="100" w:type="dxa"/>
            <w:vAlign w:val="bottom"/>
          </w:tcPr>
          <w:p>
            <w:pPr>
              <w:spacing w:after="0"/>
              <w:rPr>
                <w:sz w:val="24"/>
                <w:szCs w:val="24"/>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July 10, 2020</w:t>
            </w:r>
          </w:p>
        </w:tc>
      </w:tr>
      <w:tr>
        <w:trPr>
          <w:trHeight w:val="27"/>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89"/>
              </w:rPr>
              <w:t>Nicolas Barthelemy</w:t>
            </w: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3940" w:type="dxa"/>
            <w:vAlign w:val="bottom"/>
          </w:tcPr>
          <w:p>
            <w:pPr>
              <w:jc w:val="center"/>
              <w:spacing w:after="0"/>
              <w:rPr>
                <w:sz w:val="20"/>
                <w:szCs w:val="20"/>
                <w:color w:val="auto"/>
              </w:rPr>
            </w:pPr>
            <w:r>
              <w:rPr>
                <w:rFonts w:ascii="Arial" w:cs="Arial" w:eastAsia="Arial" w:hAnsi="Arial"/>
                <w:sz w:val="18"/>
                <w:szCs w:val="18"/>
                <w:color w:val="auto"/>
                <w:w w:val="88"/>
              </w:rPr>
              <w:t>/s/ Gerhard F. Burbach</w:t>
            </w:r>
          </w:p>
        </w:tc>
        <w:tc>
          <w:tcPr>
            <w:tcW w:w="100" w:type="dxa"/>
            <w:vAlign w:val="bottom"/>
          </w:tcPr>
          <w:p>
            <w:pPr>
              <w:spacing w:after="0"/>
              <w:rPr>
                <w:sz w:val="24"/>
                <w:szCs w:val="24"/>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July 10, 2020</w:t>
            </w:r>
          </w:p>
        </w:tc>
      </w:tr>
      <w:tr>
        <w:trPr>
          <w:trHeight w:val="27"/>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6"/>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3"/>
              </w:rPr>
              <w:t>Gerhard F. Burbach</w:t>
            </w: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3940" w:type="dxa"/>
            <w:vAlign w:val="bottom"/>
          </w:tcPr>
          <w:p>
            <w:pPr>
              <w:jc w:val="center"/>
              <w:spacing w:after="0"/>
              <w:rPr>
                <w:sz w:val="20"/>
                <w:szCs w:val="20"/>
                <w:color w:val="auto"/>
              </w:rPr>
            </w:pPr>
            <w:r>
              <w:rPr>
                <w:rFonts w:ascii="Arial" w:cs="Arial" w:eastAsia="Arial" w:hAnsi="Arial"/>
                <w:sz w:val="18"/>
                <w:szCs w:val="18"/>
                <w:color w:val="auto"/>
                <w:w w:val="91"/>
              </w:rPr>
              <w:t>/s/ Laura M. Clague</w:t>
            </w:r>
          </w:p>
        </w:tc>
        <w:tc>
          <w:tcPr>
            <w:tcW w:w="100" w:type="dxa"/>
            <w:vAlign w:val="bottom"/>
          </w:tcPr>
          <w:p>
            <w:pPr>
              <w:spacing w:after="0"/>
              <w:rPr>
                <w:sz w:val="24"/>
                <w:szCs w:val="24"/>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July 10, 2020</w:t>
            </w:r>
          </w:p>
        </w:tc>
      </w:tr>
      <w:tr>
        <w:trPr>
          <w:trHeight w:val="27"/>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6"/>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4"/>
              </w:rPr>
              <w:t>Laura M. Clague</w:t>
            </w: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3940" w:type="dxa"/>
            <w:vAlign w:val="bottom"/>
          </w:tcPr>
          <w:p>
            <w:pPr>
              <w:jc w:val="center"/>
              <w:spacing w:after="0"/>
              <w:rPr>
                <w:sz w:val="20"/>
                <w:szCs w:val="20"/>
                <w:color w:val="auto"/>
              </w:rPr>
            </w:pPr>
            <w:r>
              <w:rPr>
                <w:rFonts w:ascii="Arial" w:cs="Arial" w:eastAsia="Arial" w:hAnsi="Arial"/>
                <w:sz w:val="18"/>
                <w:szCs w:val="18"/>
                <w:color w:val="auto"/>
                <w:w w:val="94"/>
              </w:rPr>
              <w:t>/s/ Bill W. Colston</w:t>
            </w:r>
          </w:p>
        </w:tc>
        <w:tc>
          <w:tcPr>
            <w:tcW w:w="100" w:type="dxa"/>
            <w:vAlign w:val="bottom"/>
          </w:tcPr>
          <w:p>
            <w:pPr>
              <w:spacing w:after="0"/>
              <w:rPr>
                <w:sz w:val="24"/>
                <w:szCs w:val="24"/>
                <w:color w:val="auto"/>
              </w:rPr>
            </w:pPr>
          </w:p>
        </w:tc>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July 10, 2020</w:t>
            </w:r>
          </w:p>
        </w:tc>
      </w:tr>
      <w:tr>
        <w:trPr>
          <w:trHeight w:val="27"/>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6"/>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1"/>
              </w:rPr>
              <w:t>Bill W. Colston</w:t>
            </w: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40"/>
          </w:cols>
          <w:pgMar w:left="320" w:top="927" w:right="439" w:bottom="1440" w:gutter="0" w:footer="0" w:header="0"/>
        </w:sectPr>
      </w:pP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140"/>
          </w:cols>
          <w:pgMar w:left="320" w:top="927" w:right="439" w:bottom="1440" w:gutter="0" w:footer="0" w:header="0"/>
          <w:type w:val="continuous"/>
        </w:sectPr>
      </w:pPr>
    </w:p>
    <w:bookmarkStart w:id="9" w:name="page10"/>
    <w:bookmarkEnd w:id="9"/>
    <w:p>
      <w:pPr>
        <w:ind w:left="10140"/>
        <w:spacing w:after="0"/>
        <w:rPr>
          <w:sz w:val="20"/>
          <w:szCs w:val="20"/>
          <w:color w:val="auto"/>
        </w:rPr>
      </w:pPr>
      <w:r>
        <w:rPr>
          <w:rFonts w:ascii="Arial" w:cs="Arial" w:eastAsia="Arial" w:hAnsi="Arial"/>
          <w:sz w:val="16"/>
          <w:szCs w:val="16"/>
          <w:b w:val="1"/>
          <w:bCs w:val="1"/>
          <w:color w:val="auto"/>
        </w:rPr>
        <w:t>Exhibit 5.1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10,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Tower Place, Suite 2000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6"/>
          <w:szCs w:val="16"/>
          <w:color w:val="auto"/>
        </w:rPr>
        <w:t>We have examined the Registration Statement on Form S-8 (the “Registration Statement”) to be filed by Fluidigm Corporation, a Delaware corporation, with the Securities and Exchange Commission on or about the date hereof, in connection with the registration under the Securities Act of 1933, as amended, of (i) 1,420,000 shares of your common stock, par value $0.001 per share (the “Equity Incentive Plan Shares”), reserved for future issuance pursuant to the Fluidigm Corporation 2011 Equity Incentive Plan, as amended (the “2011 Plan”), and (ii) 3,000,000 shares of your common stock, par value $0.001 per share (together with the Equity Incentive Plan Shares, the “Shares”), reserved for future issuance pursuant to the Fluidigm Corporation 2017 Employee Stock Purchase Plan, as amended and restated (together with the 2011 Plan, the “Plans”). As your legal counsel, we have reviewed the actions proposed to be taken by you in connection with the issuance and sale of the Shares to be issued under the Plans.</w:t>
      </w:r>
    </w:p>
    <w:p>
      <w:pPr>
        <w:spacing w:after="0" w:line="193" w:lineRule="exact"/>
        <w:rPr>
          <w:sz w:val="20"/>
          <w:szCs w:val="20"/>
          <w:color w:val="auto"/>
        </w:rPr>
      </w:pPr>
    </w:p>
    <w:p>
      <w:pPr>
        <w:jc w:val="both"/>
        <w:ind w:firstLine="376"/>
        <w:spacing w:after="0" w:line="277" w:lineRule="auto"/>
        <w:rPr>
          <w:sz w:val="20"/>
          <w:szCs w:val="20"/>
          <w:color w:val="auto"/>
        </w:rPr>
      </w:pPr>
      <w:r>
        <w:rPr>
          <w:rFonts w:ascii="Arial" w:cs="Arial" w:eastAsia="Arial" w:hAnsi="Arial"/>
          <w:sz w:val="18"/>
          <w:szCs w:val="18"/>
          <w:color w:val="auto"/>
        </w:rPr>
        <w:t>It is our opinion that the Shares, when issued and sold in the manner referred to in the Plans and pursuant to the agreements that accompany the Plans, will be legally and validly issued, fully paid and nonassessable.</w:t>
      </w:r>
    </w:p>
    <w:p>
      <w:pPr>
        <w:spacing w:after="0" w:line="197" w:lineRule="exact"/>
        <w:rPr>
          <w:sz w:val="20"/>
          <w:szCs w:val="20"/>
          <w:color w:val="auto"/>
        </w:rPr>
      </w:pPr>
    </w:p>
    <w:p>
      <w:pPr>
        <w:jc w:val="both"/>
        <w:ind w:firstLine="376"/>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25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Very truly yours,</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31750</wp:posOffset>
            </wp:positionV>
            <wp:extent cx="2691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WILSON SONSINI GOODRICH &amp; ROSATI</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0980"/>
          </w:cols>
          <w:pgMar w:left="440" w:top="945" w:right="4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Fluidigm Corporation of our report dated February 27, 2020 relating to the financial statements, financial statement schedule and the effectiveness of internal control over financial reporting, which appears in Fluidigm Corporation’s Annual Report on Form 10-K for the year ended December 31, 2019.</w:t>
      </w:r>
    </w:p>
    <w:p>
      <w:pPr>
        <w:spacing w:after="0" w:line="2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3488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10, 2020</w:t>
      </w:r>
    </w:p>
    <w:sectPr>
      <w:pgSz w:w="11900" w:h="16838" w:orient="portrait"/>
      <w:cols w:equalWidth="0" w:num="1">
        <w:col w:w="11140"/>
      </w:cols>
      <w:pgMar w:left="320" w:top="94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8"/>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Roman"/>
      <w:start w:val="1"/>
    </w:lvl>
  </w:abstractNum>
  <w:abstractNum w:abstractNumId="6">
    <w:nsid w:val="7545E146"/>
    <w:multiLevelType w:val="hybridMultilevel"/>
    <w:lvl w:ilvl="0">
      <w:lvlJc w:val="left"/>
      <w:lvlText w:val="(%1)"/>
      <w:numFmt w:val="lowerRoman"/>
      <w:start w:val="3"/>
    </w:lvl>
  </w:abstractNum>
  <w:abstractNum w:abstractNumId="7">
    <w:nsid w:val="515F007C"/>
    <w:multiLevelType w:val="hybridMultilevel"/>
    <w:lvl w:ilvl="0">
      <w:lvlJc w:val="left"/>
      <w:lvlText w:val="%1"/>
      <w:numFmt w:val="upperLetter"/>
      <w:start w:val="1"/>
    </w:lvl>
    <w:lvl w:ilvl="1">
      <w:lvlJc w:val="left"/>
      <w:lvlText w:val="(%2)"/>
      <w:numFmt w:val="decimal"/>
      <w:start w:val="2"/>
    </w:lvl>
  </w:abstractNum>
  <w:abstractNum w:abstractNumId="8">
    <w:nsid w:val="5BD062C2"/>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17" Type="http://schemas.openxmlformats.org/officeDocument/2006/relationships/hyperlink" Target="http://www.sec.gov/ix?doc=/Archives/edgar/data/1162194/000116219420000016/fye2019form10-k.htm" TargetMode="External"/><Relationship Id="rId18" Type="http://schemas.openxmlformats.org/officeDocument/2006/relationships/hyperlink" Target="http://www.sec.gov/Archives/edgar/data/1162194/000116219420000036/fldm2020form10-ka.htm" TargetMode="External"/><Relationship Id="rId19" Type="http://schemas.openxmlformats.org/officeDocument/2006/relationships/hyperlink" Target="http://www.sec.gov/ix?doc=/Archives/edgar/data/1162194/000116219420000042/fldm1q2020form10q.htm" TargetMode="External"/><Relationship Id="rId20" Type="http://schemas.openxmlformats.org/officeDocument/2006/relationships/hyperlink" Target="http://www.sec.gov/Archives/edgar/data/1162194/000119312511025057/d8a12b.htm" TargetMode="External"/><Relationship Id="rId21" Type="http://schemas.openxmlformats.org/officeDocument/2006/relationships/hyperlink" Target="http://www.sec.gov/Archives/edgar/data/1162194/000119312517009947/d305495dex41.htm" TargetMode="External"/><Relationship Id="rId22" Type="http://schemas.openxmlformats.org/officeDocument/2006/relationships/hyperlink" Target="http://www.sec.gov/Archives/edgar/data/1162194/000116219420000076/exhibit101-amendedrest.htm" TargetMode="External"/><Relationship Id="rId23" Type="http://schemas.openxmlformats.org/officeDocument/2006/relationships/hyperlink" Target="http://www.sec.gov/Archives/edgar/data/1162194/000116219420000076/exhibit102-amended2011.htm" TargetMode="External"/><Relationship Id="rId24" Type="http://schemas.openxmlformats.org/officeDocument/2006/relationships/hyperlink" Target="http://www.sec.gov/Archives/edgar/data/1162194/000157104917007659/t1702415_ex-d2.htm" TargetMode="External"/><Relationship Id="rId25" Type="http://schemas.openxmlformats.org/officeDocument/2006/relationships/hyperlink" Target="http://www.sec.gov/Archives/edgar/data/1162194/000157104917007659/t1702415_ex-d3.htm" TargetMode="External"/><Relationship Id="rId26" Type="http://schemas.openxmlformats.org/officeDocument/2006/relationships/hyperlink" Target="http://www.sec.gov/Archives/edgar/data/1162194/000157104917007659/t1702415_ex-d4.htm" TargetMode="External"/><Relationship Id="rId27" Type="http://schemas.openxmlformats.org/officeDocument/2006/relationships/hyperlink" Target="http://www.sec.gov/Archives/edgar/data/1162194/000157104917007659/t1702415_ex-d5.htm" TargetMode="External"/><Relationship Id="rId28" Type="http://schemas.openxmlformats.org/officeDocument/2006/relationships/hyperlink" Target="http://www.sec.gov/Archives/edgar/data/1162194/000157104917007659/t1702415_ex-d6.htm" TargetMode="External"/><Relationship Id="rId29" Type="http://schemas.openxmlformats.org/officeDocument/2006/relationships/hyperlink" Target="http://www.sec.gov/Archives/edgar/data/1162194/000157104917007659/t1702415_ex-d7.htm" TargetMode="External"/><Relationship Id="rId30" Type="http://schemas.openxmlformats.org/officeDocument/2006/relationships/hyperlink" Target="http://www.sec.gov/Archives/edgar/data/1162194/000119312514034901/d669277dex41.htm" TargetMode="External"/><Relationship Id="rId31" Type="http://schemas.openxmlformats.org/officeDocument/2006/relationships/hyperlink" Target="http://www.sec.gov/Archives/edgar/data/1162194/000119312514034901/d669277dex42.htm" TargetMode="External"/><Relationship Id="rId32" Type="http://schemas.openxmlformats.org/officeDocument/2006/relationships/hyperlink" Target="http://www.sec.gov/Archives/edgar/data/1162194/000110465919066659/tm1923592d1_ex4-1.htm" TargetMode="External"/><Relationship Id="rId33" Type="http://schemas.openxmlformats.org/officeDocument/2006/relationships/hyperlink" Target="http://www.sec.gov/Archives/edgar/data/1162194/000117184318005695/exh_101.htm" TargetMode="External"/><Relationship Id="rId34" Type="http://schemas.openxmlformats.org/officeDocument/2006/relationships/hyperlink" Target="https://www.sec.gov/Archives/edgar/data/1162194/000116219420000016/exhibit1013a10k2019.htm" TargetMode="External"/><Relationship Id="rId35" Type="http://schemas.openxmlformats.org/officeDocument/2006/relationships/hyperlink" Target="http://www.sec.gov/Archives/edgar/data/1162194/000110465919066659/tm1923592d1_ex10-2.htm" TargetMode="External"/><Relationship Id="rId36" Type="http://schemas.openxmlformats.org/officeDocument/2006/relationships/hyperlink" Target="http://www.sec.gov/Archives/edgar/data/1162194/000116219420000033/exhibit101svbloanamen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2020-07-10T15:39:20Z</dcterms:created>
  <dcterms:modified xsi:type="dcterms:W3CDTF">2020-07-10T15:39:20Z</dcterms:modified>
</cp:coreProperties>
</file>