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Easterly Partners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Passive Investor</w:t>
      </w:r>
    </w:p>
    <w:p>
      <w:pPr>
        <w:spacing w:after="0" w:line="462"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2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jc w:val="center"/>
              <w:ind w:left="486"/>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jc w:val="center"/>
              <w:ind w:left="486"/>
              <w:spacing w:after="0"/>
              <w:rPr>
                <w:sz w:val="20"/>
                <w:szCs w:val="20"/>
                <w:color w:val="auto"/>
              </w:rPr>
            </w:pPr>
            <w:r>
              <w:rPr>
                <w:rFonts w:ascii="Arial" w:cs="Arial" w:eastAsia="Arial" w:hAnsi="Arial"/>
                <w:sz w:val="18"/>
                <w:szCs w:val="18"/>
                <w:color w:val="0000FF"/>
                <w:w w:val="88"/>
              </w:rPr>
              <w:t>06/28/2019</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9"/>
              </w:rPr>
              <w:t>157,349</w:t>
            </w:r>
          </w:p>
        </w:tc>
        <w:tc>
          <w:tcPr>
            <w:tcW w:w="5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12.3006</w:t>
            </w:r>
            <w:r>
              <w:rPr>
                <w:rFonts w:ascii="Arial" w:cs="Arial" w:eastAsia="Arial" w:hAnsi="Arial"/>
                <w:sz w:val="22"/>
                <w:szCs w:val="22"/>
                <w:color w:val="008000"/>
                <w:w w:val="85"/>
                <w:vertAlign w:val="superscript"/>
              </w:rPr>
              <w:t>(7)</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10,794,523</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jc w:val="center"/>
              <w:ind w:left="486"/>
              <w:spacing w:after="0"/>
              <w:rPr>
                <w:sz w:val="20"/>
                <w:szCs w:val="20"/>
                <w:color w:val="auto"/>
              </w:rPr>
            </w:pPr>
            <w:r>
              <w:rPr>
                <w:rFonts w:ascii="Arial" w:cs="Arial" w:eastAsia="Arial" w:hAnsi="Arial"/>
                <w:sz w:val="18"/>
                <w:szCs w:val="18"/>
                <w:color w:val="0000FF"/>
                <w:w w:val="88"/>
              </w:rPr>
              <w:t>07/01/2019</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7"/>
              </w:rPr>
              <w:t>20,069</w:t>
            </w:r>
          </w:p>
        </w:tc>
        <w:tc>
          <w:tcPr>
            <w:tcW w:w="5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12.3717</w:t>
            </w:r>
            <w:r>
              <w:rPr>
                <w:rFonts w:ascii="Arial" w:cs="Arial" w:eastAsia="Arial" w:hAnsi="Arial"/>
                <w:sz w:val="22"/>
                <w:szCs w:val="22"/>
                <w:color w:val="008000"/>
                <w:w w:val="85"/>
                <w:vertAlign w:val="superscript"/>
              </w:rPr>
              <w:t>(8)</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10,774,454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jc w:val="center"/>
              <w:ind w:left="486"/>
              <w:spacing w:after="0"/>
              <w:rPr>
                <w:sz w:val="20"/>
                <w:szCs w:val="20"/>
                <w:color w:val="auto"/>
              </w:rPr>
            </w:pPr>
            <w:r>
              <w:rPr>
                <w:rFonts w:ascii="Arial" w:cs="Arial" w:eastAsia="Arial" w:hAnsi="Arial"/>
                <w:sz w:val="18"/>
                <w:szCs w:val="18"/>
                <w:color w:val="0000FF"/>
                <w:w w:val="88"/>
              </w:rPr>
              <w:t>07/01/2019</w:t>
            </w:r>
          </w:p>
        </w:tc>
        <w:tc>
          <w:tcPr>
            <w:tcW w:w="112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jc w:val="center"/>
              <w:spacing w:after="0"/>
              <w:rPr>
                <w:sz w:val="20"/>
                <w:szCs w:val="20"/>
                <w:color w:val="auto"/>
              </w:rPr>
            </w:pPr>
            <w:r>
              <w:rPr>
                <w:rFonts w:ascii="Arial" w:cs="Arial" w:eastAsia="Arial" w:hAnsi="Arial"/>
                <w:sz w:val="18"/>
                <w:szCs w:val="18"/>
                <w:color w:val="0000FF"/>
                <w:w w:val="88"/>
              </w:rPr>
              <w:t>9,341</w:t>
            </w:r>
          </w:p>
        </w:tc>
        <w:tc>
          <w:tcPr>
            <w:tcW w:w="5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12.256</w:t>
            </w:r>
            <w:r>
              <w:rPr>
                <w:rFonts w:ascii="Arial" w:cs="Arial" w:eastAsia="Arial" w:hAnsi="Arial"/>
                <w:sz w:val="22"/>
                <w:szCs w:val="22"/>
                <w:color w:val="008000"/>
                <w:w w:val="84"/>
                <w:vertAlign w:val="superscript"/>
              </w:rPr>
              <w:t>(9)</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10,765,113</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85"/>
        </w:trPr>
        <w:tc>
          <w:tcPr>
            <w:tcW w:w="24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 A</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w:t>
            </w:r>
          </w:p>
        </w:tc>
        <w:tc>
          <w:tcPr>
            <w:tcW w:w="0" w:type="dxa"/>
            <w:vAlign w:val="bottom"/>
          </w:tcPr>
          <w:p>
            <w:pPr>
              <w:spacing w:after="0"/>
              <w:rPr>
                <w:sz w:val="1"/>
                <w:szCs w:val="1"/>
                <w:color w:val="auto"/>
              </w:rPr>
            </w:pPr>
          </w:p>
        </w:tc>
      </w:tr>
      <w:tr>
        <w:trPr>
          <w:trHeight w:val="216"/>
        </w:trPr>
        <w:tc>
          <w:tcPr>
            <w:tcW w:w="24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4,996</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6"/>
          <w:szCs w:val="16"/>
          <w:color w:val="0000FF"/>
        </w:rPr>
        <w:t>Strategies,</w:t>
      </w:r>
    </w:p>
    <w:p>
      <w:pPr>
        <w:ind w:left="10600"/>
        <w:spacing w:after="0" w:line="184" w:lineRule="auto"/>
        <w:rPr>
          <w:sz w:val="20"/>
          <w:szCs w:val="20"/>
          <w:color w:val="auto"/>
        </w:rPr>
      </w:pPr>
      <w:r>
        <w:rPr>
          <w:rFonts w:ascii="Arial" w:cs="Arial" w:eastAsia="Arial" w:hAnsi="Arial"/>
          <w:sz w:val="28"/>
          <w:szCs w:val="28"/>
          <w:color w:val="0000FF"/>
          <w:vertAlign w:val="subscript"/>
        </w:rPr>
        <w:t>LP</w:t>
      </w:r>
      <w:r>
        <w:rPr>
          <w:rFonts w:ascii="Arial" w:cs="Arial" w:eastAsia="Arial" w:hAnsi="Arial"/>
          <w:sz w:val="10"/>
          <w:szCs w:val="10"/>
          <w:color w:val="008000"/>
        </w:rPr>
        <w:t>(5)(6)</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Easterly Partners LLC</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LE Partners Holdings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 Partners Holdings 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8"/>
              </w:rPr>
            </w:pPr>
            <w:hyperlink r:id="rId16">
              <w:r>
                <w:rPr>
                  <w:rFonts w:ascii="Arial" w:cs="Arial" w:eastAsia="Arial" w:hAnsi="Arial"/>
                  <w:sz w:val="22"/>
                  <w:szCs w:val="22"/>
                  <w:color w:val="0000EE"/>
                  <w:w w:val="98"/>
                </w:rPr>
                <w:t>LE Partners Holdings III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8"/>
              </w:rPr>
            </w:pPr>
            <w:hyperlink r:id="rId17">
              <w:r>
                <w:rPr>
                  <w:rFonts w:ascii="Arial" w:cs="Arial" w:eastAsia="Arial" w:hAnsi="Arial"/>
                  <w:sz w:val="22"/>
                  <w:szCs w:val="22"/>
                  <w:color w:val="0000EE"/>
                  <w:w w:val="98"/>
                </w:rPr>
                <w:t>LE Partners Holdings IV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3"/>
              </w:rPr>
            </w:pPr>
            <w:hyperlink r:id="rId18">
              <w:r>
                <w:rPr>
                  <w:rFonts w:ascii="Arial" w:cs="Arial" w:eastAsia="Arial" w:hAnsi="Arial"/>
                  <w:sz w:val="22"/>
                  <w:szCs w:val="22"/>
                  <w:color w:val="0000EE"/>
                  <w:w w:val="93"/>
                </w:rPr>
                <w:t>Crate Darrell W</w:t>
              </w:r>
            </w:hyperlink>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5"/>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Kalichstein Avshalom</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-9736455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-9736455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-9299575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-9299575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-8587740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-8587740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-8064500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-8064500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-7626985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-7626985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-6915150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-6915150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-6391910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-6391910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-5955030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-5955030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-5243195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-5243195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-4719955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-4719955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-4282440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-4282440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-3570605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-3570605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-3047365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-3047365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-2610485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-2610485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-1898650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-1898650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199"/>
          </w:cols>
          <w:pgMar w:left="260" w:top="140" w:right="1440" w:bottom="0" w:gutter="0" w:footer="0" w:header="0"/>
        </w:sectPr>
      </w:pPr>
    </w:p>
    <w:p>
      <w:pPr>
        <w:spacing w:after="0" w:line="60"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138 CONANT STREET</w:t>
      </w:r>
    </w:p>
    <w:p>
      <w:pPr>
        <w:sectPr>
          <w:pgSz w:w="11900" w:h="16838" w:orient="portrait"/>
          <w:cols w:equalWidth="0" w:num="1">
            <w:col w:w="10199"/>
          </w:cols>
          <w:pgMar w:left="26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00" w:type="dxa"/>
            <w:vAlign w:val="bottom"/>
          </w:tcPr>
          <w:p>
            <w:pPr>
              <w:ind w:left="20"/>
              <w:spacing w:after="0"/>
              <w:rPr>
                <w:sz w:val="20"/>
                <w:szCs w:val="20"/>
                <w:color w:val="auto"/>
              </w:rPr>
            </w:pPr>
            <w:r>
              <w:rPr>
                <w:rFonts w:ascii="Arial" w:cs="Arial" w:eastAsia="Arial" w:hAnsi="Arial"/>
                <w:sz w:val="18"/>
                <w:szCs w:val="18"/>
                <w:color w:val="0000FF"/>
              </w:rPr>
              <w:t>MA</w:t>
            </w:r>
          </w:p>
        </w:tc>
        <w:tc>
          <w:tcPr>
            <w:tcW w:w="1600" w:type="dxa"/>
            <w:vAlign w:val="bottom"/>
          </w:tcPr>
          <w:p>
            <w:pPr>
              <w:ind w:left="18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2"/>
              </w:rPr>
            </w:pPr>
            <w:hyperlink r:id="rId58">
              <w:r>
                <w:rPr>
                  <w:rFonts w:ascii="Arial" w:cs="Arial" w:eastAsia="Arial" w:hAnsi="Arial"/>
                  <w:sz w:val="22"/>
                  <w:szCs w:val="22"/>
                  <w:color w:val="0000EE"/>
                  <w:w w:val="92"/>
                </w:rPr>
                <w:t>Murphy John W</w:t>
              </w:r>
            </w:hyperlink>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1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tcPr>
          <w:p>
            <w:pPr>
              <w:ind w:left="2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352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2924175" cy="43522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60">
        <w:r>
          <w:rPr>
            <w:rFonts w:ascii="Arial" w:cs="Arial" w:eastAsia="Arial" w:hAnsi="Arial"/>
            <w:sz w:val="22"/>
            <w:szCs w:val="22"/>
            <w:u w:val="single" w:color="auto"/>
            <w:color w:val="0000EE"/>
          </w:rPr>
          <w:t>LEVIN CAPITAL STRATEGIES, L.P.</w:t>
        </w:r>
      </w:hyperlink>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Form 4 is being jointly filed by Levin Easterly Partners LLC ("Levin Easterly"), LE Partners Holdings LLC ("LEPH"), LE Partners Holdings II LLC ("LEPH II"), LE Partners Holdings III LLC ("LEPH III"), LE Partners Holdings IV LLC ("LEPH IV"), Darrell Crate ("Mr. Crate"), Avshalom Kalichstein ("Mr. Kalichstein"), John Murphy ("Mr. Murphy"), and Levin Capital Strategies, LP ("LCS") (collectively, the "Reporting Persons").</w:t>
      </w:r>
    </w:p>
    <w:p>
      <w:pPr>
        <w:spacing w:after="0" w:line="30"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are passive investors in the Issuer and are voluntarily filing this Form 4 as a result of acquiring over 10% of the Issuer's outstanding shares of Common Stock. The Reporting Persons have not acquired the shares with a purpose or effect of changing or influencing control of the Issuer. 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32" w:lineRule="exact"/>
        <w:rPr>
          <w:rFonts w:ascii="Arial" w:cs="Arial" w:eastAsia="Arial" w:hAnsi="Arial"/>
          <w:sz w:val="14"/>
          <w:szCs w:val="14"/>
          <w:color w:val="008000"/>
        </w:rPr>
      </w:pPr>
    </w:p>
    <w:p>
      <w:pPr>
        <w:ind w:left="20" w:right="8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"LEP Managed Accounts"). Levin Easterly, as the investment manager to the LEP Managed Accounts, may be deemed to beneficially own such shares. Levin Easterly does not have a reportable pecuniary interest under Section 16a-1(a)(2) of the Exchange Act in the shares held in the LEP Managed Accounts as Levin Easterly receives an asset-based management fee for serving as investment manager to the LEP Managed Accounts, except that with respect to 110,601 shares held in the LEP Managed Accounts, Levin Easterly receives a performance-based incentive fee. The performance-based incentive fee Levin Easterly receives also does not constitute a reportable pecuniary interest under Section 16a-1(a)(2) of the Exchange Act, as such fee is based on the performance of the overall account, over a period of one year or more, and the shares of the Issuer held in such accounts constitute nor more than 10% of the market value thereof.</w:t>
      </w:r>
    </w:p>
    <w:p>
      <w:pPr>
        <w:spacing w:after="0" w:line="11" w:lineRule="exact"/>
        <w:rPr>
          <w:rFonts w:ascii="Arial" w:cs="Arial" w:eastAsia="Arial" w:hAnsi="Arial"/>
          <w:sz w:val="12"/>
          <w:szCs w:val="12"/>
          <w:color w:val="008000"/>
        </w:rPr>
      </w:pPr>
    </w:p>
    <w:p>
      <w:pPr>
        <w:ind w:left="20" w:right="3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3, none of LEPH, LEPH II, LEPH III, LEPH IV, Mr. Crate, Mr. Kalichstein and Mr. Murphy have a reportable pecuniary interest in the shares held in the LEP Managed Accounts.</w:t>
      </w:r>
    </w:p>
    <w:p>
      <w:pPr>
        <w:spacing w:after="0" w:line="30" w:lineRule="exact"/>
        <w:rPr>
          <w:rFonts w:ascii="Arial" w:cs="Arial" w:eastAsia="Arial" w:hAnsi="Arial"/>
          <w:sz w:val="14"/>
          <w:szCs w:val="14"/>
          <w:color w:val="008000"/>
        </w:rPr>
      </w:pPr>
    </w:p>
    <w:p>
      <w:pPr>
        <w:ind w:left="20" w:right="2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a certain separately managed account (the "LCS Managed Account"). LCS, as the investment manager to the LCS Managed Account, may be deemed to beneficially own such shares. LCS does not have a reportable pecuniary interest under Section 16a-1(a)(2) of the Exchange Act in the shares held in the LCS Managed Account as LCS receives an asset-based management fee for serving as investment manager to the LCS Managed Account.</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5, Mr. Murphy does not have a reportable pecuniary interest in the shares held in the LCS Managed Account.</w:t>
      </w:r>
    </w:p>
    <w:p>
      <w:pPr>
        <w:spacing w:after="0" w:line="41" w:lineRule="exact"/>
        <w:rPr>
          <w:rFonts w:ascii="Arial" w:cs="Arial" w:eastAsia="Arial" w:hAnsi="Arial"/>
          <w:sz w:val="14"/>
          <w:szCs w:val="14"/>
          <w:color w:val="008000"/>
        </w:rPr>
      </w:pPr>
    </w:p>
    <w:p>
      <w:pPr>
        <w:ind w:left="20" w:right="6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$12.25 and $12.40.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4"/>
          <w:szCs w:val="14"/>
          <w:color w:val="008000"/>
        </w:rPr>
      </w:pPr>
    </w:p>
    <w:p>
      <w:pPr>
        <w:ind w:left="20" w:right="6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$12.36 and $12.43.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4"/>
          <w:szCs w:val="14"/>
          <w:color w:val="008000"/>
        </w:rPr>
      </w:pPr>
    </w:p>
    <w:p>
      <w:pPr>
        <w:ind w:left="20" w:right="6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is a weighted average price. The reported shares were purchased in multiple transactions at prices ranging from $12.25 and $12.36.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w:t>
      </w:r>
    </w:p>
    <w:p>
      <w:pPr>
        <w:ind w:left="6840"/>
        <w:spacing w:after="0" w:line="183" w:lineRule="auto"/>
        <w:rPr>
          <w:sz w:val="20"/>
          <w:szCs w:val="20"/>
          <w:color w:val="auto"/>
        </w:rPr>
      </w:pPr>
      <w:r>
        <w:rPr>
          <w:rFonts w:ascii="Arial" w:cs="Arial" w:eastAsia="Arial" w:hAnsi="Arial"/>
          <w:sz w:val="17"/>
          <w:szCs w:val="17"/>
          <w:color w:val="0000FF"/>
        </w:rPr>
        <w:t xml:space="preserve">Levin Easterly Partners; By: /s/ </w:t>
      </w:r>
      <w:r>
        <w:rPr>
          <w:rFonts w:ascii="Arial" w:cs="Arial" w:eastAsia="Arial" w:hAnsi="Arial"/>
          <w:sz w:val="33"/>
          <w:szCs w:val="33"/>
          <w:color w:val="0000FF"/>
          <w:vertAlign w:val="subscript"/>
        </w:rPr>
        <w:t>07/02/2019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-27940</wp:posOffset>
            </wp:positionV>
            <wp:extent cx="13995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Darrell Crate,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-22860</wp:posOffset>
            </wp:positionV>
            <wp:extent cx="10801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-91440</wp:posOffset>
            </wp:positionV>
            <wp:extent cx="508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357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373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74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 Partners Holdings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81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Darrell Crate, Managing 07/02/2019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ectPr>
          <w:pgSz w:w="11900" w:h="16838" w:orient="portrait"/>
          <w:cols w:equalWidth="0" w:num="1">
            <w:col w:w="11360"/>
          </w:cols>
          <w:pgMar w:left="260" w:top="274" w:right="279" w:bottom="0" w:gutter="0" w:footer="0" w:header="0"/>
        </w:sectPr>
      </w:pP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181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Avshalom Kalichstein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18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11887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308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3088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941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04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0000FF"/>
        </w:rPr>
        <w:t>07/02/2019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07/02/2019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07/02/2019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07/02/2019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8880" w:space="260"/>
            <w:col w:w="2220"/>
          </w:cols>
          <w:pgMar w:left="260" w:top="274" w:right="279" w:bottom="0" w:gutter="0" w:footer="0" w:header="0"/>
          <w:type w:val="continuous"/>
        </w:sectPr>
      </w:pPr>
    </w:p>
    <w:bookmarkStart w:id="3" w:name="page4"/>
    <w:bookmarkEnd w:id="3"/>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9"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12" Type="http://schemas.openxmlformats.org/officeDocument/2006/relationships/hyperlink" Target="http://www.sec.gov/cgi-bin/browse-edgar?action=getcompany&amp;CIK=0001766150"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73034" TargetMode="External"/><Relationship Id="rId15" Type="http://schemas.openxmlformats.org/officeDocument/2006/relationships/hyperlink" Target="http://www.sec.gov/cgi-bin/browse-edgar?action=getcompany&amp;CIK=0001773035" TargetMode="External"/><Relationship Id="rId16" Type="http://schemas.openxmlformats.org/officeDocument/2006/relationships/hyperlink" Target="http://www.sec.gov/cgi-bin/browse-edgar?action=getcompany&amp;CIK=0001773036" TargetMode="External"/><Relationship Id="rId17" Type="http://schemas.openxmlformats.org/officeDocument/2006/relationships/hyperlink" Target="http://www.sec.gov/cgi-bin/browse-edgar?action=getcompany&amp;CIK=0001773037" TargetMode="External"/><Relationship Id="rId18" Type="http://schemas.openxmlformats.org/officeDocument/2006/relationships/hyperlink" Target="http://www.sec.gov/cgi-bin/browse-edgar?action=getcompany&amp;CIK=0001201028" TargetMode="External"/><Relationship Id="rId19" Type="http://schemas.openxmlformats.org/officeDocument/2006/relationships/hyperlink" Target="http://www.sec.gov/cgi-bin/browse-edgar?action=getcompany&amp;CIK=0001344074" TargetMode="External"/><Relationship Id="rId58" Type="http://schemas.openxmlformats.org/officeDocument/2006/relationships/hyperlink" Target="http://www.sec.gov/cgi-bin/browse-edgar?action=getcompany&amp;CIK=0001773400" TargetMode="External"/><Relationship Id="rId60" Type="http://schemas.openxmlformats.org/officeDocument/2006/relationships/hyperlink" Target="http://www.sec.gov/cgi-bin/browse-edgar?action=getcompany&amp;CIK=0001354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2019-12-24T09:22:52Z</dcterms:created>
  <dcterms:modified xsi:type="dcterms:W3CDTF">2019-12-24T09:22:52Z</dcterms:modified>
</cp:coreProperties>
</file>