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6472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47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62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McCracken Colin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3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5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622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62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08/20/2021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2,597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58,935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08/20/2021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1,531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60,466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08/20/2021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2,391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62,857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08/20/2021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3,523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6.53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59,334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2,597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18,185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1,531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10,719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2,391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23,907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10, 2019, the Reporting Person was granted 41,564 Restricted Stock Units vesting as to 1/4th of the total number of shares on May 20, 2020, and as to 1/16th of the total number of shares each quarter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30, 2019, the Reporting Person was granted 24,500 Restricted Stock Units vesting as to 1/4th of the total number of shares on May 20, 2020, and as to 1/16th of the total number of shares each quarter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10, 2020, the Reporting Person was granted 38,250 Restricted Stock Units vesting as to 1/4th of the total number of shares on February 20, 2021, and as to 1/16th of the total number of shares each quarter thereafter.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Colin McCracken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0280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Nicholas Khadder,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62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5380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2021-08-24T18:12:36Z</dcterms:created>
  <dcterms:modified xsi:type="dcterms:W3CDTF">2021-08-24T18:12:36Z</dcterms:modified>
</cp:coreProperties>
</file>