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FORM 8-A/A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FLUIDIGM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558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1050"/>
              <w:spacing w:after="0"/>
              <w:rPr>
                <w:sz w:val="20"/>
                <w:szCs w:val="20"/>
                <w:color w:val="auto"/>
              </w:rPr>
            </w:pPr>
            <w:r>
              <w:rPr>
                <w:rFonts w:ascii="Arial" w:cs="Arial" w:eastAsia="Arial" w:hAnsi="Arial"/>
                <w:sz w:val="18"/>
                <w:szCs w:val="18"/>
                <w:b w:val="1"/>
                <w:bCs w:val="1"/>
                <w:color w:val="auto"/>
              </w:rPr>
              <w:t>77-0513190</w:t>
            </w:r>
          </w:p>
        </w:tc>
        <w:tc>
          <w:tcPr>
            <w:tcW w:w="0" w:type="dxa"/>
            <w:vAlign w:val="bottom"/>
          </w:tcPr>
          <w:p>
            <w:pPr>
              <w:spacing w:after="0"/>
              <w:rPr>
                <w:sz w:val="1"/>
                <w:szCs w:val="1"/>
                <w:color w:val="auto"/>
              </w:rPr>
            </w:pPr>
          </w:p>
        </w:tc>
      </w:tr>
      <w:tr>
        <w:trPr>
          <w:trHeight w:val="234"/>
        </w:trPr>
        <w:tc>
          <w:tcPr>
            <w:tcW w:w="558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080" w:type="dxa"/>
            <w:vAlign w:val="bottom"/>
          </w:tcPr>
          <w:p>
            <w:pPr>
              <w:jc w:val="center"/>
              <w:ind w:left="850"/>
              <w:spacing w:after="0"/>
              <w:rPr>
                <w:sz w:val="20"/>
                <w:szCs w:val="20"/>
                <w:color w:val="auto"/>
              </w:rPr>
            </w:pPr>
            <w:r>
              <w:rPr>
                <w:rFonts w:ascii="Arial" w:cs="Arial" w:eastAsia="Arial" w:hAnsi="Arial"/>
                <w:sz w:val="18"/>
                <w:szCs w:val="18"/>
                <w:b w:val="1"/>
                <w:bCs w:val="1"/>
                <w:color w:val="auto"/>
                <w:w w:val="93"/>
              </w:rPr>
              <w:t>(I.R.S. Employer Identification Number)</w:t>
            </w:r>
          </w:p>
        </w:tc>
        <w:tc>
          <w:tcPr>
            <w:tcW w:w="0" w:type="dxa"/>
            <w:vAlign w:val="bottom"/>
          </w:tcPr>
          <w:p>
            <w:pPr>
              <w:spacing w:after="0"/>
              <w:rPr>
                <w:sz w:val="1"/>
                <w:szCs w:val="1"/>
                <w:color w:val="auto"/>
              </w:rPr>
            </w:pPr>
          </w:p>
        </w:tc>
      </w:tr>
      <w:tr>
        <w:trPr>
          <w:trHeight w:val="630"/>
        </w:trPr>
        <w:tc>
          <w:tcPr>
            <w:tcW w:w="5580" w:type="dxa"/>
            <w:vAlign w:val="bottom"/>
          </w:tcPr>
          <w:p>
            <w:pPr>
              <w:jc w:val="center"/>
              <w:ind w:right="850"/>
              <w:spacing w:after="0"/>
              <w:rPr>
                <w:sz w:val="20"/>
                <w:szCs w:val="20"/>
                <w:color w:val="auto"/>
              </w:rPr>
            </w:pPr>
            <w:r>
              <w:rPr>
                <w:rFonts w:ascii="Arial" w:cs="Arial" w:eastAsia="Arial" w:hAnsi="Arial"/>
                <w:sz w:val="18"/>
                <w:szCs w:val="18"/>
                <w:b w:val="1"/>
                <w:bCs w:val="1"/>
                <w:color w:val="auto"/>
                <w:w w:val="90"/>
              </w:rPr>
              <w:t>7000 Shoreline Court, Suite 100</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South San Francisco, California</w:t>
            </w:r>
          </w:p>
        </w:tc>
        <w:tc>
          <w:tcPr>
            <w:tcW w:w="4080" w:type="dxa"/>
            <w:vAlign w:val="bottom"/>
            <w:vMerge w:val="restart"/>
          </w:tcPr>
          <w:p>
            <w:pPr>
              <w:jc w:val="right"/>
              <w:ind w:right="1250"/>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198"/>
        </w:trPr>
        <w:tc>
          <w:tcPr>
            <w:tcW w:w="558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8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80" w:type="dxa"/>
            <w:vAlign w:val="bottom"/>
          </w:tcPr>
          <w:p>
            <w:pPr>
              <w:jc w:val="center"/>
              <w:ind w:left="83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to be so registered</w:t>
            </w:r>
          </w:p>
        </w:tc>
        <w:tc>
          <w:tcPr>
            <w:tcW w:w="140" w:type="dxa"/>
            <w:vAlign w:val="bottom"/>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which each class is to be registered</w:t>
            </w:r>
          </w:p>
        </w:tc>
      </w:t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89"/>
              </w:rPr>
              <w:t>Preferred Share Purchase Rights</w:t>
            </w:r>
          </w:p>
        </w:tc>
        <w:tc>
          <w:tcPr>
            <w:tcW w:w="1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upon filing pursuant to General Instruction A.(c),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Not applicable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1012190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Form 8-A/A is filed by Fluidigm Corporation (the “Company”) to reflect the expiration of the preferred share purchase rights registered on the Form 8-A filed by the Company on November 22, 2016.</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On August 1, 2017, the Company held its 2017 annual meeting of stockholders (the “Annual Meeting”) and did not submit the Tax Benefit Preservation Plan (the “Plan”), dated as of November 21, 2016, between the Company and Computershare Inc. as rights agent, to a stockholder vote at the Annual Meeting. Pursuant to the terms of the Plan, as of 5:00 p.m., New York City time, on August 1, 2017, all of the preferred share purchase rights distributed to holders of the Company’s common stock pursuant to the Plan expired and the Plan effectively terminated as of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description of the Plan does not purport to be complete and is qualified in its entirety by reference to the Plan.</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140"/>
        <w:spacing w:after="0"/>
        <w:tabs>
          <w:tab w:leader="none" w:pos="5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ind w:left="1260" w:right="360" w:hanging="793"/>
        <w:spacing w:after="0" w:line="264" w:lineRule="auto"/>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Designation of Rights, Preferences and Privileges of Series A Participating Preferred Stock (incorporated by reference to Exhibit 3.1 to the Current Report on Form 8-K filed by the Company with the Securities and Exchange Commission on November 22, 2016).</w:t>
      </w:r>
    </w:p>
    <w:p>
      <w:pPr>
        <w:spacing w:after="0" w:line="181" w:lineRule="exact"/>
        <w:rPr>
          <w:sz w:val="20"/>
          <w:szCs w:val="20"/>
          <w:color w:val="auto"/>
        </w:rPr>
      </w:pPr>
    </w:p>
    <w:p>
      <w:pPr>
        <w:ind w:left="1260" w:hanging="793"/>
        <w:spacing w:after="0" w:line="264" w:lineRule="auto"/>
        <w:tabs>
          <w:tab w:leader="none" w:pos="12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Tax Benefit Preservation Plan, dated as of November 21, 2016, between the Company and Computershare Inc. as rights agent (incorporated by reference to Exhibit 4.1 to the Current Report on Form 8-K filed by the Company with the Securities and Exchange Commission on November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8660" w:type="dxa"/>
            <w:vAlign w:val="bottom"/>
            <w:gridSpan w:val="3"/>
          </w:tcPr>
          <w:p>
            <w:pPr>
              <w:ind w:left="1600"/>
              <w:spacing w:after="0"/>
              <w:rPr>
                <w:sz w:val="20"/>
                <w:szCs w:val="20"/>
                <w:color w:val="auto"/>
              </w:rPr>
            </w:pPr>
            <w:r>
              <w:rPr>
                <w:rFonts w:ascii="Arial" w:cs="Arial" w:eastAsia="Arial" w:hAnsi="Arial"/>
                <w:sz w:val="18"/>
                <w:szCs w:val="18"/>
                <w:color w:val="auto"/>
              </w:rPr>
              <w:t>FLUIDIGM CORPORATION</w:t>
            </w:r>
          </w:p>
        </w:tc>
      </w:tr>
      <w:tr>
        <w:trPr>
          <w:trHeight w:val="466"/>
        </w:trPr>
        <w:tc>
          <w:tcPr>
            <w:tcW w:w="2760" w:type="dxa"/>
            <w:vAlign w:val="bottom"/>
          </w:tcPr>
          <w:p>
            <w:pPr>
              <w:ind w:left="60"/>
              <w:spacing w:after="0"/>
              <w:rPr>
                <w:sz w:val="20"/>
                <w:szCs w:val="20"/>
                <w:color w:val="auto"/>
              </w:rPr>
            </w:pPr>
            <w:r>
              <w:rPr>
                <w:rFonts w:ascii="Arial" w:cs="Arial" w:eastAsia="Arial" w:hAnsi="Arial"/>
                <w:sz w:val="18"/>
                <w:szCs w:val="18"/>
                <w:color w:val="auto"/>
              </w:rPr>
              <w:t>August 2, 2017</w:t>
            </w:r>
          </w:p>
        </w:tc>
        <w:tc>
          <w:tcPr>
            <w:tcW w:w="2160" w:type="dxa"/>
            <w:vAlign w:val="bottom"/>
          </w:tcPr>
          <w:p>
            <w:pPr>
              <w:ind w:left="1600"/>
              <w:spacing w:after="0"/>
              <w:rPr>
                <w:sz w:val="20"/>
                <w:szCs w:val="20"/>
                <w:color w:val="auto"/>
              </w:rPr>
            </w:pPr>
            <w:r>
              <w:rPr>
                <w:rFonts w:ascii="Arial" w:cs="Arial" w:eastAsia="Arial" w:hAnsi="Arial"/>
                <w:sz w:val="18"/>
                <w:szCs w:val="18"/>
                <w:color w:val="auto"/>
              </w:rPr>
              <w:t>By:</w:t>
            </w:r>
          </w:p>
        </w:tc>
        <w:tc>
          <w:tcPr>
            <w:tcW w:w="6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Vikram Jog</w:t>
            </w:r>
          </w:p>
        </w:tc>
      </w:tr>
      <w:tr>
        <w:trPr>
          <w:trHeight w:val="215"/>
        </w:trPr>
        <w:tc>
          <w:tcPr>
            <w:tcW w:w="2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5800" w:type="dxa"/>
            <w:vAlign w:val="bottom"/>
          </w:tcPr>
          <w:p>
            <w:pPr>
              <w:ind w:left="180"/>
              <w:spacing w:after="0"/>
              <w:rPr>
                <w:sz w:val="20"/>
                <w:szCs w:val="20"/>
                <w:color w:val="auto"/>
              </w:rPr>
            </w:pPr>
            <w:r>
              <w:rPr>
                <w:rFonts w:ascii="Arial" w:cs="Arial" w:eastAsia="Arial" w:hAnsi="Arial"/>
                <w:sz w:val="18"/>
                <w:szCs w:val="18"/>
                <w:color w:val="auto"/>
              </w:rPr>
              <w:t>Vikram Jog</w:t>
            </w:r>
          </w:p>
        </w:tc>
      </w:tr>
      <w:tr>
        <w:trPr>
          <w:trHeight w:val="230"/>
        </w:trPr>
        <w:tc>
          <w:tcPr>
            <w:tcW w:w="2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580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905"/>
        </w:trPr>
        <w:tc>
          <w:tcPr>
            <w:tcW w:w="2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780" w:type="dxa"/>
            <w:vAlign w:val="bottom"/>
          </w:tcPr>
          <w:p>
            <w:pPr>
              <w:ind w:left="4380"/>
              <w:spacing w:after="0"/>
              <w:rPr>
                <w:sz w:val="20"/>
                <w:szCs w:val="20"/>
                <w:color w:val="auto"/>
              </w:rPr>
            </w:pPr>
            <w:r>
              <w:rPr>
                <w:rFonts w:ascii="Arial" w:cs="Arial" w:eastAsia="Arial" w:hAnsi="Arial"/>
                <w:sz w:val="18"/>
                <w:szCs w:val="18"/>
                <w:b w:val="1"/>
                <w:bCs w:val="1"/>
                <w:color w:val="auto"/>
              </w:rPr>
              <w:t>EXHIBIT INDEX</w:t>
            </w:r>
          </w:p>
        </w:tc>
      </w:tr>
      <w:tr>
        <w:trPr>
          <w:trHeight w:val="630"/>
        </w:trPr>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10780" w:type="dxa"/>
            <w:vAlign w:val="bottom"/>
          </w:tcPr>
          <w:p>
            <w:pPr>
              <w:spacing w:after="0"/>
              <w:rPr>
                <w:sz w:val="24"/>
                <w:szCs w:val="24"/>
                <w:color w:val="auto"/>
              </w:rPr>
            </w:pPr>
          </w:p>
        </w:tc>
      </w:tr>
      <w:tr>
        <w:trPr>
          <w:trHeight w:val="234"/>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60" w:type="dxa"/>
            <w:vAlign w:val="bottom"/>
          </w:tcPr>
          <w:p>
            <w:pPr>
              <w:spacing w:after="0"/>
              <w:rPr>
                <w:sz w:val="20"/>
                <w:szCs w:val="20"/>
                <w:color w:val="auto"/>
              </w:rPr>
            </w:pPr>
          </w:p>
        </w:tc>
        <w:tc>
          <w:tcPr>
            <w:tcW w:w="10780" w:type="dxa"/>
            <w:vAlign w:val="bottom"/>
            <w:tcBorders>
              <w:bottom w:val="single" w:sz="8" w:color="auto"/>
            </w:tcBorders>
          </w:tcPr>
          <w:p>
            <w:pPr>
              <w:ind w:left="4540"/>
              <w:spacing w:after="0"/>
              <w:rPr>
                <w:sz w:val="20"/>
                <w:szCs w:val="20"/>
                <w:color w:val="auto"/>
              </w:rPr>
            </w:pPr>
            <w:r>
              <w:rPr>
                <w:rFonts w:ascii="Arial" w:cs="Arial" w:eastAsia="Arial" w:hAnsi="Arial"/>
                <w:sz w:val="18"/>
                <w:szCs w:val="18"/>
                <w:b w:val="1"/>
                <w:bCs w:val="1"/>
                <w:color w:val="auto"/>
              </w:rPr>
              <w:t>Description of Exhibit</w:t>
            </w:r>
          </w:p>
        </w:tc>
      </w:tr>
    </w:tbl>
    <w:p>
      <w:pPr>
        <w:spacing w:after="0" w:line="202" w:lineRule="exact"/>
        <w:rPr>
          <w:sz w:val="20"/>
          <w:szCs w:val="20"/>
          <w:color w:val="auto"/>
        </w:rPr>
      </w:pPr>
    </w:p>
    <w:p>
      <w:pPr>
        <w:ind w:left="640" w:right="40" w:hanging="456"/>
        <w:spacing w:after="0" w:line="308"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Certificate of Designation of Rights, Preferences and Privileges of Series A Participating Preferred Stock (incorporated by reference to Exhibit 3.1 to the Current Report on Form 8-K filed by the Company with the Securities and Exchange Commission on November 22, 2016).</w:t>
      </w:r>
    </w:p>
    <w:p>
      <w:pPr>
        <w:spacing w:after="0" w:line="147" w:lineRule="exact"/>
        <w:rPr>
          <w:sz w:val="20"/>
          <w:szCs w:val="20"/>
          <w:color w:val="auto"/>
        </w:rPr>
      </w:pPr>
    </w:p>
    <w:p>
      <w:pPr>
        <w:ind w:left="640" w:right="200" w:hanging="456"/>
        <w:spacing w:after="0" w:line="264" w:lineRule="auto"/>
        <w:tabs>
          <w:tab w:leader="none" w:pos="620" w:val="left"/>
        </w:tabs>
        <w:rPr>
          <w:sz w:val="20"/>
          <w:szCs w:val="20"/>
          <w:color w:val="auto"/>
        </w:rPr>
      </w:pPr>
      <w:r>
        <w:rPr>
          <w:rFonts w:ascii="Arial" w:cs="Arial" w:eastAsia="Arial" w:hAnsi="Arial"/>
          <w:sz w:val="18"/>
          <w:szCs w:val="18"/>
          <w:color w:val="auto"/>
        </w:rPr>
        <w:t>4.1</w:t>
        <w:tab/>
        <w:t>Tax Benefit Preservation Plan, dated as of November 21, 2016, between the Company and Computershare Inc. as rights agent (incorporated by reference to Exhibit 4.1 to the Current Report on Form 8-K filed by the Company with the Securities and Exchange Commission on November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2019-12-06T17:34:47Z</dcterms:created>
  <dcterms:modified xsi:type="dcterms:W3CDTF">2019-12-06T17:34:47Z</dcterms:modified>
</cp:coreProperties>
</file>