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Fluidigm Corporation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u w:val="single" w:color="auto"/>
          <w:color w:val="auto"/>
        </w:rPr>
        <w:t>Common Stock, par value $0.001 per share</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u w:val="single" w:color="auto"/>
          <w:color w:val="auto"/>
        </w:rPr>
        <w:t>34385P108</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22"/>
          <w:szCs w:val="22"/>
          <w:u w:val="single" w:color="auto"/>
          <w:color w:val="auto"/>
        </w:rPr>
        <w:t>December 31, 2021</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0" w:lineRule="exact"/>
        <w:rPr>
          <w:sz w:val="24"/>
          <w:szCs w:val="24"/>
          <w:color w:val="auto"/>
        </w:rPr>
      </w:pPr>
    </w:p>
    <w:p>
      <w:pPr>
        <w:spacing w:after="0" w:line="276" w:lineRule="exact"/>
        <w:rPr>
          <w:sz w:val="24"/>
          <w:szCs w:val="24"/>
          <w:color w:val="auto"/>
        </w:rPr>
      </w:pPr>
    </w:p>
    <w:p>
      <w:pPr>
        <w:jc w:val="both"/>
        <w:ind w:left="4620" w:right="4800" w:firstLine="5"/>
        <w:spacing w:after="0" w:line="275" w:lineRule="exact"/>
        <w:tabs>
          <w:tab w:leader="none" w:pos="5173"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4"/>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CUSIP No. 34385P108</w:t>
            </w:r>
          </w:p>
        </w:tc>
        <w:tc>
          <w:tcPr>
            <w:tcW w:w="6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SCHEDULE 13G</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r>
      <w:tr>
        <w:trPr>
          <w:trHeight w:val="268"/>
        </w:trPr>
        <w:tc>
          <w:tcPr>
            <w:tcW w:w="800" w:type="dxa"/>
            <w:vAlign w:val="bottom"/>
          </w:tcPr>
          <w:p>
            <w:pPr>
              <w:spacing w:after="0"/>
              <w:rPr>
                <w:sz w:val="20"/>
                <w:szCs w:val="20"/>
                <w:color w:val="auto"/>
              </w:rPr>
            </w:pPr>
            <w:r>
              <w:rPr>
                <w:rFonts w:ascii="Arial" w:cs="Arial" w:eastAsia="Arial" w:hAnsi="Arial"/>
                <w:sz w:val="22"/>
                <w:szCs w:val="22"/>
                <w:color w:val="auto"/>
              </w:rPr>
              <w:t>1</w:t>
            </w:r>
          </w:p>
        </w:tc>
        <w:tc>
          <w:tcPr>
            <w:tcW w:w="3960" w:type="dxa"/>
            <w:vAlign w:val="bottom"/>
          </w:tcPr>
          <w:p>
            <w:pPr>
              <w:ind w:left="660"/>
              <w:spacing w:after="0"/>
              <w:rPr>
                <w:sz w:val="20"/>
                <w:szCs w:val="20"/>
                <w:color w:val="auto"/>
              </w:rPr>
            </w:pPr>
            <w:r>
              <w:rPr>
                <w:rFonts w:ascii="Arial" w:cs="Arial" w:eastAsia="Arial" w:hAnsi="Arial"/>
                <w:sz w:val="22"/>
                <w:szCs w:val="22"/>
                <w:color w:val="auto"/>
                <w:w w:val="91"/>
              </w:rPr>
              <w:t>NAME OF REPORTING PERSONS.</w:t>
            </w:r>
          </w:p>
        </w:tc>
        <w:tc>
          <w:tcPr>
            <w:tcW w:w="6480" w:type="dxa"/>
            <w:vAlign w:val="bottom"/>
          </w:tcPr>
          <w:p>
            <w:pPr>
              <w:spacing w:after="0"/>
              <w:rPr>
                <w:sz w:val="23"/>
                <w:szCs w:val="23"/>
                <w:color w:val="auto"/>
              </w:rPr>
            </w:pPr>
          </w:p>
        </w:tc>
      </w:tr>
    </w:tbl>
    <w:p>
      <w:pPr>
        <w:spacing w:after="0" w:line="190"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Indaba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2</w:t>
      </w:r>
    </w:p>
    <w:p>
      <w:pPr>
        <w:ind w:left="1460"/>
        <w:spacing w:after="0" w:line="230" w:lineRule="auto"/>
        <w:rPr>
          <w:sz w:val="20"/>
          <w:szCs w:val="20"/>
          <w:color w:val="auto"/>
        </w:rPr>
      </w:pPr>
      <w:r>
        <w:rPr>
          <w:rFonts w:ascii="Arial" w:cs="Arial" w:eastAsia="Arial" w:hAnsi="Arial"/>
          <w:sz w:val="22"/>
          <w:szCs w:val="22"/>
          <w:color w:val="auto"/>
        </w:rPr>
        <w:t>(a) [  ]</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4</w:t>
      </w:r>
    </w:p>
    <w:p>
      <w:pPr>
        <w:ind w:left="146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ind w:left="4400" w:right="5220" w:hanging="1260"/>
        <w:spacing w:after="0" w:line="481" w:lineRule="auto"/>
        <w:tabs>
          <w:tab w:leader="none" w:pos="4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-12700</wp:posOffset>
            </wp:positionV>
            <wp:extent cx="44316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12700</wp:posOffset>
            </wp:positionV>
            <wp:extent cx="44316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100" w:type="dxa"/>
            <w:vAlign w:val="bottom"/>
          </w:tcPr>
          <w:p>
            <w:pPr>
              <w:jc w:val="center"/>
              <w:spacing w:after="0"/>
              <w:rPr>
                <w:sz w:val="20"/>
                <w:szCs w:val="20"/>
                <w:color w:val="auto"/>
              </w:rPr>
            </w:pPr>
            <w:r>
              <w:rPr>
                <w:rFonts w:ascii="Arial" w:cs="Arial" w:eastAsia="Arial" w:hAnsi="Arial"/>
                <w:sz w:val="22"/>
                <w:szCs w:val="22"/>
                <w:color w:val="auto"/>
                <w:w w:val="93"/>
              </w:rPr>
              <w:t>NUMBER OF SHARES</w:t>
            </w:r>
          </w:p>
        </w:tc>
        <w:tc>
          <w:tcPr>
            <w:tcW w:w="680" w:type="dxa"/>
            <w:vAlign w:val="bottom"/>
          </w:tcPr>
          <w:p>
            <w:pPr>
              <w:jc w:val="right"/>
              <w:ind w:right="483"/>
              <w:spacing w:after="0"/>
              <w:rPr>
                <w:sz w:val="20"/>
                <w:szCs w:val="20"/>
                <w:color w:val="auto"/>
              </w:rPr>
            </w:pPr>
            <w:r>
              <w:rPr>
                <w:rFonts w:ascii="Arial" w:cs="Arial" w:eastAsia="Arial" w:hAnsi="Arial"/>
                <w:sz w:val="19"/>
                <w:szCs w:val="19"/>
                <w:color w:val="auto"/>
                <w:w w:val="75"/>
              </w:rPr>
              <w:t>6</w:t>
            </w:r>
          </w:p>
        </w:tc>
        <w:tc>
          <w:tcPr>
            <w:tcW w:w="6300" w:type="dxa"/>
            <w:vAlign w:val="bottom"/>
          </w:tcPr>
          <w:p>
            <w:pPr>
              <w:ind w:left="58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222"/>
        </w:trPr>
        <w:tc>
          <w:tcPr>
            <w:tcW w:w="3100" w:type="dxa"/>
            <w:vAlign w:val="bottom"/>
          </w:tcPr>
          <w:p>
            <w:pPr>
              <w:jc w:val="center"/>
              <w:spacing w:after="0" w:line="222" w:lineRule="exact"/>
              <w:rPr>
                <w:sz w:val="20"/>
                <w:szCs w:val="20"/>
                <w:color w:val="auto"/>
              </w:rPr>
            </w:pPr>
            <w:r>
              <w:rPr>
                <w:rFonts w:ascii="Arial" w:cs="Arial" w:eastAsia="Arial" w:hAnsi="Arial"/>
                <w:sz w:val="22"/>
                <w:szCs w:val="22"/>
                <w:color w:val="auto"/>
                <w:w w:val="97"/>
              </w:rPr>
              <w:t>BENEFICIALLY</w:t>
            </w:r>
          </w:p>
        </w:tc>
        <w:tc>
          <w:tcPr>
            <w:tcW w:w="6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00" w:type="dxa"/>
            <w:vAlign w:val="bottom"/>
          </w:tcPr>
          <w:p>
            <w:pPr>
              <w:jc w:val="center"/>
              <w:spacing w:after="0"/>
              <w:rPr>
                <w:sz w:val="20"/>
                <w:szCs w:val="20"/>
                <w:color w:val="auto"/>
              </w:rPr>
            </w:pPr>
            <w:r>
              <w:rPr>
                <w:rFonts w:ascii="Arial" w:cs="Arial" w:eastAsia="Arial" w:hAnsi="Arial"/>
                <w:sz w:val="22"/>
                <w:szCs w:val="22"/>
                <w:color w:val="auto"/>
                <w:w w:val="94"/>
              </w:rPr>
              <w:t>OWNED BY EACH REPORTING</w:t>
            </w:r>
          </w:p>
        </w:tc>
        <w:tc>
          <w:tcPr>
            <w:tcW w:w="680" w:type="dxa"/>
            <w:vAlign w:val="bottom"/>
          </w:tcPr>
          <w:p>
            <w:pPr>
              <w:spacing w:after="0"/>
              <w:rPr>
                <w:sz w:val="22"/>
                <w:szCs w:val="22"/>
                <w:color w:val="auto"/>
              </w:rPr>
            </w:pPr>
          </w:p>
        </w:tc>
        <w:tc>
          <w:tcPr>
            <w:tcW w:w="6300" w:type="dxa"/>
            <w:vAlign w:val="bottom"/>
          </w:tcPr>
          <w:p>
            <w:pPr>
              <w:ind w:left="580"/>
              <w:spacing w:after="0"/>
              <w:rPr>
                <w:sz w:val="20"/>
                <w:szCs w:val="20"/>
                <w:color w:val="auto"/>
              </w:rPr>
            </w:pPr>
            <w:r>
              <w:rPr>
                <w:rFonts w:ascii="Arial" w:cs="Arial" w:eastAsia="Arial" w:hAnsi="Arial"/>
                <w:sz w:val="22"/>
                <w:szCs w:val="22"/>
                <w:color w:val="auto"/>
              </w:rPr>
              <w:t>7,585,905 (1)</w:t>
            </w:r>
          </w:p>
        </w:tc>
        <w:tc>
          <w:tcPr>
            <w:tcW w:w="0" w:type="dxa"/>
            <w:vAlign w:val="bottom"/>
          </w:tcPr>
          <w:p>
            <w:pPr>
              <w:spacing w:after="0"/>
              <w:rPr>
                <w:sz w:val="1"/>
                <w:szCs w:val="1"/>
                <w:color w:val="auto"/>
              </w:rPr>
            </w:pPr>
          </w:p>
        </w:tc>
      </w:tr>
      <w:tr>
        <w:trPr>
          <w:trHeight w:val="54"/>
        </w:trPr>
        <w:tc>
          <w:tcPr>
            <w:tcW w:w="3100" w:type="dxa"/>
            <w:vAlign w:val="bottom"/>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100" w:type="dxa"/>
            <w:vAlign w:val="bottom"/>
            <w:vMerge w:val="continue"/>
          </w:tcPr>
          <w:p>
            <w:pPr>
              <w:spacing w:after="0"/>
              <w:rPr>
                <w:sz w:val="13"/>
                <w:szCs w:val="13"/>
                <w:color w:val="auto"/>
              </w:rPr>
            </w:pPr>
          </w:p>
        </w:tc>
        <w:tc>
          <w:tcPr>
            <w:tcW w:w="680" w:type="dxa"/>
            <w:vAlign w:val="bottom"/>
            <w:vMerge w:val="restart"/>
          </w:tcPr>
          <w:p>
            <w:pPr>
              <w:jc w:val="right"/>
              <w:ind w:right="483"/>
              <w:spacing w:after="0"/>
              <w:rPr>
                <w:sz w:val="20"/>
                <w:szCs w:val="20"/>
                <w:color w:val="auto"/>
              </w:rPr>
            </w:pPr>
            <w:r>
              <w:rPr>
                <w:rFonts w:ascii="Arial" w:cs="Arial" w:eastAsia="Arial" w:hAnsi="Arial"/>
                <w:sz w:val="19"/>
                <w:szCs w:val="19"/>
                <w:color w:val="auto"/>
                <w:w w:val="75"/>
              </w:rPr>
              <w:t>7</w:t>
            </w:r>
          </w:p>
        </w:tc>
        <w:tc>
          <w:tcPr>
            <w:tcW w:w="6300" w:type="dxa"/>
            <w:vAlign w:val="bottom"/>
            <w:vMerge w:val="restart"/>
          </w:tcPr>
          <w:p>
            <w:pPr>
              <w:ind w:left="58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330"/>
        </w:trPr>
        <w:tc>
          <w:tcPr>
            <w:tcW w:w="31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6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0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147955</wp:posOffset>
            </wp:positionV>
            <wp:extent cx="44316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173355</wp:posOffset>
            </wp:positionV>
            <wp:extent cx="4431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400" w:right="4600" w:hanging="1260"/>
        <w:spacing w:after="0" w:line="481" w:lineRule="auto"/>
        <w:tabs>
          <w:tab w:leader="none" w:pos="44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Shared Dispositive Power 7,585,905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6420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64204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2"/>
          <w:szCs w:val="22"/>
          <w:color w:val="auto"/>
        </w:rPr>
        <w:t>Aggregate Amount Beneficially Owned by Each Reporting Person</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7,585,905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0"/>
          <w:szCs w:val="20"/>
          <w:color w:val="auto"/>
        </w:rPr>
      </w:pPr>
    </w:p>
    <w:p>
      <w:pPr>
        <w:ind w:left="1460" w:hanging="1452"/>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ind w:left="1460" w:right="5220" w:hanging="1452"/>
        <w:spacing w:after="0" w:line="481" w:lineRule="auto"/>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9.9% (1)(2)</w:t>
      </w:r>
    </w:p>
    <w:p>
      <w:pPr>
        <w:spacing w:after="0" w:line="12" w:lineRule="exact"/>
        <w:rPr>
          <w:rFonts w:ascii="Arial" w:cs="Arial" w:eastAsia="Arial" w:hAnsi="Arial"/>
          <w:sz w:val="22"/>
          <w:szCs w:val="22"/>
          <w:color w:val="auto"/>
        </w:rPr>
      </w:pPr>
    </w:p>
    <w:p>
      <w:pPr>
        <w:ind w:left="1460" w:right="5960" w:hanging="1452"/>
        <w:spacing w:after="0" w:line="481" w:lineRule="auto"/>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-1470025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-1443990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-818515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-792480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ind w:right="260" w:firstLine="8"/>
        <w:spacing w:after="0" w:line="238"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Includes 139,676 shares of common stock of Fluidigm Corporation (the “Issuer”) issuable upon conversion of the Issuer’s 5.25% Convertible Senior Notes due 2024 (the “Notes”). The Reporting Persons are prohibited from converting Notes held by the Fund (as defined below) to obtain beneficial ownership in excess of 9.9% of the outstanding shares of the Issuer’s common stock.</w:t>
      </w:r>
    </w:p>
    <w:p>
      <w:pPr>
        <w:spacing w:after="0" w:line="211" w:lineRule="exact"/>
        <w:rPr>
          <w:rFonts w:ascii="Arial" w:cs="Arial" w:eastAsia="Arial" w:hAnsi="Arial"/>
          <w:sz w:val="22"/>
          <w:szCs w:val="22"/>
          <w:color w:val="auto"/>
        </w:rPr>
      </w:pPr>
    </w:p>
    <w:p>
      <w:pPr>
        <w:ind w:right="420" w:firstLine="8"/>
        <w:spacing w:after="0" w:line="274" w:lineRule="auto"/>
        <w:tabs>
          <w:tab w:leader="none" w:pos="306" w:val="left"/>
        </w:tabs>
        <w:numPr>
          <w:ilvl w:val="0"/>
          <w:numId w:val="5"/>
        </w:numPr>
        <w:rPr>
          <w:rFonts w:ascii="Arial" w:cs="Arial" w:eastAsia="Arial" w:hAnsi="Arial"/>
          <w:sz w:val="21"/>
          <w:szCs w:val="21"/>
          <w:color w:val="auto"/>
        </w:rPr>
      </w:pPr>
      <w:r>
        <w:rPr>
          <w:rFonts w:ascii="Arial" w:cs="Arial" w:eastAsia="Arial" w:hAnsi="Arial"/>
          <w:sz w:val="21"/>
          <w:szCs w:val="21"/>
          <w:color w:val="auto"/>
        </w:rPr>
        <w:t>Based on 76,485,632 shares of the Issuer’s common stock outstanding as of October 31, 2021, as disclosed in the Issuer’s Form 10-Q filed with the Securities and Exchange Commission (“SEC”) on November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CUSIP No. 34385P108</w:t>
            </w:r>
          </w:p>
        </w:tc>
        <w:tc>
          <w:tcPr>
            <w:tcW w:w="6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SCHEDULE 13G</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r>
      <w:tr>
        <w:trPr>
          <w:trHeight w:val="268"/>
        </w:trPr>
        <w:tc>
          <w:tcPr>
            <w:tcW w:w="800" w:type="dxa"/>
            <w:vAlign w:val="bottom"/>
          </w:tcPr>
          <w:p>
            <w:pPr>
              <w:spacing w:after="0"/>
              <w:rPr>
                <w:sz w:val="20"/>
                <w:szCs w:val="20"/>
                <w:color w:val="auto"/>
              </w:rPr>
            </w:pPr>
            <w:r>
              <w:rPr>
                <w:rFonts w:ascii="Arial" w:cs="Arial" w:eastAsia="Arial" w:hAnsi="Arial"/>
                <w:sz w:val="22"/>
                <w:szCs w:val="22"/>
                <w:color w:val="auto"/>
              </w:rPr>
              <w:t>1</w:t>
            </w:r>
          </w:p>
        </w:tc>
        <w:tc>
          <w:tcPr>
            <w:tcW w:w="3960" w:type="dxa"/>
            <w:vAlign w:val="bottom"/>
          </w:tcPr>
          <w:p>
            <w:pPr>
              <w:ind w:left="660"/>
              <w:spacing w:after="0"/>
              <w:rPr>
                <w:sz w:val="20"/>
                <w:szCs w:val="20"/>
                <w:color w:val="auto"/>
              </w:rPr>
            </w:pPr>
            <w:r>
              <w:rPr>
                <w:rFonts w:ascii="Arial" w:cs="Arial" w:eastAsia="Arial" w:hAnsi="Arial"/>
                <w:sz w:val="22"/>
                <w:szCs w:val="22"/>
                <w:color w:val="auto"/>
                <w:w w:val="91"/>
              </w:rPr>
              <w:t>NAME OF REPORTING PERSONS.</w:t>
            </w:r>
          </w:p>
        </w:tc>
        <w:tc>
          <w:tcPr>
            <w:tcW w:w="6480" w:type="dxa"/>
            <w:vAlign w:val="bottom"/>
          </w:tcPr>
          <w:p>
            <w:pPr>
              <w:spacing w:after="0"/>
              <w:rPr>
                <w:sz w:val="23"/>
                <w:szCs w:val="23"/>
                <w:color w:val="auto"/>
              </w:rPr>
            </w:pPr>
          </w:p>
        </w:tc>
      </w:tr>
    </w:tbl>
    <w:p>
      <w:pPr>
        <w:spacing w:after="0" w:line="190"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IC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2</w:t>
      </w:r>
    </w:p>
    <w:p>
      <w:pPr>
        <w:ind w:left="1460"/>
        <w:spacing w:after="0" w:line="230" w:lineRule="auto"/>
        <w:rPr>
          <w:sz w:val="20"/>
          <w:szCs w:val="20"/>
          <w:color w:val="auto"/>
        </w:rPr>
      </w:pPr>
      <w:r>
        <w:rPr>
          <w:rFonts w:ascii="Arial" w:cs="Arial" w:eastAsia="Arial" w:hAnsi="Arial"/>
          <w:sz w:val="22"/>
          <w:szCs w:val="22"/>
          <w:color w:val="auto"/>
        </w:rPr>
        <w:t>(a) [  ]</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4</w:t>
      </w:r>
    </w:p>
    <w:p>
      <w:pPr>
        <w:ind w:left="146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ind w:left="4400" w:right="5220" w:hanging="1260"/>
        <w:spacing w:after="0" w:line="481" w:lineRule="auto"/>
        <w:tabs>
          <w:tab w:leader="none" w:pos="44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-12700</wp:posOffset>
            </wp:positionV>
            <wp:extent cx="44316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12700</wp:posOffset>
            </wp:positionV>
            <wp:extent cx="44316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100" w:type="dxa"/>
            <w:vAlign w:val="bottom"/>
          </w:tcPr>
          <w:p>
            <w:pPr>
              <w:jc w:val="center"/>
              <w:spacing w:after="0"/>
              <w:rPr>
                <w:sz w:val="20"/>
                <w:szCs w:val="20"/>
                <w:color w:val="auto"/>
              </w:rPr>
            </w:pPr>
            <w:r>
              <w:rPr>
                <w:rFonts w:ascii="Arial" w:cs="Arial" w:eastAsia="Arial" w:hAnsi="Arial"/>
                <w:sz w:val="22"/>
                <w:szCs w:val="22"/>
                <w:color w:val="auto"/>
                <w:w w:val="93"/>
              </w:rPr>
              <w:t>NUMBER OF SHARES</w:t>
            </w:r>
          </w:p>
        </w:tc>
        <w:tc>
          <w:tcPr>
            <w:tcW w:w="680" w:type="dxa"/>
            <w:vAlign w:val="bottom"/>
          </w:tcPr>
          <w:p>
            <w:pPr>
              <w:jc w:val="right"/>
              <w:ind w:right="483"/>
              <w:spacing w:after="0"/>
              <w:rPr>
                <w:sz w:val="20"/>
                <w:szCs w:val="20"/>
                <w:color w:val="auto"/>
              </w:rPr>
            </w:pPr>
            <w:r>
              <w:rPr>
                <w:rFonts w:ascii="Arial" w:cs="Arial" w:eastAsia="Arial" w:hAnsi="Arial"/>
                <w:sz w:val="19"/>
                <w:szCs w:val="19"/>
                <w:color w:val="auto"/>
                <w:w w:val="75"/>
              </w:rPr>
              <w:t>6</w:t>
            </w:r>
          </w:p>
        </w:tc>
        <w:tc>
          <w:tcPr>
            <w:tcW w:w="6300" w:type="dxa"/>
            <w:vAlign w:val="bottom"/>
          </w:tcPr>
          <w:p>
            <w:pPr>
              <w:ind w:left="58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222"/>
        </w:trPr>
        <w:tc>
          <w:tcPr>
            <w:tcW w:w="3100" w:type="dxa"/>
            <w:vAlign w:val="bottom"/>
          </w:tcPr>
          <w:p>
            <w:pPr>
              <w:jc w:val="center"/>
              <w:spacing w:after="0" w:line="222" w:lineRule="exact"/>
              <w:rPr>
                <w:sz w:val="20"/>
                <w:szCs w:val="20"/>
                <w:color w:val="auto"/>
              </w:rPr>
            </w:pPr>
            <w:r>
              <w:rPr>
                <w:rFonts w:ascii="Arial" w:cs="Arial" w:eastAsia="Arial" w:hAnsi="Arial"/>
                <w:sz w:val="22"/>
                <w:szCs w:val="22"/>
                <w:color w:val="auto"/>
                <w:w w:val="97"/>
              </w:rPr>
              <w:t>BENEFICIALLY</w:t>
            </w:r>
          </w:p>
        </w:tc>
        <w:tc>
          <w:tcPr>
            <w:tcW w:w="6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00" w:type="dxa"/>
            <w:vAlign w:val="bottom"/>
          </w:tcPr>
          <w:p>
            <w:pPr>
              <w:jc w:val="center"/>
              <w:spacing w:after="0"/>
              <w:rPr>
                <w:sz w:val="20"/>
                <w:szCs w:val="20"/>
                <w:color w:val="auto"/>
              </w:rPr>
            </w:pPr>
            <w:r>
              <w:rPr>
                <w:rFonts w:ascii="Arial" w:cs="Arial" w:eastAsia="Arial" w:hAnsi="Arial"/>
                <w:sz w:val="22"/>
                <w:szCs w:val="22"/>
                <w:color w:val="auto"/>
                <w:w w:val="94"/>
              </w:rPr>
              <w:t>OWNED BY EACH REPORTING</w:t>
            </w:r>
          </w:p>
        </w:tc>
        <w:tc>
          <w:tcPr>
            <w:tcW w:w="680" w:type="dxa"/>
            <w:vAlign w:val="bottom"/>
          </w:tcPr>
          <w:p>
            <w:pPr>
              <w:spacing w:after="0"/>
              <w:rPr>
                <w:sz w:val="22"/>
                <w:szCs w:val="22"/>
                <w:color w:val="auto"/>
              </w:rPr>
            </w:pPr>
          </w:p>
        </w:tc>
        <w:tc>
          <w:tcPr>
            <w:tcW w:w="6300" w:type="dxa"/>
            <w:vAlign w:val="bottom"/>
          </w:tcPr>
          <w:p>
            <w:pPr>
              <w:ind w:left="580"/>
              <w:spacing w:after="0"/>
              <w:rPr>
                <w:sz w:val="20"/>
                <w:szCs w:val="20"/>
                <w:color w:val="auto"/>
              </w:rPr>
            </w:pPr>
            <w:r>
              <w:rPr>
                <w:rFonts w:ascii="Arial" w:cs="Arial" w:eastAsia="Arial" w:hAnsi="Arial"/>
                <w:sz w:val="22"/>
                <w:szCs w:val="22"/>
                <w:color w:val="auto"/>
              </w:rPr>
              <w:t>7,585,905 (1)</w:t>
            </w:r>
          </w:p>
        </w:tc>
        <w:tc>
          <w:tcPr>
            <w:tcW w:w="0" w:type="dxa"/>
            <w:vAlign w:val="bottom"/>
          </w:tcPr>
          <w:p>
            <w:pPr>
              <w:spacing w:after="0"/>
              <w:rPr>
                <w:sz w:val="1"/>
                <w:szCs w:val="1"/>
                <w:color w:val="auto"/>
              </w:rPr>
            </w:pPr>
          </w:p>
        </w:tc>
      </w:tr>
      <w:tr>
        <w:trPr>
          <w:trHeight w:val="54"/>
        </w:trPr>
        <w:tc>
          <w:tcPr>
            <w:tcW w:w="3100" w:type="dxa"/>
            <w:vAlign w:val="bottom"/>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100" w:type="dxa"/>
            <w:vAlign w:val="bottom"/>
            <w:vMerge w:val="continue"/>
          </w:tcPr>
          <w:p>
            <w:pPr>
              <w:spacing w:after="0"/>
              <w:rPr>
                <w:sz w:val="13"/>
                <w:szCs w:val="13"/>
                <w:color w:val="auto"/>
              </w:rPr>
            </w:pPr>
          </w:p>
        </w:tc>
        <w:tc>
          <w:tcPr>
            <w:tcW w:w="680" w:type="dxa"/>
            <w:vAlign w:val="bottom"/>
            <w:vMerge w:val="restart"/>
          </w:tcPr>
          <w:p>
            <w:pPr>
              <w:jc w:val="right"/>
              <w:ind w:right="483"/>
              <w:spacing w:after="0"/>
              <w:rPr>
                <w:sz w:val="20"/>
                <w:szCs w:val="20"/>
                <w:color w:val="auto"/>
              </w:rPr>
            </w:pPr>
            <w:r>
              <w:rPr>
                <w:rFonts w:ascii="Arial" w:cs="Arial" w:eastAsia="Arial" w:hAnsi="Arial"/>
                <w:sz w:val="19"/>
                <w:szCs w:val="19"/>
                <w:color w:val="auto"/>
                <w:w w:val="75"/>
              </w:rPr>
              <w:t>7</w:t>
            </w:r>
          </w:p>
        </w:tc>
        <w:tc>
          <w:tcPr>
            <w:tcW w:w="6300" w:type="dxa"/>
            <w:vAlign w:val="bottom"/>
            <w:vMerge w:val="restart"/>
          </w:tcPr>
          <w:p>
            <w:pPr>
              <w:ind w:left="58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330"/>
        </w:trPr>
        <w:tc>
          <w:tcPr>
            <w:tcW w:w="31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6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0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147955</wp:posOffset>
            </wp:positionV>
            <wp:extent cx="44316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173355</wp:posOffset>
            </wp:positionV>
            <wp:extent cx="44316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400" w:right="4600" w:hanging="1260"/>
        <w:spacing w:after="0" w:line="481" w:lineRule="auto"/>
        <w:tabs>
          <w:tab w:leader="none" w:pos="4400"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Dispositive Power 7,585,905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64204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64204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2"/>
          <w:szCs w:val="22"/>
          <w:color w:val="auto"/>
        </w:rPr>
        <w:t>Aggregate Amount Beneficially Owned by Each Reporting Person</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7,585,905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0"/>
          <w:szCs w:val="20"/>
          <w:color w:val="auto"/>
        </w:rPr>
      </w:pPr>
    </w:p>
    <w:p>
      <w:pPr>
        <w:ind w:left="1460" w:hanging="1452"/>
        <w:spacing w:after="0"/>
        <w:tabs>
          <w:tab w:leader="none" w:pos="1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ind w:left="1460" w:right="5220" w:hanging="1452"/>
        <w:spacing w:after="0" w:line="481" w:lineRule="auto"/>
        <w:tabs>
          <w:tab w:leader="none" w:pos="1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Percent of Class Represented by Amount in Row (9) 9.9% (1)(2)</w:t>
      </w:r>
    </w:p>
    <w:p>
      <w:pPr>
        <w:spacing w:after="0" w:line="12" w:lineRule="exact"/>
        <w:rPr>
          <w:rFonts w:ascii="Arial" w:cs="Arial" w:eastAsia="Arial" w:hAnsi="Arial"/>
          <w:sz w:val="22"/>
          <w:szCs w:val="22"/>
          <w:color w:val="auto"/>
        </w:rPr>
      </w:pPr>
    </w:p>
    <w:p>
      <w:pPr>
        <w:ind w:left="1460" w:right="5960" w:hanging="1452"/>
        <w:spacing w:after="0" w:line="481" w:lineRule="auto"/>
        <w:tabs>
          <w:tab w:leader="none" w:pos="1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Type of Reporting Person (See Instructions)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-1470025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-1443990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-818515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-792480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ind w:right="360" w:firstLine="8"/>
        <w:spacing w:after="0"/>
        <w:tabs>
          <w:tab w:leader="none" w:pos="306" w:val="left"/>
        </w:tabs>
        <w:numPr>
          <w:ilvl w:val="0"/>
          <w:numId w:val="9"/>
        </w:numPr>
        <w:rPr>
          <w:rFonts w:ascii="Arial" w:cs="Arial" w:eastAsia="Arial" w:hAnsi="Arial"/>
          <w:sz w:val="22"/>
          <w:szCs w:val="22"/>
          <w:color w:val="auto"/>
        </w:rPr>
      </w:pPr>
      <w:r>
        <w:rPr>
          <w:rFonts w:ascii="Arial" w:cs="Arial" w:eastAsia="Arial" w:hAnsi="Arial"/>
          <w:sz w:val="22"/>
          <w:szCs w:val="22"/>
          <w:color w:val="auto"/>
        </w:rPr>
        <w:t>Includes 139,676 shares of the Issuer’s common stock issuable upon conversion of Notes. The Reporting Persons are prohibited from converting Notes held by the Fund (as defined below) to obtain beneficial ownership in excess of 9.9% of the outstanding shares of the Issuer’s common stock.</w:t>
      </w:r>
    </w:p>
    <w:p>
      <w:pPr>
        <w:spacing w:after="0" w:line="213" w:lineRule="exact"/>
        <w:rPr>
          <w:rFonts w:ascii="Arial" w:cs="Arial" w:eastAsia="Arial" w:hAnsi="Arial"/>
          <w:sz w:val="22"/>
          <w:szCs w:val="22"/>
          <w:color w:val="auto"/>
        </w:rPr>
      </w:pPr>
    </w:p>
    <w:p>
      <w:pPr>
        <w:ind w:right="420" w:firstLine="8"/>
        <w:spacing w:after="0" w:line="250" w:lineRule="auto"/>
        <w:tabs>
          <w:tab w:leader="none" w:pos="306"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76,485,632 shares of the Issuer’s common stock outstanding as of October 31, 2021, as disclosed in the Issuer’s Form 10-Q filed with the SEC on November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4"/>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CUSIP No. 34385P108</w:t>
            </w:r>
          </w:p>
        </w:tc>
        <w:tc>
          <w:tcPr>
            <w:tcW w:w="6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SCHEDULE 13G</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r>
      <w:tr>
        <w:trPr>
          <w:trHeight w:val="268"/>
        </w:trPr>
        <w:tc>
          <w:tcPr>
            <w:tcW w:w="800" w:type="dxa"/>
            <w:vAlign w:val="bottom"/>
          </w:tcPr>
          <w:p>
            <w:pPr>
              <w:spacing w:after="0"/>
              <w:rPr>
                <w:sz w:val="20"/>
                <w:szCs w:val="20"/>
                <w:color w:val="auto"/>
              </w:rPr>
            </w:pPr>
            <w:r>
              <w:rPr>
                <w:rFonts w:ascii="Arial" w:cs="Arial" w:eastAsia="Arial" w:hAnsi="Arial"/>
                <w:sz w:val="22"/>
                <w:szCs w:val="22"/>
                <w:color w:val="auto"/>
              </w:rPr>
              <w:t>1</w:t>
            </w:r>
          </w:p>
        </w:tc>
        <w:tc>
          <w:tcPr>
            <w:tcW w:w="3960" w:type="dxa"/>
            <w:vAlign w:val="bottom"/>
          </w:tcPr>
          <w:p>
            <w:pPr>
              <w:ind w:left="660"/>
              <w:spacing w:after="0"/>
              <w:rPr>
                <w:sz w:val="20"/>
                <w:szCs w:val="20"/>
                <w:color w:val="auto"/>
              </w:rPr>
            </w:pPr>
            <w:r>
              <w:rPr>
                <w:rFonts w:ascii="Arial" w:cs="Arial" w:eastAsia="Arial" w:hAnsi="Arial"/>
                <w:sz w:val="22"/>
                <w:szCs w:val="22"/>
                <w:color w:val="auto"/>
                <w:w w:val="91"/>
              </w:rPr>
              <w:t>NAME OF REPORTING PERSONS.</w:t>
            </w:r>
          </w:p>
        </w:tc>
        <w:tc>
          <w:tcPr>
            <w:tcW w:w="6480" w:type="dxa"/>
            <w:vAlign w:val="bottom"/>
          </w:tcPr>
          <w:p>
            <w:pPr>
              <w:spacing w:after="0"/>
              <w:rPr>
                <w:sz w:val="23"/>
                <w:szCs w:val="23"/>
                <w:color w:val="auto"/>
              </w:rPr>
            </w:pPr>
          </w:p>
        </w:tc>
      </w:tr>
    </w:tbl>
    <w:p>
      <w:pPr>
        <w:spacing w:after="0" w:line="190"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Derek C. Schrier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2</w:t>
      </w:r>
    </w:p>
    <w:p>
      <w:pPr>
        <w:ind w:left="1460"/>
        <w:spacing w:after="0" w:line="230" w:lineRule="auto"/>
        <w:rPr>
          <w:sz w:val="20"/>
          <w:szCs w:val="20"/>
          <w:color w:val="auto"/>
        </w:rPr>
      </w:pPr>
      <w:r>
        <w:rPr>
          <w:rFonts w:ascii="Arial" w:cs="Arial" w:eastAsia="Arial" w:hAnsi="Arial"/>
          <w:sz w:val="22"/>
          <w:szCs w:val="22"/>
          <w:color w:val="auto"/>
        </w:rPr>
        <w:t>(a) [  ]</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4</w:t>
      </w:r>
    </w:p>
    <w:p>
      <w:pPr>
        <w:ind w:left="1460"/>
        <w:spacing w:after="0"/>
        <w:rPr>
          <w:sz w:val="20"/>
          <w:szCs w:val="20"/>
          <w:color w:val="auto"/>
        </w:rPr>
      </w:pPr>
      <w:r>
        <w:rPr>
          <w:rFonts w:ascii="Arial" w:cs="Arial" w:eastAsia="Arial" w:hAnsi="Arial"/>
          <w:sz w:val="22"/>
          <w:szCs w:val="22"/>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4400" w:right="5220" w:hanging="1260"/>
        <w:spacing w:after="0" w:line="481" w:lineRule="auto"/>
        <w:tabs>
          <w:tab w:leader="none" w:pos="44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-12700</wp:posOffset>
            </wp:positionV>
            <wp:extent cx="4431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12700</wp:posOffset>
            </wp:positionV>
            <wp:extent cx="4431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100" w:type="dxa"/>
            <w:vAlign w:val="bottom"/>
          </w:tcPr>
          <w:p>
            <w:pPr>
              <w:jc w:val="center"/>
              <w:spacing w:after="0"/>
              <w:rPr>
                <w:sz w:val="20"/>
                <w:szCs w:val="20"/>
                <w:color w:val="auto"/>
              </w:rPr>
            </w:pPr>
            <w:r>
              <w:rPr>
                <w:rFonts w:ascii="Arial" w:cs="Arial" w:eastAsia="Arial" w:hAnsi="Arial"/>
                <w:sz w:val="22"/>
                <w:szCs w:val="22"/>
                <w:color w:val="auto"/>
                <w:w w:val="93"/>
              </w:rPr>
              <w:t>NUMBER OF SHARES</w:t>
            </w:r>
          </w:p>
        </w:tc>
        <w:tc>
          <w:tcPr>
            <w:tcW w:w="680" w:type="dxa"/>
            <w:vAlign w:val="bottom"/>
          </w:tcPr>
          <w:p>
            <w:pPr>
              <w:jc w:val="right"/>
              <w:ind w:right="483"/>
              <w:spacing w:after="0"/>
              <w:rPr>
                <w:sz w:val="20"/>
                <w:szCs w:val="20"/>
                <w:color w:val="auto"/>
              </w:rPr>
            </w:pPr>
            <w:r>
              <w:rPr>
                <w:rFonts w:ascii="Arial" w:cs="Arial" w:eastAsia="Arial" w:hAnsi="Arial"/>
                <w:sz w:val="19"/>
                <w:szCs w:val="19"/>
                <w:color w:val="auto"/>
                <w:w w:val="75"/>
              </w:rPr>
              <w:t>6</w:t>
            </w:r>
          </w:p>
        </w:tc>
        <w:tc>
          <w:tcPr>
            <w:tcW w:w="6300" w:type="dxa"/>
            <w:vAlign w:val="bottom"/>
          </w:tcPr>
          <w:p>
            <w:pPr>
              <w:ind w:left="58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222"/>
        </w:trPr>
        <w:tc>
          <w:tcPr>
            <w:tcW w:w="3100" w:type="dxa"/>
            <w:vAlign w:val="bottom"/>
          </w:tcPr>
          <w:p>
            <w:pPr>
              <w:jc w:val="center"/>
              <w:spacing w:after="0" w:line="222" w:lineRule="exact"/>
              <w:rPr>
                <w:sz w:val="20"/>
                <w:szCs w:val="20"/>
                <w:color w:val="auto"/>
              </w:rPr>
            </w:pPr>
            <w:r>
              <w:rPr>
                <w:rFonts w:ascii="Arial" w:cs="Arial" w:eastAsia="Arial" w:hAnsi="Arial"/>
                <w:sz w:val="22"/>
                <w:szCs w:val="22"/>
                <w:color w:val="auto"/>
                <w:w w:val="97"/>
              </w:rPr>
              <w:t>BENEFICIALLY</w:t>
            </w:r>
          </w:p>
        </w:tc>
        <w:tc>
          <w:tcPr>
            <w:tcW w:w="6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00" w:type="dxa"/>
            <w:vAlign w:val="bottom"/>
          </w:tcPr>
          <w:p>
            <w:pPr>
              <w:jc w:val="center"/>
              <w:spacing w:after="0"/>
              <w:rPr>
                <w:sz w:val="20"/>
                <w:szCs w:val="20"/>
                <w:color w:val="auto"/>
              </w:rPr>
            </w:pPr>
            <w:r>
              <w:rPr>
                <w:rFonts w:ascii="Arial" w:cs="Arial" w:eastAsia="Arial" w:hAnsi="Arial"/>
                <w:sz w:val="22"/>
                <w:szCs w:val="22"/>
                <w:color w:val="auto"/>
                <w:w w:val="94"/>
              </w:rPr>
              <w:t>OWNED BY EACH REPORTING</w:t>
            </w:r>
          </w:p>
        </w:tc>
        <w:tc>
          <w:tcPr>
            <w:tcW w:w="680" w:type="dxa"/>
            <w:vAlign w:val="bottom"/>
          </w:tcPr>
          <w:p>
            <w:pPr>
              <w:spacing w:after="0"/>
              <w:rPr>
                <w:sz w:val="22"/>
                <w:szCs w:val="22"/>
                <w:color w:val="auto"/>
              </w:rPr>
            </w:pPr>
          </w:p>
        </w:tc>
        <w:tc>
          <w:tcPr>
            <w:tcW w:w="6300" w:type="dxa"/>
            <w:vAlign w:val="bottom"/>
          </w:tcPr>
          <w:p>
            <w:pPr>
              <w:ind w:left="580"/>
              <w:spacing w:after="0"/>
              <w:rPr>
                <w:sz w:val="20"/>
                <w:szCs w:val="20"/>
                <w:color w:val="auto"/>
              </w:rPr>
            </w:pPr>
            <w:r>
              <w:rPr>
                <w:rFonts w:ascii="Arial" w:cs="Arial" w:eastAsia="Arial" w:hAnsi="Arial"/>
                <w:sz w:val="22"/>
                <w:szCs w:val="22"/>
                <w:color w:val="auto"/>
              </w:rPr>
              <w:t>7,585,905 (1)</w:t>
            </w:r>
          </w:p>
        </w:tc>
        <w:tc>
          <w:tcPr>
            <w:tcW w:w="0" w:type="dxa"/>
            <w:vAlign w:val="bottom"/>
          </w:tcPr>
          <w:p>
            <w:pPr>
              <w:spacing w:after="0"/>
              <w:rPr>
                <w:sz w:val="1"/>
                <w:szCs w:val="1"/>
                <w:color w:val="auto"/>
              </w:rPr>
            </w:pPr>
          </w:p>
        </w:tc>
      </w:tr>
      <w:tr>
        <w:trPr>
          <w:trHeight w:val="54"/>
        </w:trPr>
        <w:tc>
          <w:tcPr>
            <w:tcW w:w="3100" w:type="dxa"/>
            <w:vAlign w:val="bottom"/>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10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100" w:type="dxa"/>
            <w:vAlign w:val="bottom"/>
            <w:vMerge w:val="continue"/>
          </w:tcPr>
          <w:p>
            <w:pPr>
              <w:spacing w:after="0"/>
              <w:rPr>
                <w:sz w:val="13"/>
                <w:szCs w:val="13"/>
                <w:color w:val="auto"/>
              </w:rPr>
            </w:pPr>
          </w:p>
        </w:tc>
        <w:tc>
          <w:tcPr>
            <w:tcW w:w="680" w:type="dxa"/>
            <w:vAlign w:val="bottom"/>
            <w:vMerge w:val="restart"/>
          </w:tcPr>
          <w:p>
            <w:pPr>
              <w:jc w:val="right"/>
              <w:ind w:right="483"/>
              <w:spacing w:after="0"/>
              <w:rPr>
                <w:sz w:val="20"/>
                <w:szCs w:val="20"/>
                <w:color w:val="auto"/>
              </w:rPr>
            </w:pPr>
            <w:r>
              <w:rPr>
                <w:rFonts w:ascii="Arial" w:cs="Arial" w:eastAsia="Arial" w:hAnsi="Arial"/>
                <w:sz w:val="19"/>
                <w:szCs w:val="19"/>
                <w:color w:val="auto"/>
                <w:w w:val="75"/>
              </w:rPr>
              <w:t>7</w:t>
            </w:r>
          </w:p>
        </w:tc>
        <w:tc>
          <w:tcPr>
            <w:tcW w:w="6300" w:type="dxa"/>
            <w:vAlign w:val="bottom"/>
            <w:vMerge w:val="restart"/>
          </w:tcPr>
          <w:p>
            <w:pPr>
              <w:ind w:left="58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330"/>
        </w:trPr>
        <w:tc>
          <w:tcPr>
            <w:tcW w:w="31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6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0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147955</wp:posOffset>
            </wp:positionV>
            <wp:extent cx="44316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173355</wp:posOffset>
            </wp:positionV>
            <wp:extent cx="44316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400" w:right="4600" w:hanging="1260"/>
        <w:spacing w:after="0" w:line="481" w:lineRule="auto"/>
        <w:tabs>
          <w:tab w:leader="none" w:pos="44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Shared Dispositive Power 7,585,905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6420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6420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2"/>
          <w:szCs w:val="22"/>
          <w:color w:val="auto"/>
        </w:rPr>
        <w:t>Aggregate Amount Beneficially Owned by Each Reporting Person</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7,585,905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0"/>
          <w:szCs w:val="20"/>
          <w:color w:val="auto"/>
        </w:rPr>
      </w:pPr>
    </w:p>
    <w:p>
      <w:pPr>
        <w:ind w:left="1460" w:hanging="1452"/>
        <w:spacing w:after="0"/>
        <w:tabs>
          <w:tab w:leader="none" w:pos="14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ind w:left="1460" w:right="5220" w:hanging="1452"/>
        <w:spacing w:after="0" w:line="481" w:lineRule="auto"/>
        <w:tabs>
          <w:tab w:leader="none" w:pos="14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9.9% (1)(2)</w:t>
      </w:r>
    </w:p>
    <w:p>
      <w:pPr>
        <w:spacing w:after="0" w:line="12" w:lineRule="exact"/>
        <w:rPr>
          <w:rFonts w:ascii="Arial" w:cs="Arial" w:eastAsia="Arial" w:hAnsi="Arial"/>
          <w:sz w:val="22"/>
          <w:szCs w:val="22"/>
          <w:color w:val="auto"/>
        </w:rPr>
      </w:pPr>
    </w:p>
    <w:p>
      <w:pPr>
        <w:ind w:left="1460" w:right="5960" w:hanging="1452"/>
        <w:spacing w:after="0" w:line="481" w:lineRule="auto"/>
        <w:tabs>
          <w:tab w:leader="none" w:pos="14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-1470025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-1443990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-818515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-792480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ind w:right="360" w:firstLine="8"/>
        <w:spacing w:after="0"/>
        <w:tabs>
          <w:tab w:leader="none" w:pos="306"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Includes 139,676 shares of the Issuer’s common stock issuable upon conversion of Notes. The Reporting Persons are prohibited from converting Notes held by the Fund (as defined below) to obtain beneficial ownership in excess of 9.9% of the outstanding shares of the Issuer’s common stock.</w:t>
      </w:r>
    </w:p>
    <w:p>
      <w:pPr>
        <w:spacing w:after="0" w:line="213" w:lineRule="exact"/>
        <w:rPr>
          <w:rFonts w:ascii="Arial" w:cs="Arial" w:eastAsia="Arial" w:hAnsi="Arial"/>
          <w:sz w:val="22"/>
          <w:szCs w:val="22"/>
          <w:color w:val="auto"/>
        </w:rPr>
      </w:pPr>
    </w:p>
    <w:p>
      <w:pPr>
        <w:ind w:right="420" w:firstLine="8"/>
        <w:spacing w:after="0" w:line="250" w:lineRule="auto"/>
        <w:tabs>
          <w:tab w:leader="none" w:pos="306" w:val="left"/>
        </w:tabs>
        <w:numPr>
          <w:ilvl w:val="0"/>
          <w:numId w:val="13"/>
        </w:numPr>
        <w:rPr>
          <w:rFonts w:ascii="Arial" w:cs="Arial" w:eastAsia="Arial" w:hAnsi="Arial"/>
          <w:sz w:val="22"/>
          <w:szCs w:val="22"/>
          <w:color w:val="auto"/>
        </w:rPr>
      </w:pPr>
      <w:r>
        <w:rPr>
          <w:rFonts w:ascii="Arial" w:cs="Arial" w:eastAsia="Arial" w:hAnsi="Arial"/>
          <w:sz w:val="22"/>
          <w:szCs w:val="22"/>
          <w:color w:val="auto"/>
        </w:rPr>
        <w:t>Based on 76,485,632 shares of the Issuer’s common stock outstanding as of October 31, 2021, as disclosed in the Issuer’s Form 10-Q filed with the SEC on November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22"/>
          <w:szCs w:val="22"/>
          <w:b w:val="1"/>
          <w:bCs w:val="1"/>
          <w:u w:val="single" w:color="auto"/>
          <w:color w:val="auto"/>
        </w:rPr>
        <w:t>Amendment No. 2 to Schedule 13G</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w:t>
      </w:r>
    </w:p>
    <w:p>
      <w:pPr>
        <w:spacing w:after="0" w:line="215" w:lineRule="exact"/>
        <w:rPr>
          <w:sz w:val="20"/>
          <w:szCs w:val="20"/>
          <w:color w:val="auto"/>
        </w:rPr>
      </w:pPr>
    </w:p>
    <w:p>
      <w:pPr>
        <w:ind w:left="1420" w:hanging="697"/>
        <w:spacing w:after="0"/>
        <w:tabs>
          <w:tab w:leader="none" w:pos="14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33" w:lineRule="exact"/>
        <w:rPr>
          <w:rFonts w:ascii="Arial" w:cs="Arial" w:eastAsia="Arial" w:hAnsi="Arial"/>
          <w:sz w:val="22"/>
          <w:szCs w:val="22"/>
          <w:color w:val="auto"/>
        </w:rPr>
      </w:pPr>
    </w:p>
    <w:p>
      <w:pPr>
        <w:ind w:left="1420"/>
        <w:spacing w:after="0"/>
        <w:rPr>
          <w:rFonts w:ascii="Arial" w:cs="Arial" w:eastAsia="Arial" w:hAnsi="Arial"/>
          <w:sz w:val="22"/>
          <w:szCs w:val="22"/>
          <w:color w:val="auto"/>
        </w:rPr>
      </w:pPr>
      <w:r>
        <w:rPr>
          <w:rFonts w:ascii="Arial" w:cs="Arial" w:eastAsia="Arial" w:hAnsi="Arial"/>
          <w:sz w:val="22"/>
          <w:szCs w:val="22"/>
          <w:color w:val="auto"/>
        </w:rPr>
        <w:t>Fluidigm Corporation (the “Issuer”)</w:t>
      </w:r>
    </w:p>
    <w:p>
      <w:pPr>
        <w:spacing w:after="0" w:line="233" w:lineRule="exact"/>
        <w:rPr>
          <w:rFonts w:ascii="Arial" w:cs="Arial" w:eastAsia="Arial" w:hAnsi="Arial"/>
          <w:sz w:val="22"/>
          <w:szCs w:val="22"/>
          <w:color w:val="auto"/>
        </w:rPr>
      </w:pPr>
    </w:p>
    <w:p>
      <w:pPr>
        <w:ind w:left="1420" w:hanging="697"/>
        <w:spacing w:after="0"/>
        <w:tabs>
          <w:tab w:leader="none" w:pos="14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233" w:lineRule="exact"/>
        <w:rPr>
          <w:rFonts w:ascii="Arial" w:cs="Arial" w:eastAsia="Arial" w:hAnsi="Arial"/>
          <w:sz w:val="22"/>
          <w:szCs w:val="22"/>
          <w:color w:val="auto"/>
        </w:rPr>
      </w:pPr>
    </w:p>
    <w:p>
      <w:pPr>
        <w:ind w:left="1420"/>
        <w:spacing w:after="0"/>
        <w:rPr>
          <w:rFonts w:ascii="Arial" w:cs="Arial" w:eastAsia="Arial" w:hAnsi="Arial"/>
          <w:sz w:val="22"/>
          <w:szCs w:val="22"/>
          <w:color w:val="auto"/>
        </w:rPr>
      </w:pPr>
      <w:r>
        <w:rPr>
          <w:rFonts w:ascii="Arial" w:cs="Arial" w:eastAsia="Arial" w:hAnsi="Arial"/>
          <w:sz w:val="22"/>
          <w:szCs w:val="22"/>
          <w:color w:val="auto"/>
        </w:rPr>
        <w:t>2 Tower Place, Suite 2000, South San Francisco, CA 94080</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39" w:lineRule="exact"/>
        <w:rPr>
          <w:sz w:val="20"/>
          <w:szCs w:val="20"/>
          <w:color w:val="auto"/>
        </w:rPr>
      </w:pPr>
    </w:p>
    <w:p>
      <w:pPr>
        <w:ind w:left="1420" w:hanging="710"/>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33" w:lineRule="exact"/>
        <w:rPr>
          <w:rFonts w:ascii="Arial" w:cs="Arial" w:eastAsia="Arial" w:hAnsi="Arial"/>
          <w:sz w:val="22"/>
          <w:szCs w:val="22"/>
          <w:color w:val="auto"/>
        </w:rPr>
      </w:pPr>
    </w:p>
    <w:p>
      <w:pPr>
        <w:ind w:left="1420"/>
        <w:spacing w:after="0"/>
        <w:rPr>
          <w:rFonts w:ascii="Arial" w:cs="Arial" w:eastAsia="Arial" w:hAnsi="Arial"/>
          <w:sz w:val="22"/>
          <w:szCs w:val="22"/>
          <w:color w:val="auto"/>
        </w:rPr>
      </w:pPr>
      <w:r>
        <w:rPr>
          <w:rFonts w:ascii="Arial" w:cs="Arial" w:eastAsia="Arial" w:hAnsi="Arial"/>
          <w:sz w:val="22"/>
          <w:szCs w:val="22"/>
          <w:color w:val="auto"/>
        </w:rPr>
        <w:t>This Schedule 13G is being filed jointly on behalf of:</w:t>
      </w:r>
    </w:p>
    <w:p>
      <w:pPr>
        <w:spacing w:after="0" w:line="233" w:lineRule="exact"/>
        <w:rPr>
          <w:rFonts w:ascii="Arial" w:cs="Arial" w:eastAsia="Arial" w:hAnsi="Arial"/>
          <w:sz w:val="22"/>
          <w:szCs w:val="22"/>
          <w:color w:val="auto"/>
        </w:rPr>
      </w:pPr>
    </w:p>
    <w:p>
      <w:pPr>
        <w:ind w:left="1680" w:hanging="255"/>
        <w:spacing w:after="0"/>
        <w:tabs>
          <w:tab w:leader="none" w:pos="16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Indaba Capital Management, L.P., a Delaware limited partnership (the "Investment Manager"),</w:t>
      </w:r>
    </w:p>
    <w:p>
      <w:pPr>
        <w:spacing w:after="0" w:line="233" w:lineRule="exact"/>
        <w:rPr>
          <w:rFonts w:ascii="Arial" w:cs="Arial" w:eastAsia="Arial" w:hAnsi="Arial"/>
          <w:sz w:val="22"/>
          <w:szCs w:val="22"/>
          <w:color w:val="auto"/>
        </w:rPr>
      </w:pPr>
    </w:p>
    <w:p>
      <w:pPr>
        <w:ind w:left="1420" w:firstLine="5"/>
        <w:spacing w:after="0" w:line="250" w:lineRule="auto"/>
        <w:tabs>
          <w:tab w:leader="none" w:pos="1738" w:val="left"/>
        </w:tabs>
        <w:numPr>
          <w:ilvl w:val="1"/>
          <w:numId w:val="15"/>
        </w:numPr>
        <w:rPr>
          <w:rFonts w:ascii="Arial" w:cs="Arial" w:eastAsia="Arial" w:hAnsi="Arial"/>
          <w:sz w:val="22"/>
          <w:szCs w:val="22"/>
          <w:color w:val="auto"/>
        </w:rPr>
      </w:pPr>
      <w:r>
        <w:rPr>
          <w:rFonts w:ascii="Arial" w:cs="Arial" w:eastAsia="Arial" w:hAnsi="Arial"/>
          <w:sz w:val="22"/>
          <w:szCs w:val="22"/>
          <w:color w:val="auto"/>
        </w:rPr>
        <w:t>IC GP, LLC, a Delaware limited liability company, and the Investment Manager’s sole general partner (“IC GP”), and</w:t>
      </w:r>
    </w:p>
    <w:p>
      <w:pPr>
        <w:spacing w:after="0" w:line="201" w:lineRule="exact"/>
        <w:rPr>
          <w:rFonts w:ascii="Arial" w:cs="Arial" w:eastAsia="Arial" w:hAnsi="Arial"/>
          <w:sz w:val="22"/>
          <w:szCs w:val="22"/>
          <w:color w:val="auto"/>
        </w:rPr>
      </w:pPr>
    </w:p>
    <w:p>
      <w:pPr>
        <w:ind w:left="1420" w:right="200" w:firstLine="5"/>
        <w:spacing w:after="0" w:line="274" w:lineRule="auto"/>
        <w:tabs>
          <w:tab w:leader="none" w:pos="1798" w:val="left"/>
        </w:tabs>
        <w:numPr>
          <w:ilvl w:val="1"/>
          <w:numId w:val="15"/>
        </w:numPr>
        <w:rPr>
          <w:rFonts w:ascii="Arial" w:cs="Arial" w:eastAsia="Arial" w:hAnsi="Arial"/>
          <w:sz w:val="21"/>
          <w:szCs w:val="21"/>
          <w:color w:val="auto"/>
        </w:rPr>
      </w:pPr>
      <w:r>
        <w:rPr>
          <w:rFonts w:ascii="Arial" w:cs="Arial" w:eastAsia="Arial" w:hAnsi="Arial"/>
          <w:sz w:val="21"/>
          <w:szCs w:val="21"/>
          <w:color w:val="auto"/>
        </w:rPr>
        <w:t>Derek C. Schrier, a United States citizen and the Managing Member of IC GP (the “Managing Member” and, collectively with the Investment Manager and IC GP, the “Reporting Persons”).</w:t>
      </w:r>
    </w:p>
    <w:p>
      <w:pPr>
        <w:spacing w:after="0" w:line="177" w:lineRule="exact"/>
        <w:rPr>
          <w:rFonts w:ascii="Arial" w:cs="Arial" w:eastAsia="Arial" w:hAnsi="Arial"/>
          <w:sz w:val="21"/>
          <w:szCs w:val="21"/>
          <w:color w:val="auto"/>
        </w:rPr>
      </w:pPr>
    </w:p>
    <w:p>
      <w:pPr>
        <w:ind w:left="1420" w:hanging="710"/>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33" w:lineRule="exact"/>
        <w:rPr>
          <w:rFonts w:ascii="Arial" w:cs="Arial" w:eastAsia="Arial" w:hAnsi="Arial"/>
          <w:sz w:val="22"/>
          <w:szCs w:val="22"/>
          <w:color w:val="auto"/>
        </w:rPr>
      </w:pPr>
    </w:p>
    <w:p>
      <w:pPr>
        <w:ind w:left="1420"/>
        <w:spacing w:after="0" w:line="250" w:lineRule="auto"/>
        <w:rPr>
          <w:rFonts w:ascii="Arial" w:cs="Arial" w:eastAsia="Arial" w:hAnsi="Arial"/>
          <w:sz w:val="22"/>
          <w:szCs w:val="22"/>
          <w:color w:val="auto"/>
        </w:rPr>
      </w:pPr>
      <w:r>
        <w:rPr>
          <w:rFonts w:ascii="Arial" w:cs="Arial" w:eastAsia="Arial" w:hAnsi="Arial"/>
          <w:sz w:val="22"/>
          <w:szCs w:val="22"/>
          <w:color w:val="auto"/>
        </w:rPr>
        <w:t>The business address of each of the Reporting Persons is One Letterman Drive, Building D, Suite DM700, San Francisco, California 94129</w:t>
      </w:r>
    </w:p>
    <w:p>
      <w:pPr>
        <w:spacing w:after="0" w:line="201" w:lineRule="exact"/>
        <w:rPr>
          <w:rFonts w:ascii="Arial" w:cs="Arial" w:eastAsia="Arial" w:hAnsi="Arial"/>
          <w:sz w:val="22"/>
          <w:szCs w:val="22"/>
          <w:color w:val="auto"/>
        </w:rPr>
      </w:pPr>
    </w:p>
    <w:p>
      <w:pPr>
        <w:ind w:left="1420" w:hanging="710"/>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33" w:lineRule="exact"/>
        <w:rPr>
          <w:rFonts w:ascii="Arial" w:cs="Arial" w:eastAsia="Arial" w:hAnsi="Arial"/>
          <w:sz w:val="22"/>
          <w:szCs w:val="22"/>
          <w:color w:val="auto"/>
        </w:rPr>
      </w:pPr>
    </w:p>
    <w:p>
      <w:pPr>
        <w:ind w:left="1420" w:right="20"/>
        <w:spacing w:after="0" w:line="250" w:lineRule="auto"/>
        <w:rPr>
          <w:rFonts w:ascii="Arial" w:cs="Arial" w:eastAsia="Arial" w:hAnsi="Arial"/>
          <w:sz w:val="22"/>
          <w:szCs w:val="22"/>
          <w:color w:val="auto"/>
        </w:rPr>
      </w:pPr>
      <w:r>
        <w:rPr>
          <w:rFonts w:ascii="Arial" w:cs="Arial" w:eastAsia="Arial" w:hAnsi="Arial"/>
          <w:sz w:val="22"/>
          <w:szCs w:val="22"/>
          <w:color w:val="auto"/>
        </w:rPr>
        <w:t>The Investment Manager is a Delaware limited partnership, IC GP is a Delaware limited liability company and the Managing Member is a United States citizen.</w:t>
      </w:r>
    </w:p>
    <w:p>
      <w:pPr>
        <w:spacing w:after="0" w:line="201" w:lineRule="exact"/>
        <w:rPr>
          <w:rFonts w:ascii="Arial" w:cs="Arial" w:eastAsia="Arial" w:hAnsi="Arial"/>
          <w:sz w:val="22"/>
          <w:szCs w:val="22"/>
          <w:color w:val="auto"/>
        </w:rPr>
      </w:pPr>
    </w:p>
    <w:p>
      <w:pPr>
        <w:ind w:left="1420" w:hanging="710"/>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Title of Class Securities:</w:t>
      </w:r>
    </w:p>
    <w:p>
      <w:pPr>
        <w:spacing w:after="0" w:line="233" w:lineRule="exact"/>
        <w:rPr>
          <w:rFonts w:ascii="Arial" w:cs="Arial" w:eastAsia="Arial" w:hAnsi="Arial"/>
          <w:sz w:val="22"/>
          <w:szCs w:val="22"/>
          <w:color w:val="auto"/>
        </w:rPr>
      </w:pPr>
    </w:p>
    <w:p>
      <w:pPr>
        <w:ind w:left="1420"/>
        <w:spacing w:after="0"/>
        <w:rPr>
          <w:rFonts w:ascii="Arial" w:cs="Arial" w:eastAsia="Arial" w:hAnsi="Arial"/>
          <w:sz w:val="22"/>
          <w:szCs w:val="22"/>
          <w:color w:val="auto"/>
        </w:rPr>
      </w:pPr>
      <w:r>
        <w:rPr>
          <w:rFonts w:ascii="Arial" w:cs="Arial" w:eastAsia="Arial" w:hAnsi="Arial"/>
          <w:sz w:val="22"/>
          <w:szCs w:val="22"/>
          <w:color w:val="auto"/>
        </w:rPr>
        <w:t>Common Stock, par value $0.001 per share (“Common Stock”)</w:t>
      </w:r>
    </w:p>
    <w:p>
      <w:pPr>
        <w:spacing w:after="0" w:line="233" w:lineRule="exact"/>
        <w:rPr>
          <w:rFonts w:ascii="Arial" w:cs="Arial" w:eastAsia="Arial" w:hAnsi="Arial"/>
          <w:sz w:val="22"/>
          <w:szCs w:val="22"/>
          <w:color w:val="auto"/>
        </w:rPr>
      </w:pPr>
    </w:p>
    <w:p>
      <w:pPr>
        <w:ind w:left="1420" w:right="8160" w:hanging="710"/>
        <w:spacing w:after="0" w:line="595" w:lineRule="auto"/>
        <w:tabs>
          <w:tab w:leader="none" w:pos="14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2" w:right="559" w:bottom="1440"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Rules 13d-1(b), or 13d-2(b) or (c), check whether the person filing is a:</w:t>
      </w:r>
    </w:p>
    <w:p>
      <w:pPr>
        <w:spacing w:after="0" w:line="239" w:lineRule="exact"/>
        <w:rPr>
          <w:sz w:val="20"/>
          <w:szCs w:val="20"/>
          <w:color w:val="auto"/>
        </w:rPr>
      </w:pPr>
    </w:p>
    <w:p>
      <w:pPr>
        <w:ind w:left="2320" w:hanging="868"/>
        <w:spacing w:after="0"/>
        <w:tabs>
          <w:tab w:leader="none" w:pos="2320" w:val="left"/>
        </w:tabs>
        <w:numPr>
          <w:ilvl w:val="2"/>
          <w:numId w:val="16"/>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33" w:lineRule="exact"/>
        <w:rPr>
          <w:rFonts w:ascii="Arial" w:cs="Arial" w:eastAsia="Arial" w:hAnsi="Arial"/>
          <w:sz w:val="22"/>
          <w:szCs w:val="22"/>
          <w:color w:val="auto"/>
        </w:rPr>
      </w:pPr>
    </w:p>
    <w:p>
      <w:pPr>
        <w:ind w:left="2320" w:hanging="868"/>
        <w:spacing w:after="0"/>
        <w:tabs>
          <w:tab w:leader="none" w:pos="2320" w:val="left"/>
        </w:tabs>
        <w:numPr>
          <w:ilvl w:val="2"/>
          <w:numId w:val="16"/>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33" w:lineRule="exact"/>
        <w:rPr>
          <w:rFonts w:ascii="Arial" w:cs="Arial" w:eastAsia="Arial" w:hAnsi="Arial"/>
          <w:sz w:val="22"/>
          <w:szCs w:val="22"/>
          <w:color w:val="auto"/>
        </w:rPr>
      </w:pPr>
    </w:p>
    <w:p>
      <w:pPr>
        <w:ind w:left="2320" w:hanging="868"/>
        <w:spacing w:after="0"/>
        <w:tabs>
          <w:tab w:leader="none" w:pos="2320" w:val="left"/>
        </w:tabs>
        <w:numPr>
          <w:ilvl w:val="2"/>
          <w:numId w:val="16"/>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2900" w:hanging="1461"/>
        <w:spacing w:after="0" w:line="250" w:lineRule="auto"/>
        <w:tabs>
          <w:tab w:leader="none" w:pos="2306" w:val="left"/>
        </w:tabs>
        <w:numPr>
          <w:ilvl w:val="1"/>
          <w:numId w:val="17"/>
        </w:numPr>
        <w:rPr>
          <w:rFonts w:ascii="Arial" w:cs="Arial" w:eastAsia="Arial" w:hAnsi="Arial"/>
          <w:sz w:val="22"/>
          <w:szCs w:val="22"/>
          <w:color w:val="auto"/>
        </w:rPr>
      </w:pPr>
      <w:r>
        <w:rPr>
          <w:rFonts w:ascii="Arial" w:cs="Arial" w:eastAsia="Arial" w:hAnsi="Arial"/>
          <w:sz w:val="22"/>
          <w:szCs w:val="22"/>
          <w:color w:val="auto"/>
        </w:rPr>
        <w:t>[ ]Investment company registered under section 8 of the Investment Company Act (15 U.S.C. 80a-8).</w:t>
      </w:r>
    </w:p>
    <w:p>
      <w:pPr>
        <w:spacing w:after="0" w:line="201" w:lineRule="exact"/>
        <w:rPr>
          <w:rFonts w:ascii="Arial" w:cs="Arial" w:eastAsia="Arial" w:hAnsi="Arial"/>
          <w:sz w:val="22"/>
          <w:szCs w:val="22"/>
          <w:color w:val="auto"/>
        </w:rPr>
      </w:pPr>
    </w:p>
    <w:p>
      <w:pPr>
        <w:ind w:left="2300" w:hanging="861"/>
        <w:spacing w:after="0"/>
        <w:tabs>
          <w:tab w:leader="none" w:pos="2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[X]   An investment adviser in accordance with Rule 13d-1(b)(1)(ii)(E).</w:t>
      </w:r>
    </w:p>
    <w:p>
      <w:pPr>
        <w:spacing w:after="0" w:line="233" w:lineRule="exact"/>
        <w:rPr>
          <w:rFonts w:ascii="Arial" w:cs="Arial" w:eastAsia="Arial" w:hAnsi="Arial"/>
          <w:sz w:val="22"/>
          <w:szCs w:val="22"/>
          <w:color w:val="auto"/>
        </w:rPr>
      </w:pPr>
    </w:p>
    <w:p>
      <w:pPr>
        <w:ind w:left="2300" w:hanging="861"/>
        <w:spacing w:after="0"/>
        <w:tabs>
          <w:tab w:leader="none" w:pos="2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An employee benefit plan or endowment fund in accordance with Rule 13d-1(b)(1)(ii)(F).</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2260" w:hanging="835"/>
        <w:spacing w:after="0"/>
        <w:tabs>
          <w:tab w:leader="none" w:pos="2260" w:val="left"/>
        </w:tabs>
        <w:numPr>
          <w:ilvl w:val="0"/>
          <w:numId w:val="18"/>
        </w:numPr>
        <w:rPr>
          <w:rFonts w:ascii="Arial" w:cs="Arial" w:eastAsia="Arial" w:hAnsi="Arial"/>
          <w:sz w:val="21"/>
          <w:szCs w:val="21"/>
          <w:color w:val="auto"/>
        </w:rPr>
      </w:pPr>
      <w:r>
        <w:rPr>
          <w:rFonts w:ascii="Arial" w:cs="Arial" w:eastAsia="Arial" w:hAnsi="Arial"/>
          <w:sz w:val="21"/>
          <w:szCs w:val="21"/>
          <w:color w:val="auto"/>
        </w:rPr>
        <w:t>[X]    A parent holding company or control person in accordance with Rule 13d-1(b)(1)(ii)(G).</w:t>
      </w:r>
    </w:p>
    <w:p>
      <w:pPr>
        <w:spacing w:after="0" w:line="200" w:lineRule="exact"/>
        <w:rPr>
          <w:rFonts w:ascii="Arial" w:cs="Arial" w:eastAsia="Arial" w:hAnsi="Arial"/>
          <w:sz w:val="21"/>
          <w:szCs w:val="21"/>
          <w:color w:val="auto"/>
        </w:rPr>
      </w:pPr>
    </w:p>
    <w:p>
      <w:pPr>
        <w:spacing w:after="0" w:line="287" w:lineRule="exact"/>
        <w:rPr>
          <w:rFonts w:ascii="Arial" w:cs="Arial" w:eastAsia="Arial" w:hAnsi="Arial"/>
          <w:sz w:val="21"/>
          <w:szCs w:val="21"/>
          <w:color w:val="auto"/>
        </w:rPr>
      </w:pPr>
    </w:p>
    <w:p>
      <w:pPr>
        <w:ind w:left="2880" w:right="600" w:hanging="1428"/>
        <w:spacing w:after="0" w:line="250" w:lineRule="auto"/>
        <w:tabs>
          <w:tab w:leader="none" w:pos="2313" w:val="left"/>
        </w:tabs>
        <w:numPr>
          <w:ilvl w:val="2"/>
          <w:numId w:val="18"/>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200" w:lineRule="exact"/>
        <w:rPr>
          <w:rFonts w:ascii="Arial" w:cs="Arial" w:eastAsia="Arial" w:hAnsi="Arial"/>
          <w:sz w:val="22"/>
          <w:szCs w:val="22"/>
          <w:color w:val="auto"/>
        </w:rPr>
      </w:pPr>
    </w:p>
    <w:p>
      <w:pPr>
        <w:spacing w:after="0" w:line="244" w:lineRule="exact"/>
        <w:rPr>
          <w:rFonts w:ascii="Arial" w:cs="Arial" w:eastAsia="Arial" w:hAnsi="Arial"/>
          <w:sz w:val="22"/>
          <w:szCs w:val="22"/>
          <w:color w:val="auto"/>
        </w:rPr>
      </w:pPr>
    </w:p>
    <w:p>
      <w:pPr>
        <w:ind w:left="2320" w:hanging="868"/>
        <w:spacing w:after="0"/>
        <w:tabs>
          <w:tab w:leader="none" w:pos="2320" w:val="left"/>
        </w:tabs>
        <w:numPr>
          <w:ilvl w:val="2"/>
          <w:numId w:val="18"/>
        </w:numPr>
        <w:rPr>
          <w:rFonts w:ascii="Arial" w:cs="Arial" w:eastAsia="Arial" w:hAnsi="Arial"/>
          <w:sz w:val="19"/>
          <w:szCs w:val="19"/>
          <w:color w:val="auto"/>
        </w:rPr>
      </w:pPr>
      <w:r>
        <w:rPr>
          <w:rFonts w:ascii="Arial" w:cs="Arial" w:eastAsia="Arial" w:hAnsi="Arial"/>
          <w:sz w:val="19"/>
          <w:szCs w:val="19"/>
          <w:color w:val="auto"/>
        </w:rPr>
        <w:t>[ ]    A church plan that is excluded from the definition of an investment company under section 3(c)</w:t>
      </w:r>
    </w:p>
    <w:p>
      <w:pPr>
        <w:spacing w:after="0" w:line="42" w:lineRule="exact"/>
        <w:rPr>
          <w:rFonts w:ascii="Arial" w:cs="Arial" w:eastAsia="Arial" w:hAnsi="Arial"/>
          <w:sz w:val="19"/>
          <w:szCs w:val="19"/>
          <w:color w:val="auto"/>
        </w:rPr>
      </w:pPr>
    </w:p>
    <w:p>
      <w:pPr>
        <w:ind w:left="3300" w:hanging="417"/>
        <w:spacing w:after="0"/>
        <w:tabs>
          <w:tab w:leader="none" w:pos="3300" w:val="left"/>
        </w:tabs>
        <w:numPr>
          <w:ilvl w:val="3"/>
          <w:numId w:val="18"/>
        </w:numPr>
        <w:rPr>
          <w:rFonts w:ascii="Arial" w:cs="Arial" w:eastAsia="Arial" w:hAnsi="Arial"/>
          <w:sz w:val="22"/>
          <w:szCs w:val="22"/>
          <w:color w:val="auto"/>
        </w:rPr>
      </w:pPr>
      <w:r>
        <w:rPr>
          <w:rFonts w:ascii="Arial" w:cs="Arial" w:eastAsia="Arial" w:hAnsi="Arial"/>
          <w:sz w:val="22"/>
          <w:szCs w:val="22"/>
          <w:color w:val="auto"/>
        </w:rPr>
        <w:t>of the Investment Company Act of 1940 (15 U.S.C. 80a-3).</w:t>
      </w:r>
    </w:p>
    <w:p>
      <w:pPr>
        <w:spacing w:after="0" w:line="215" w:lineRule="exact"/>
        <w:rPr>
          <w:rFonts w:ascii="Arial" w:cs="Arial" w:eastAsia="Arial" w:hAnsi="Arial"/>
          <w:sz w:val="22"/>
          <w:szCs w:val="22"/>
          <w:color w:val="auto"/>
        </w:rPr>
      </w:pPr>
    </w:p>
    <w:p>
      <w:pPr>
        <w:ind w:left="2320" w:hanging="868"/>
        <w:spacing w:after="0"/>
        <w:tabs>
          <w:tab w:leader="none" w:pos="2320" w:val="left"/>
        </w:tabs>
        <w:numPr>
          <w:ilvl w:val="2"/>
          <w:numId w:val="18"/>
        </w:numPr>
        <w:rPr>
          <w:rFonts w:ascii="Arial" w:cs="Arial" w:eastAsia="Arial" w:hAnsi="Arial"/>
          <w:sz w:val="22"/>
          <w:szCs w:val="22"/>
          <w:color w:val="auto"/>
        </w:rPr>
      </w:pPr>
      <w:r>
        <w:rPr>
          <w:rFonts w:ascii="Arial" w:cs="Arial" w:eastAsia="Arial" w:hAnsi="Arial"/>
          <w:sz w:val="22"/>
          <w:szCs w:val="22"/>
          <w:color w:val="auto"/>
        </w:rPr>
        <w:t>[ ]    A non-U.S. institution in accordance with Rule 13d-1(b)(1)(ii)(J).</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2320" w:hanging="868"/>
        <w:spacing w:after="0"/>
        <w:tabs>
          <w:tab w:leader="none" w:pos="2320" w:val="left"/>
        </w:tabs>
        <w:numPr>
          <w:ilvl w:val="2"/>
          <w:numId w:val="18"/>
        </w:numPr>
        <w:rPr>
          <w:rFonts w:ascii="Arial" w:cs="Arial" w:eastAsia="Arial" w:hAnsi="Arial"/>
          <w:sz w:val="22"/>
          <w:szCs w:val="22"/>
          <w:color w:val="auto"/>
        </w:rPr>
      </w:pPr>
      <w:r>
        <w:rPr>
          <w:rFonts w:ascii="Arial" w:cs="Arial" w:eastAsia="Arial" w:hAnsi="Arial"/>
          <w:sz w:val="22"/>
          <w:szCs w:val="22"/>
          <w:color w:val="auto"/>
        </w:rPr>
        <w:t>[ ]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 w:name="page7"/>
    <w:bookmarkEnd w:id="6"/>
    <w:p>
      <w:pPr>
        <w:spacing w:after="0"/>
        <w:tabs>
          <w:tab w:leader="none" w:pos="11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 Amount beneficially owned:</w:t>
      </w:r>
    </w:p>
    <w:p>
      <w:pPr>
        <w:spacing w:after="0" w:line="233"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As of December 31, 2021, the Reporting Persons beneficially owned the shares of Common Stock referenced in Item 9 of the cover page pertaining to each Reporting Person and such Item 9 disclosure is incorporated herein by reference.</w:t>
      </w:r>
    </w:p>
    <w:p>
      <w:pPr>
        <w:spacing w:after="0" w:line="13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shares of Common Stock beneficially owned by the Reporting Persons are directly held by Indaba Capital Fund, L.P. (the “Fund”), a private investment fund for which the Investment Manager serves as investment manager. Pursuant to an Investment Management Agreement, the Fund and its general partner have delegated all voting and investment power over the shares of Common Stock directly held by the Fund to the Investment Manager.</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(b) Percent of class: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Incorporated by reference to Item 11 of the cover page pertaining to each Reporting Person.</w:t>
      </w:r>
    </w:p>
    <w:p>
      <w:pPr>
        <w:spacing w:after="0" w:line="233"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Number of shares to which the person has:</w:t>
      </w:r>
    </w:p>
    <w:p>
      <w:pPr>
        <w:spacing w:after="0" w:line="233" w:lineRule="exact"/>
        <w:rPr>
          <w:rFonts w:ascii="Arial" w:cs="Arial" w:eastAsia="Arial" w:hAnsi="Arial"/>
          <w:sz w:val="22"/>
          <w:szCs w:val="22"/>
          <w:color w:val="auto"/>
        </w:rPr>
      </w:pPr>
    </w:p>
    <w:p>
      <w:pPr>
        <w:ind w:left="1580" w:hanging="263"/>
        <w:spacing w:after="0"/>
        <w:tabs>
          <w:tab w:leader="none" w:pos="1580" w:val="left"/>
        </w:tabs>
        <w:numPr>
          <w:ilvl w:val="1"/>
          <w:numId w:val="19"/>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Incorporated by reference to Item 5 of the cover page pertaining to each Reporting Person.</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(ii) Shared power to direct the vote:</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Incorporated by reference to Item 6 of the cover page pertaining to each Reporting Person.</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(iii) Sole power to dispose or to direct the disposition of:</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Incorporated by reference to Item 7 of the cover page pertaining to each Reporting Person.</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(iv) Shared power to dispose or to direct the disposition of:</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Incorporated by reference to Item 8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40"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securities, check the following [ ].</w:t>
      </w:r>
    </w:p>
    <w:p>
      <w:pPr>
        <w:spacing w:after="0" w:line="19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9" w:lineRule="exact"/>
        <w:rPr>
          <w:sz w:val="20"/>
          <w:szCs w:val="20"/>
          <w:color w:val="auto"/>
        </w:rPr>
      </w:pPr>
    </w:p>
    <w:p>
      <w:pPr>
        <w:ind w:right="880"/>
        <w:spacing w:after="0" w:line="250" w:lineRule="auto"/>
        <w:rPr>
          <w:sz w:val="20"/>
          <w:szCs w:val="20"/>
          <w:color w:val="auto"/>
        </w:rPr>
      </w:pPr>
      <w:r>
        <w:rPr>
          <w:rFonts w:ascii="Arial" w:cs="Arial" w:eastAsia="Arial" w:hAnsi="Arial"/>
          <w:sz w:val="22"/>
          <w:szCs w:val="22"/>
          <w:color w:val="auto"/>
        </w:rPr>
        <w:t>The shares of Common Stock beneficially owned by the Reporting Persons are directly held by the Fund, for which the Investment Manager serves as investment manager.</w:t>
      </w:r>
    </w:p>
    <w:p>
      <w:pPr>
        <w:spacing w:after="0" w:line="196" w:lineRule="exact"/>
        <w:rPr>
          <w:sz w:val="20"/>
          <w:szCs w:val="20"/>
          <w:color w:val="auto"/>
        </w:rPr>
      </w:pPr>
    </w:p>
    <w:p>
      <w:pPr>
        <w:ind w:left="1040" w:right="400" w:hanging="1038"/>
        <w:spacing w:after="0" w:line="256" w:lineRule="auto"/>
        <w:tabs>
          <w:tab w:leader="none" w:pos="102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8" w:name="page9"/>
    <w:bookmarkEnd w:id="8"/>
    <w:p>
      <w:pPr>
        <w:jc w:val="center"/>
        <w:ind w:right="-339"/>
        <w:spacing w:after="0"/>
        <w:rPr>
          <w:sz w:val="20"/>
          <w:szCs w:val="20"/>
          <w:color w:val="auto"/>
        </w:rPr>
      </w:pPr>
      <w:r>
        <w:rPr>
          <w:rFonts w:ascii="Arial" w:cs="Arial" w:eastAsia="Arial" w:hAnsi="Arial"/>
          <w:sz w:val="22"/>
          <w:szCs w:val="22"/>
          <w:color w:val="auto"/>
        </w:rPr>
        <w:t>SIGNATURE</w:t>
      </w: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14, 2022</w:t>
      </w:r>
    </w:p>
    <w:p>
      <w:pPr>
        <w:spacing w:after="0" w:line="23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INDABA CAPITAL MANAGEMENT, L.P.</w:t>
      </w:r>
    </w:p>
    <w:p>
      <w:pPr>
        <w:spacing w:after="0" w:line="23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  IC GP, LLC, its general partner</w:t>
      </w:r>
    </w:p>
    <w:p>
      <w:pPr>
        <w:spacing w:after="0" w:line="23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Derek C. Schrier</w:t>
      </w:r>
    </w:p>
    <w:p>
      <w:pPr>
        <w:ind w:left="6020"/>
        <w:spacing w:after="0" w:line="238" w:lineRule="auto"/>
        <w:rPr>
          <w:sz w:val="20"/>
          <w:szCs w:val="20"/>
          <w:color w:val="auto"/>
        </w:rPr>
      </w:pPr>
      <w:r>
        <w:rPr>
          <w:rFonts w:ascii="Arial" w:cs="Arial" w:eastAsia="Arial" w:hAnsi="Arial"/>
          <w:sz w:val="22"/>
          <w:szCs w:val="22"/>
          <w:color w:val="auto"/>
        </w:rPr>
        <w:t>Name: Derek C. Schrier</w:t>
      </w:r>
    </w:p>
    <w:p>
      <w:pPr>
        <w:ind w:left="6020"/>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IC GP, LLC</w:t>
      </w:r>
    </w:p>
    <w:p>
      <w:pPr>
        <w:spacing w:after="0" w:line="23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Derek C. Schrier</w:t>
      </w:r>
    </w:p>
    <w:p>
      <w:pPr>
        <w:ind w:left="6020"/>
        <w:spacing w:after="0" w:line="238" w:lineRule="auto"/>
        <w:rPr>
          <w:sz w:val="20"/>
          <w:szCs w:val="20"/>
          <w:color w:val="auto"/>
        </w:rPr>
      </w:pPr>
      <w:r>
        <w:rPr>
          <w:rFonts w:ascii="Arial" w:cs="Arial" w:eastAsia="Arial" w:hAnsi="Arial"/>
          <w:sz w:val="22"/>
          <w:szCs w:val="22"/>
          <w:color w:val="auto"/>
        </w:rPr>
        <w:t>Name: Derek C. Schrier</w:t>
      </w:r>
    </w:p>
    <w:p>
      <w:pPr>
        <w:ind w:left="602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58" w:lineRule="exact"/>
        <w:rPr>
          <w:sz w:val="20"/>
          <w:szCs w:val="20"/>
          <w:color w:val="auto"/>
        </w:rPr>
      </w:pPr>
    </w:p>
    <w:p>
      <w:pPr>
        <w:ind w:left="5600"/>
        <w:spacing w:after="0"/>
        <w:rPr>
          <w:sz w:val="20"/>
          <w:szCs w:val="20"/>
          <w:color w:val="auto"/>
        </w:rPr>
      </w:pPr>
      <w:r>
        <w:rPr>
          <w:rFonts w:ascii="Arial" w:cs="Arial" w:eastAsia="Arial" w:hAnsi="Arial"/>
          <w:sz w:val="22"/>
          <w:szCs w:val="22"/>
          <w:u w:val="single" w:color="auto"/>
          <w:color w:val="auto"/>
        </w:rPr>
        <w:t>/s/ Derek C. Schrier</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DEREK C. SCHRIER</w:t>
      </w:r>
    </w:p>
    <w:sectPr>
      <w:pgSz w:w="11900" w:h="16838" w:orient="portrait"/>
      <w:cols w:equalWidth="0" w:num="1">
        <w:col w:w="10900"/>
      </w:cols>
      <w:pgMar w:left="320" w:top="118"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5"/>
      <w:numFmt w:val="bullet"/>
      <w:start w:val="1"/>
    </w:lvl>
  </w:abstractNum>
  <w:abstractNum w:abstractNumId="2">
    <w:nsid w:val="1F16E9E8"/>
    <w:multiLevelType w:val="hybridMultilevel"/>
    <w:lvl w:ilvl="0">
      <w:lvlJc w:val="left"/>
      <w:lvlText w:val="8"/>
      <w:numFmt w:val="bullet"/>
      <w:start w:val="1"/>
    </w:lvl>
  </w:abstractNum>
  <w:abstractNum w:abstractNumId="3">
    <w:nsid w:val="1190CDE7"/>
    <w:multiLevelType w:val="hybridMultilevel"/>
    <w:lvl w:ilvl="0">
      <w:lvlJc w:val="left"/>
      <w:lvlText w:val="%1"/>
      <w:numFmt w:val="decimal"/>
      <w:start w:val="10"/>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8"/>
      <w:numFmt w:val="bullet"/>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5"/>
      <w:numFmt w:val="bullet"/>
      <w:start w:val="1"/>
    </w:lvl>
  </w:abstractNum>
  <w:abstractNum w:abstractNumId="10">
    <w:nsid w:val="1BEFD79F"/>
    <w:multiLevelType w:val="hybridMultilevel"/>
    <w:lvl w:ilvl="0">
      <w:lvlJc w:val="left"/>
      <w:lvlText w:val="8"/>
      <w:numFmt w:val="bullet"/>
      <w:start w:val="1"/>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lvl w:ilvl="1">
      <w:lvlJc w:val="left"/>
      <w:lvlText w:val="(%2)"/>
      <w:numFmt w:val="lowerRoman"/>
      <w:start w:val="1"/>
    </w:lvl>
  </w:abstractNum>
  <w:abstractNum w:abstractNumId="15">
    <w:nsid w:val="519B500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6">
    <w:nsid w:val="431BD7B7"/>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decimal"/>
      <w:start w:val="1"/>
    </w:lvl>
  </w:abstractNum>
  <w:abstractNum w:abstractNumId="17">
    <w:nsid w:val="3F2DBA31"/>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8"/>
    </w:lvl>
    <w:lvl w:ilvl="3">
      <w:lvlJc w:val="left"/>
      <w:lvlText w:val="(%4)"/>
      <w:numFmt w:val="decimal"/>
      <w:start w:val="14"/>
    </w:lvl>
  </w:abstractNum>
  <w:abstractNum w:abstractNumId="18">
    <w:nsid w:val="7C83E458"/>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2022-02-14T14:49:41Z</dcterms:created>
  <dcterms:modified xsi:type="dcterms:W3CDTF">2022-02-14T14:49:41Z</dcterms:modified>
</cp:coreProperties>
</file>