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__________________________</w:t>
      </w:r>
    </w:p>
    <w:p>
      <w:pPr>
        <w:jc w:val="center"/>
        <w:ind w:right="-19"/>
        <w:spacing w:after="0"/>
        <w:rPr>
          <w:sz w:val="20"/>
          <w:szCs w:val="20"/>
          <w:color w:val="auto"/>
        </w:rPr>
      </w:pPr>
      <w:r>
        <w:rPr>
          <w:rFonts w:ascii="Arial" w:cs="Arial" w:eastAsia="Arial" w:hAnsi="Arial"/>
          <w:sz w:val="22"/>
          <w:szCs w:val="22"/>
          <w:b w:val="1"/>
          <w:bCs w:val="1"/>
          <w:color w:val="auto"/>
        </w:rPr>
        <w:t>FORM 8-K</w:t>
      </w:r>
    </w:p>
    <w:p>
      <w:pPr>
        <w:ind w:left="4560"/>
        <w:spacing w:after="0"/>
        <w:rPr>
          <w:sz w:val="20"/>
          <w:szCs w:val="20"/>
          <w:color w:val="auto"/>
        </w:rPr>
      </w:pPr>
      <w:r>
        <w:rPr>
          <w:rFonts w:ascii="Arial" w:cs="Arial" w:eastAsia="Arial" w:hAnsi="Arial"/>
          <w:sz w:val="18"/>
          <w:szCs w:val="18"/>
          <w:color w:val="auto"/>
        </w:rPr>
        <w:t>__________________________</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20, 2019</w:t>
      </w:r>
    </w:p>
    <w:p>
      <w:pPr>
        <w:spacing w:after="0" w:line="9"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FLUIDIGM CORPORATION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__________________________</w:t>
      </w:r>
    </w:p>
    <w:p>
      <w:pPr>
        <w:sectPr>
          <w:pgSz w:w="11900" w:h="16838" w:orient="portrait"/>
          <w:cols w:equalWidth="0" w:num="1">
            <w:col w:w="11420"/>
          </w:cols>
          <w:pgMar w:left="240" w:top="459" w:right="239" w:bottom="1440" w:gutter="0" w:footer="0" w:header="0"/>
        </w:sectPr>
      </w:pPr>
    </w:p>
    <w:p>
      <w:pPr>
        <w:spacing w:after="0" w:line="20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001-34180</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31" w:lineRule="exact"/>
        <w:rPr>
          <w:sz w:val="24"/>
          <w:szCs w:val="24"/>
          <w:color w:val="auto"/>
        </w:rPr>
      </w:pPr>
    </w:p>
    <w:p>
      <w:pPr>
        <w:sectPr>
          <w:pgSz w:w="11900" w:h="16838" w:orient="portrait"/>
          <w:cols w:equalWidth="0" w:num="3">
            <w:col w:w="4740" w:space="720"/>
            <w:col w:w="2980" w:space="720"/>
            <w:col w:w="2260"/>
          </w:cols>
          <w:pgMar w:left="240" w:top="459" w:right="239" w:bottom="1440" w:gutter="0" w:footer="0" w:header="0"/>
          <w:type w:val="continuous"/>
        </w:sectPr>
      </w:pPr>
    </w:p>
    <w:p>
      <w:pPr>
        <w:spacing w:after="0" w:line="12" w:lineRule="exact"/>
        <w:rPr>
          <w:sz w:val="24"/>
          <w:szCs w:val="24"/>
          <w:color w:val="auto"/>
        </w:rPr>
      </w:pPr>
    </w:p>
    <w:p>
      <w:pPr>
        <w:jc w:val="center"/>
        <w:ind w:right="780"/>
        <w:spacing w:after="0"/>
        <w:rPr>
          <w:sz w:val="20"/>
          <w:szCs w:val="20"/>
          <w:color w:val="auto"/>
        </w:rPr>
      </w:pPr>
      <w:r>
        <w:rPr>
          <w:rFonts w:ascii="Arial" w:cs="Arial" w:eastAsia="Arial" w:hAnsi="Arial"/>
          <w:sz w:val="13"/>
          <w:szCs w:val="13"/>
          <w:b w:val="1"/>
          <w:bCs w:val="1"/>
          <w:color w:val="auto"/>
        </w:rPr>
        <w:t>(State or other jurisdiction</w:t>
      </w:r>
    </w:p>
    <w:p>
      <w:pPr>
        <w:jc w:val="center"/>
        <w:ind w:right="7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4"/>
          <w:szCs w:val="14"/>
          <w:b w:val="1"/>
          <w:bCs w:val="1"/>
          <w:color w:val="auto"/>
        </w:rPr>
        <w:t>(IRS Employer</w:t>
      </w:r>
    </w:p>
    <w:p>
      <w:pPr>
        <w:jc w:val="center"/>
        <w:ind w:right="1260"/>
        <w:spacing w:after="0"/>
        <w:rPr>
          <w:sz w:val="20"/>
          <w:szCs w:val="20"/>
          <w:color w:val="auto"/>
        </w:rPr>
      </w:pPr>
      <w:r>
        <w:rPr>
          <w:rFonts w:ascii="Arial" w:cs="Arial" w:eastAsia="Arial" w:hAnsi="Arial"/>
          <w:sz w:val="13"/>
          <w:szCs w:val="13"/>
          <w:b w:val="1"/>
          <w:bCs w:val="1"/>
          <w:color w:val="auto"/>
        </w:rPr>
        <w:t>Identification No.)</w:t>
      </w:r>
    </w:p>
    <w:p>
      <w:pPr>
        <w:spacing w:after="0" w:line="136" w:lineRule="exact"/>
        <w:rPr>
          <w:sz w:val="24"/>
          <w:szCs w:val="24"/>
          <w:color w:val="auto"/>
        </w:rPr>
      </w:pPr>
    </w:p>
    <w:p>
      <w:pPr>
        <w:sectPr>
          <w:pgSz w:w="11900" w:h="16838" w:orient="portrait"/>
          <w:cols w:equalWidth="0" w:num="3">
            <w:col w:w="4700" w:space="720"/>
            <w:col w:w="2900" w:space="720"/>
            <w:col w:w="238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7000 Shoreline Court, Suite 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ectPr>
          <w:pgSz w:w="11900" w:h="16838" w:orient="portrait"/>
          <w:cols w:equalWidth="0" w:num="1">
            <w:col w:w="11420"/>
          </w:cols>
          <w:pgMar w:left="240" w:top="459" w:right="239" w:bottom="1440" w:gutter="0" w:footer="0" w:header="0"/>
          <w:type w:val="continuous"/>
        </w:sectPr>
      </w:pPr>
    </w:p>
    <w:p>
      <w:pPr>
        <w:spacing w:after="0" w:line="42" w:lineRule="exact"/>
        <w:rPr>
          <w:sz w:val="24"/>
          <w:szCs w:val="24"/>
          <w:color w:val="auto"/>
        </w:rPr>
      </w:pPr>
    </w:p>
    <w:p>
      <w:pPr>
        <w:ind w:left="4540"/>
        <w:spacing w:after="0"/>
        <w:rPr>
          <w:sz w:val="20"/>
          <w:szCs w:val="20"/>
          <w:color w:val="auto"/>
        </w:rPr>
      </w:pPr>
      <w:r>
        <w:rPr>
          <w:rFonts w:ascii="Arial" w:cs="Arial" w:eastAsia="Arial" w:hAnsi="Arial"/>
          <w:sz w:val="18"/>
          <w:szCs w:val="18"/>
          <w:color w:val="auto"/>
        </w:rPr>
        <w:t>__________________________</w:t>
      </w:r>
    </w:p>
    <w:p>
      <w:pPr>
        <w:ind w:right="12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4" w:lineRule="exact"/>
        <w:rPr>
          <w:sz w:val="24"/>
          <w:szCs w:val="24"/>
          <w:color w:val="auto"/>
        </w:rPr>
      </w:pPr>
    </w:p>
    <w:p>
      <w:pPr>
        <w:ind w:left="700" w:hanging="429"/>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00" w:hanging="429"/>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00" w:hanging="429"/>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00" w:hanging="429"/>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0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 w:lineRule="exact"/>
        <w:rPr>
          <w:sz w:val="24"/>
          <w:szCs w:val="24"/>
          <w:color w:val="auto"/>
        </w:rPr>
      </w:pPr>
    </w:p>
    <w:p>
      <w:pPr>
        <w:ind w:left="9320"/>
        <w:spacing w:after="0"/>
        <w:rPr>
          <w:sz w:val="20"/>
          <w:szCs w:val="20"/>
          <w:color w:val="auto"/>
        </w:rPr>
      </w:pPr>
      <w:r>
        <w:rPr>
          <w:rFonts w:ascii="Arial" w:cs="Arial" w:eastAsia="Arial" w:hAnsi="Arial"/>
          <w:sz w:val="16"/>
          <w:szCs w:val="16"/>
          <w:color w:val="auto"/>
        </w:rPr>
        <w:t>Emerging growth company o</w:t>
      </w:r>
    </w:p>
    <w:p>
      <w:pPr>
        <w:spacing w:after="0" w:line="234"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62"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On March 20, 2019, Fluidigm Corporation (the “Company”) and AP3-SF3 CT North, LLC (the “Landlord”) entered into a lease agreement (the “Lease”) relating to the lease of approximately 67,750 rentable square feet of office, laboratory, and research space (the “New Headquarters”) in a building located at Two Tower Place, South San Francisco, California (the “Building”). The Lease will replace the lease for the Company’s existing South San Francisco headquarters, which expires in April 2020.</w:t>
      </w:r>
    </w:p>
    <w:p>
      <w:pPr>
        <w:spacing w:after="0" w:line="187" w:lineRule="exact"/>
        <w:rPr>
          <w:sz w:val="20"/>
          <w:szCs w:val="20"/>
          <w:color w:val="auto"/>
        </w:rPr>
      </w:pPr>
    </w:p>
    <w:p>
      <w:pPr>
        <w:jc w:val="both"/>
        <w:ind w:right="260" w:firstLine="441"/>
        <w:spacing w:after="0" w:line="286" w:lineRule="auto"/>
        <w:rPr>
          <w:sz w:val="20"/>
          <w:szCs w:val="20"/>
          <w:color w:val="auto"/>
        </w:rPr>
      </w:pPr>
      <w:r>
        <w:rPr>
          <w:rFonts w:ascii="Arial" w:cs="Arial" w:eastAsia="Arial" w:hAnsi="Arial"/>
          <w:sz w:val="17"/>
          <w:szCs w:val="17"/>
          <w:color w:val="auto"/>
        </w:rPr>
        <w:t>Pursuant to the terms of the Lease, it is expected that the Company will be in possession of the New Headquarters beginning on or about January 17, 2020 (the “Commencement Date”) for a term of ten years and three months. The Lease also provides the Company with an option to renew the Lease for a further five years following such term, and a right of first refusal on certain additional space in the Building.</w:t>
      </w:r>
    </w:p>
    <w:p>
      <w:pPr>
        <w:spacing w:after="0" w:line="166" w:lineRule="exact"/>
        <w:rPr>
          <w:sz w:val="20"/>
          <w:szCs w:val="20"/>
          <w:color w:val="auto"/>
        </w:rPr>
      </w:pPr>
    </w:p>
    <w:p>
      <w:pPr>
        <w:ind w:right="220" w:firstLine="441"/>
        <w:spacing w:after="0" w:line="312" w:lineRule="auto"/>
        <w:rPr>
          <w:sz w:val="20"/>
          <w:szCs w:val="20"/>
          <w:color w:val="auto"/>
        </w:rPr>
      </w:pPr>
      <w:r>
        <w:rPr>
          <w:rFonts w:ascii="Arial" w:cs="Arial" w:eastAsia="Arial" w:hAnsi="Arial"/>
          <w:sz w:val="16"/>
          <w:szCs w:val="16"/>
          <w:color w:val="auto"/>
        </w:rPr>
        <w:t>The monthly base rental rate for the New Headquarters will begin at $5.60 per rentable square foot for the first year of the Lease term and will thereafter be increased annually by three and one half percent (3.5%) on the first anniversary of the Commencement Date and each anniversary thereafter during the Lease term. The Company will also be obligated to pay certain operating expenses, tax expenses, and utilities costs during the term of the Lease.</w:t>
      </w:r>
    </w:p>
    <w:p>
      <w:pPr>
        <w:spacing w:after="0" w:line="147"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As required by the Lease, the Company is in the process of obtaining a standby letter of credit (the “Letter of Credit”) in the amount of $2.0 million, which may be drawn down by the Landlord to be applied for certain purposes upon the Company’s breach of any provisions under the Lease. Provided that no default occurs under the terms of the Lease, the Company will be entitled to reduce the amount of the Letter of Credit down to $1.0 million as of the Commencement Date and then down to $0.78 million as of the last day of the thirty-sixth month following the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6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3"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FLUIDIGM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740" w:val="left"/>
        </w:tabs>
        <w:rPr>
          <w:sz w:val="20"/>
          <w:szCs w:val="20"/>
          <w:color w:val="auto"/>
        </w:rPr>
      </w:pPr>
      <w:r>
        <w:rPr>
          <w:rFonts w:ascii="Arial" w:cs="Arial" w:eastAsia="Arial" w:hAnsi="Arial"/>
          <w:sz w:val="18"/>
          <w:szCs w:val="18"/>
          <w:color w:val="auto"/>
        </w:rPr>
        <w:t>Date: March 22, 2019</w:t>
      </w:r>
      <w:r>
        <w:rPr>
          <w:sz w:val="20"/>
          <w:szCs w:val="20"/>
          <w:color w:val="auto"/>
        </w:rPr>
        <w:tab/>
      </w:r>
      <w:r>
        <w:rPr>
          <w:rFonts w:ascii="Arial" w:cs="Arial" w:eastAsia="Arial" w:hAnsi="Arial"/>
          <w:sz w:val="16"/>
          <w:szCs w:val="16"/>
          <w:color w:val="auto"/>
        </w:rPr>
        <w:t>By: /s/ Nicholas Khadder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40640</wp:posOffset>
            </wp:positionV>
            <wp:extent cx="3404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4"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Nicholas Khadder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 General Counsel, and Corporate Secretary</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2019-12-03T21:58:51Z</dcterms:created>
  <dcterms:modified xsi:type="dcterms:W3CDTF">2019-12-03T21:58:51Z</dcterms:modified>
</cp:coreProperties>
</file>