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214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21462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Kim Hanjoon Alex</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STANDARD BIOTOOLS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04/04/2025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33" w:lineRule="exact"/>
        <w:rPr>
          <w:sz w:val="24"/>
          <w:szCs w:val="24"/>
          <w:color w:val="auto"/>
        </w:rPr>
      </w:pPr>
    </w:p>
    <w:p>
      <w:pPr>
        <w:sectPr>
          <w:pgSz w:w="11900" w:h="16838" w:orient="portrait"/>
          <w:cols w:equalWidth="0" w:num="3">
            <w:col w:w="3180" w:space="720"/>
            <w:col w:w="3260" w:space="5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580" w:type="dxa"/>
            <w:vAlign w:val="bottom"/>
            <w:shd w:val="clear" w:color="auto" w:fill="9A9A9A"/>
          </w:tcPr>
          <w:p>
            <w:pPr>
              <w:spacing w:after="0"/>
              <w:rPr>
                <w:sz w:val="3"/>
                <w:szCs w:val="3"/>
                <w:color w:val="auto"/>
              </w:rPr>
            </w:pPr>
          </w:p>
        </w:tc>
        <w:tc>
          <w:tcPr>
            <w:tcW w:w="20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3700" w:type="dxa"/>
            <w:vAlign w:val="bottom"/>
            <w:gridSpan w:val="8"/>
            <w:vMerge w:val="restart"/>
          </w:tcPr>
          <w:p>
            <w:pPr>
              <w:jc w:val="center"/>
              <w:ind w:right="3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700" w:type="dxa"/>
            <w:vAlign w:val="bottom"/>
            <w:gridSpan w:val="8"/>
            <w:vMerge w:val="continue"/>
          </w:tcPr>
          <w:p>
            <w:pPr>
              <w:spacing w:after="0"/>
              <w:rPr>
                <w:sz w:val="9"/>
                <w:szCs w:val="9"/>
                <w:color w:val="auto"/>
              </w:rPr>
            </w:pPr>
          </w:p>
        </w:tc>
        <w:tc>
          <w:tcPr>
            <w:tcW w:w="364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10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04/04/2025</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Pr>
          <w:p>
            <w:pPr>
              <w:spacing w:after="0"/>
              <w:rPr>
                <w:sz w:val="22"/>
                <w:szCs w:val="22"/>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0000FF"/>
              </w:rPr>
              <w:t>70,183</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962,281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1"/>
              <w:spacing w:after="0"/>
              <w:rPr>
                <w:sz w:val="20"/>
                <w:szCs w:val="20"/>
                <w:color w:val="auto"/>
              </w:rPr>
            </w:pPr>
            <w:r>
              <w:rPr>
                <w:rFonts w:ascii="Times New Roman" w:cs="Times New Roman" w:eastAsia="Times New Roman" w:hAnsi="Times New Roman"/>
                <w:sz w:val="17"/>
                <w:szCs w:val="17"/>
                <w:color w:val="0000FF"/>
                <w:w w:val="98"/>
              </w:rPr>
              <w:t>04/04/2025</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21,441</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940,840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00" w:type="dxa"/>
            <w:vAlign w:val="bottom"/>
          </w:tcPr>
          <w:p>
            <w:pPr>
              <w:spacing w:after="0"/>
              <w:rPr>
                <w:sz w:val="15"/>
                <w:szCs w:val="15"/>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70,183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04/04/2025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70,183</w:t>
            </w: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70,183</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restricted stock units ("RSUs") granted to the reporting person on April 4, 2022, which grant was originally reported on Form 4 filed with the U.S. Securities and Exchange Commission on April 6, 2022.</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4, 2022, the Reporting Person was granted 280,732 RSUs, vesting in four equal annual installments beginning on April 4, 2023.</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Hanjoon Alex Kim</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04/08/2025</w:t>
            </w:r>
          </w:p>
        </w:tc>
      </w:tr>
      <w:tr>
        <w:trPr>
          <w:trHeight w:val="20"/>
        </w:trPr>
        <w:tc>
          <w:tcPr>
            <w:tcW w:w="1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9209"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2025-04-08T15:12:57Z</dcterms:created>
  <dcterms:modified xsi:type="dcterms:W3CDTF">2025-04-08T15:12:57Z</dcterms:modified>
</cp:coreProperties>
</file>