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Kreger Bradley Allen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Operations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268605</wp:posOffset>
            </wp:positionV>
            <wp:extent cx="6967220" cy="1527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2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2,237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7.91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26,416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21,875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22,368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-2417445</wp:posOffset>
            </wp:positionV>
            <wp:extent cx="7033260" cy="2459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5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30, 2018, the Reporting Person was granted 50,000 Restricted Stock Units vesting as to 1/4th of the total number of shares on May 20, 2019,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19, 2019, the Reporting Person was granted 35,787 Restricted Stock Units vesting as to 1/4th of the total number of shares on February 20, 2020, and as to 1/16th of the total number of shares each quarter thereafter.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Kreger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347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1398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9205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2020-08-24T18:20:58Z</dcterms:created>
  <dcterms:modified xsi:type="dcterms:W3CDTF">2020-08-24T18:20:58Z</dcterms:modified>
</cp:coreProperties>
</file>