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80" w:space="720"/>
            <w:col w:w="3100"/>
          </w:cols>
          <w:pgMar w:left="320" w:top="772"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196215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6"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6"/>
        </w:trPr>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LAB</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2024, Standard BioTools Inc. (the “Company”) announced a reduction-in-force of approximately 10% of its total workforce, including the elimination of certain senior management positions following the closing of the Company’s merger with SomaLogic, Inc., as part of an operational restructuring plan. The purpose of the restructuring plan, including the reduction-in-force, is to improve operational efficiency and reduce operating costs, while supporting the execution of the Company’s long-term strategic plan.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currently expects expenses related to the reduction-in-force, consisting primarily of cash severance and termination benefits and related costs, to be in the range of approximately $10 million to $11 million, which includes approximately $4 million of non-cash expenses related to vesting of share-based awards. The Company expects these costs to be payable over the next three quarters. These estimates are subject to a number of assumptions, and actual results may differ. The Company may also incur additional costs not currently contemplated due to events that may occur as a result of, or that are associated with, the operational restructuring plan, including the reduction-in-force.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25, 2024, the Company issued a press release announcing the operational restructuring plan, including the reduction-in-force. A copy of the press release is furnished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attached hereto, is being “furnished” and shall not be deemed “filed” for purposes of Section 18 of the Securities Exchange Act of 1934, as amended (the “Exchange Act”), and shall not be incorporated by reference in any filing under the Exchange Act, or the Securities Act of 1933, as amended, except as expressly set forth by specific reference in such future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statements related to the expected costs and timing associated with reduction-in-force and expected reductions of operating expenses.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In addition, the Company’s costs may be greater than anticipated and the workforce and operating expense reductions may have an adverse impact on the Company’s sales and development activities. Additionally, these forward-looking statements should be considered in conjunction with the cautionary statements and risk factors described in the Company’s Annual Report on Form 10-K for the year ended December 31, 2023, and its other filings filed from time to time with the Securities and Exchange Commission. The Company does not assume any obligation to update any forward-looking statement, except as required by law.</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8"/>
                <w:szCs w:val="18"/>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34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720" w:type="dxa"/>
            <w:vAlign w:val="bottom"/>
            <w:gridSpan w:val="3"/>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9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Standard BioTools Inc. Press Release dated April 25, 2024.</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432"/>
        </w:trPr>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Jeffrey Black</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Black</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BioTools Announces Operational Restructuring Plan to Drive Long-Term Profitable Growth</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expects to achieve $45-$50 million in annualized operating expense savings in fiscal 2025</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to discuss first quarter 2024 financial results, restructuring and strategic initiatives on May 8, 2024 conference call</w:t>
      </w:r>
    </w:p>
    <w:p>
      <w:pPr>
        <w:spacing w:after="0" w:line="20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April 25, 2024 </w:t>
      </w:r>
      <w:r>
        <w:rPr>
          <w:rFonts w:ascii="Times New Roman" w:cs="Times New Roman" w:eastAsia="Times New Roman" w:hAnsi="Times New Roman"/>
          <w:sz w:val="18"/>
          <w:szCs w:val="18"/>
          <w:color w:val="auto"/>
        </w:rPr>
        <w:t>-- Standard BioTools Inc. (“Standard BioTools” or the “Company”) (Nasdaq: LAB)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initiated a restructuring plan to improve operational efficiency and reduce operating costs, while supporting the execution of the Company’s long-term strategic plan.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“Following the completion of the SomaLogic merger, our management team has conducted a comprehensive review of our business as we continue to execute our strategic growth plan. Today we are taking critical and proactive steps to optimize our cost structure, which reflects the Company’s commitment to accelerate our path to profitability and achieve our long-term financial targets,” said Michael Egholm, PhD, President and CEO of Standard BioTools. “We will continue to focus on disciplined expense management while staying true to our mission of becoming a diversified leader in life sciences tools and empowering our customers to do better world-changing research.”</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restructuring plan is expected to generate annualized operating expense savings of $45 million to $50 million in fiscal 2025, with the majority of the cost takeout to occur in the second half of 2024. The plan focuses on two core areas:</w:t>
      </w:r>
    </w:p>
    <w:p>
      <w:pPr>
        <w:spacing w:after="0" w:line="158" w:lineRule="exact"/>
        <w:rPr>
          <w:sz w:val="20"/>
          <w:szCs w:val="20"/>
          <w:color w:val="auto"/>
        </w:rPr>
      </w:pPr>
    </w:p>
    <w:p>
      <w:pPr>
        <w:ind w:left="660" w:right="14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Workforce Reduction: </w:t>
      </w:r>
      <w:r>
        <w:rPr>
          <w:rFonts w:ascii="Times New Roman" w:cs="Times New Roman" w:eastAsia="Times New Roman" w:hAnsi="Times New Roman"/>
          <w:sz w:val="18"/>
          <w:szCs w:val="18"/>
          <w:color w:val="auto"/>
        </w:rPr>
        <w:t>The Company has implemented a reduction of approximately 10% of its total workforce to better align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costs with the current needs of its business. This includes the elimination of certain senior management positions following the closing of the SomaLogic merger. The Company expects expenses related to these reductions in the range of $10 million to $11 million, consisting primarily of cash severance and termination benefits and related costs, and includes approximately $4 million of non-cash expenses related to vesting of share-based awards.</w:t>
      </w:r>
    </w:p>
    <w:p>
      <w:pPr>
        <w:spacing w:after="0" w:line="179"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Streamlined Operational Expenditures: </w:t>
      </w:r>
      <w:r>
        <w:rPr>
          <w:rFonts w:ascii="Times New Roman" w:cs="Times New Roman" w:eastAsia="Times New Roman" w:hAnsi="Times New Roman"/>
          <w:sz w:val="18"/>
          <w:szCs w:val="18"/>
          <w:color w:val="auto"/>
        </w:rPr>
        <w:t>Includes reductions in overall selling, general and administrative (SG&amp;A) expenses, the closure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R&amp;D facility in San Diego, as well as savings related to a more prioritized R&amp;D strategy.</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Egholm continued, “We value the immense contributions of our colleagues and I want to express my sincere gratitude to the members of our team who will be departing Standard BioTools. These changes, while difficult, are necessary to support our business as we continue to build the broadest next generation of solutions serving the proteomics customer end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Earnings Conference Call Information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Standard BioTools will host a conference call and webcast on Wednesday, May 8, 2024 at 1:30 p.m. PDT (4:30 p.m. EDT) to discuss first quarter 2024 financial results, operational progress and provide additional detail on today’s announcement. Live audio of the webcast will be available online along with an archived version of the webcast under the </w:t>
      </w:r>
      <w:r>
        <w:rPr>
          <w:rFonts w:ascii="Times New Roman" w:cs="Times New Roman" w:eastAsia="Times New Roman" w:hAnsi="Times New Roman"/>
          <w:sz w:val="18"/>
          <w:szCs w:val="18"/>
          <w:u w:val="single" w:color="auto"/>
          <w:color w:val="auto"/>
        </w:rPr>
        <w:t>Events &amp; Presentations</w:t>
      </w:r>
      <w:r>
        <w:rPr>
          <w:rFonts w:ascii="Times New Roman" w:cs="Times New Roman" w:eastAsia="Times New Roman" w:hAnsi="Times New Roman"/>
          <w:sz w:val="18"/>
          <w:szCs w:val="18"/>
          <w:color w:val="auto"/>
        </w:rPr>
        <w:t xml:space="preserve"> page of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To participate in the conference call by phone, may do so using one of the following dial-in numbers below: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domestic callers: 1-888-346-3970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Outside US callers: 1-412-902-4297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Forward-Looking Statements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among others, statements regarding future financial and business performance; expectations, operational and strategic plans; deployment of capital; market and growth opportunity and potential; and the potential to realize the expected benefits of the Company’s operational restructuring plan, including the potential for it to drive long-term profitable growth. Forward-looking statements are subject to numerous risks and uncertainties that could cause actual results to differ materially from currently anticipated results, including, but not limited to, risks that the anticipated benefits of the operational restructuring plan, including the potential for it to drive long-term profitable growth, may not be fully realized or may take longer to realize than expected; risks that the Company may not realize expected cost savings from this restructuring, including the anticipated decrease in operational expenses, at the levels it expects; possible restructuring and transition-related disruption, including through the loss of customers, suppliers, and employees and adverse impacts on the Company’s development activities and results of operation; restructuring activities, including the Company’s subleasing plans,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 2024, and in the Company’s other filings with the SEC. These forward-looking statements speak only as of the date hereof. The Company disclaims any obligation to update these forward-looking statements except as may be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Standard BioTools Inc.</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Standard BioTools Inc. (Nasdaq: 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w:t>
      </w:r>
    </w:p>
    <w:p>
      <w:pPr>
        <w:spacing w:after="0" w:line="5"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www.standardbio.com or connect with us on Twitter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Facebook</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LinkedIn, and YouTube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Research Use Only. Not for use in diagnostic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Standard BioTools uses its website (standardbio.com), investor site (investors.standardbio.com), corporate X account (@Standard_BioT), Facebook page (facebook.com/StandardBioT), and LinkedIn page (linkedin.com/company/standard-biotools) as channels of distribution of information about its products, its planned financial and other announcements, its attendance at upcoming investor and industry conferences, and other matters. Such information may be deemed material information, and Standard BioTools may use these channels to comply with its disclosure obligations under Regulation FD. Therefore, investors should monitor Standard BioTools’ website and its social media accounts in addition to following its press releases, SEC filings, public conference calls, and webcasts.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Holmes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 LLC</w:t>
      </w:r>
    </w:p>
    <w:p>
      <w:pPr>
        <w:spacing w:after="0" w:line="9" w:lineRule="exact"/>
        <w:rPr>
          <w:sz w:val="20"/>
          <w:szCs w:val="20"/>
          <w:color w:val="auto"/>
        </w:rPr>
      </w:pPr>
    </w:p>
    <w:p>
      <w:pPr>
        <w:ind w:right="9740" w:firstLine="8"/>
        <w:spacing w:after="0" w:line="260"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330-1031 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33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2024-04-25T07:26:18Z</dcterms:created>
  <dcterms:modified xsi:type="dcterms:W3CDTF">2024-04-25T07:26:18Z</dcterms:modified>
</cp:coreProperties>
</file>