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Standard BioTools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001-34180</w:t>
            </w: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77-0513190</w:t>
            </w:r>
          </w:p>
        </w:tc>
      </w:tr>
      <w:tr>
        <w:trPr>
          <w:trHeight w:val="216"/>
        </w:trPr>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(Commission File</w:t>
            </w:r>
          </w:p>
        </w:tc>
        <w:tc>
          <w:tcPr>
            <w:tcW w:w="1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Number)</w:t>
            </w:r>
          </w:p>
        </w:tc>
        <w:tc>
          <w:tcPr>
            <w:tcW w:w="17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2180" w:type="dxa"/>
            <w:vAlign w:val="bottom"/>
          </w:tcPr>
          <w:p>
            <w:pPr>
              <w:spacing w:after="0"/>
              <w:rPr>
                <w:sz w:val="24"/>
                <w:szCs w:val="24"/>
                <w:color w:val="auto"/>
              </w:rPr>
            </w:pPr>
          </w:p>
        </w:tc>
        <w:tc>
          <w:tcPr>
            <w:tcW w:w="5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50 Milk Street, 10th Floor</w:t>
            </w:r>
          </w:p>
        </w:tc>
        <w:tc>
          <w:tcPr>
            <w:tcW w:w="1740" w:type="dxa"/>
            <w:vAlign w:val="bottom"/>
          </w:tcPr>
          <w:p>
            <w:pPr>
              <w:spacing w:after="0"/>
              <w:rPr>
                <w:sz w:val="24"/>
                <w:szCs w:val="24"/>
                <w:color w:val="auto"/>
              </w:rPr>
            </w:pPr>
          </w:p>
        </w:tc>
      </w:tr>
      <w:tr>
        <w:trPr>
          <w:trHeight w:val="220"/>
        </w:trPr>
        <w:tc>
          <w:tcPr>
            <w:tcW w:w="2180" w:type="dxa"/>
            <w:vAlign w:val="bottom"/>
          </w:tcPr>
          <w:p>
            <w:pPr>
              <w:spacing w:after="0"/>
              <w:rPr>
                <w:sz w:val="19"/>
                <w:szCs w:val="19"/>
                <w:color w:val="auto"/>
              </w:rPr>
            </w:pPr>
          </w:p>
        </w:tc>
        <w:tc>
          <w:tcPr>
            <w:tcW w:w="5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Boston, Massachusetts 02109</w:t>
            </w:r>
          </w:p>
        </w:tc>
        <w:tc>
          <w:tcPr>
            <w:tcW w:w="1740" w:type="dxa"/>
            <w:vAlign w:val="bottom"/>
          </w:tcPr>
          <w:p>
            <w:pPr>
              <w:spacing w:after="0"/>
              <w:rPr>
                <w:sz w:val="19"/>
                <w:szCs w:val="19"/>
                <w:color w:val="auto"/>
              </w:rPr>
            </w:pPr>
          </w:p>
        </w:tc>
      </w:tr>
      <w:tr>
        <w:trPr>
          <w:trHeight w:val="234"/>
        </w:trPr>
        <w:tc>
          <w:tcPr>
            <w:tcW w:w="2180" w:type="dxa"/>
            <w:vAlign w:val="bottom"/>
          </w:tcPr>
          <w:p>
            <w:pPr>
              <w:spacing w:after="0"/>
              <w:rPr>
                <w:sz w:val="20"/>
                <w:szCs w:val="20"/>
                <w:color w:val="auto"/>
              </w:rPr>
            </w:pPr>
          </w:p>
        </w:tc>
        <w:tc>
          <w:tcPr>
            <w:tcW w:w="5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40" w:type="dxa"/>
            <w:vAlign w:val="bottom"/>
          </w:tcPr>
          <w:p>
            <w:pPr>
              <w:spacing w:after="0"/>
              <w:rPr>
                <w:sz w:val="20"/>
                <w:szCs w:val="20"/>
                <w:color w:val="auto"/>
              </w:rPr>
            </w:pPr>
          </w:p>
        </w:tc>
      </w:tr>
      <w:tr>
        <w:trPr>
          <w:trHeight w:val="414"/>
        </w:trPr>
        <w:tc>
          <w:tcPr>
            <w:tcW w:w="2180" w:type="dxa"/>
            <w:vAlign w:val="bottom"/>
          </w:tcPr>
          <w:p>
            <w:pPr>
              <w:spacing w:after="0"/>
              <w:rPr>
                <w:sz w:val="24"/>
                <w:szCs w:val="24"/>
                <w:color w:val="auto"/>
              </w:rPr>
            </w:pPr>
          </w:p>
        </w:tc>
        <w:tc>
          <w:tcPr>
            <w:tcW w:w="5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(650) 266-6000</w:t>
            </w:r>
          </w:p>
        </w:tc>
        <w:tc>
          <w:tcPr>
            <w:tcW w:w="174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4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397"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8"/>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20" w:type="dxa"/>
            <w:vAlign w:val="bottom"/>
            <w:tcBorders>
              <w:top w:val="single" w:sz="8" w:color="auto"/>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00" w:type="dxa"/>
            <w:vAlign w:val="bottom"/>
            <w:tcBorders>
              <w:top w:val="single" w:sz="8" w:color="auto"/>
              <w:bottom w:val="single" w:sz="8" w:color="auto"/>
              <w:right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7"/>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3820" w:type="dxa"/>
            <w:vAlign w:val="bottom"/>
            <w:tcBorders>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LAB</w:t>
            </w:r>
          </w:p>
        </w:tc>
        <w:tc>
          <w:tcPr>
            <w:tcW w:w="3800" w:type="dxa"/>
            <w:vAlign w:val="bottom"/>
            <w:tcBorders>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On January 30, 2026, Standard BioTools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filed a Current Report on Form 8-K (the “</w:t>
      </w:r>
      <w:r>
        <w:rPr>
          <w:rFonts w:ascii="Times New Roman" w:cs="Times New Roman" w:eastAsia="Times New Roman" w:hAnsi="Times New Roman"/>
          <w:sz w:val="18"/>
          <w:szCs w:val="18"/>
          <w:u w:val="single" w:color="auto"/>
          <w:color w:val="auto"/>
        </w:rPr>
        <w:t>Original Report</w:t>
      </w:r>
      <w:r>
        <w:rPr>
          <w:rFonts w:ascii="Times New Roman" w:cs="Times New Roman" w:eastAsia="Times New Roman" w:hAnsi="Times New Roman"/>
          <w:sz w:val="18"/>
          <w:szCs w:val="18"/>
          <w:color w:val="auto"/>
        </w:rPr>
        <w:t>”) to report the completion of its previously announced sale of all of the equity interests of SomaLogic, Inc., Sengenics Corporation LLC and Sengenics Corporation Pte Ltd, pursuant to the terms of the Stock Purchase Agreement, dated as of June 22, 2025, by and between the Company and Illumina, Inc., a Delaware corporation.</w:t>
      </w:r>
    </w:p>
    <w:p>
      <w:pPr>
        <w:spacing w:after="0" w:line="18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This Amendment No. 1 to Current Report on Form 8-K/A amends the Original Report to include the pro forma financial information required under Item 9.01(b), which was excluded from the Original Report in reliance on the instructions to such Item.</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as of and for the nine months ended September 30, 2025 and for the year ended December 31, 2024 giving effect to the disposition are filed as Exhibit 99.1 to this Current Report on Form 8-K and incorporated in this Item 9.01 by reference.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976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Unaudited Pro Forma Condensed Consolidated Financial Statements of Standard BioTools Inc. as of and for the nine months ended</w:t>
            </w:r>
          </w:p>
        </w:tc>
      </w:tr>
      <w:tr>
        <w:trPr>
          <w:trHeight w:val="196"/>
        </w:trPr>
        <w:tc>
          <w:tcPr>
            <w:tcW w:w="320" w:type="dxa"/>
            <w:vAlign w:val="bottom"/>
            <w:tcBorders>
              <w:top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2025 and for the year ended December 31, 2024.</w:t>
            </w:r>
          </w:p>
        </w:tc>
        <w:tc>
          <w:tcPr>
            <w:tcW w:w="30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0" w:type="dxa"/>
            <w:vAlign w:val="bottom"/>
            <w:shd w:val="clear" w:color="auto" w:fill="0000EE"/>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r>
      <w:tr>
        <w:trPr>
          <w:trHeight w:val="34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2026</w:t>
            </w:r>
          </w:p>
        </w:tc>
        <w:tc>
          <w:tcPr>
            <w:tcW w:w="79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STANDARD BIOTOOLS INC.</w:t>
            </w:r>
          </w:p>
        </w:tc>
      </w:tr>
      <w:tr>
        <w:trPr>
          <w:trHeight w:val="432"/>
        </w:trPr>
        <w:tc>
          <w:tcPr>
            <w:tcW w:w="3320" w:type="dxa"/>
            <w:vAlign w:val="bottom"/>
          </w:tcPr>
          <w:p>
            <w:pPr>
              <w:spacing w:after="0"/>
              <w:rPr>
                <w:sz w:val="24"/>
                <w:szCs w:val="24"/>
                <w:color w:val="auto"/>
              </w:rPr>
            </w:pPr>
          </w:p>
        </w:tc>
        <w:tc>
          <w:tcPr>
            <w:tcW w:w="23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Kim</w:t>
            </w:r>
          </w:p>
        </w:tc>
      </w:tr>
      <w:tr>
        <w:trPr>
          <w:trHeight w:val="191"/>
        </w:trPr>
        <w:tc>
          <w:tcPr>
            <w:tcW w:w="3320" w:type="dxa"/>
            <w:vAlign w:val="bottom"/>
          </w:tcPr>
          <w:p>
            <w:pPr>
              <w:spacing w:after="0"/>
              <w:rPr>
                <w:sz w:val="16"/>
                <w:szCs w:val="16"/>
                <w:color w:val="auto"/>
              </w:rPr>
            </w:pPr>
          </w:p>
        </w:tc>
        <w:tc>
          <w:tcPr>
            <w:tcW w:w="2300" w:type="dxa"/>
            <w:vAlign w:val="bottom"/>
          </w:tcPr>
          <w:p>
            <w:pPr>
              <w:ind w:left="1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 Kim</w:t>
            </w:r>
          </w:p>
        </w:tc>
      </w:tr>
      <w:tr>
        <w:trPr>
          <w:trHeight w:val="234"/>
        </w:trPr>
        <w:tc>
          <w:tcPr>
            <w:tcW w:w="3320" w:type="dxa"/>
            <w:vAlign w:val="bottom"/>
          </w:tcPr>
          <w:p>
            <w:pPr>
              <w:spacing w:after="0"/>
              <w:rPr>
                <w:sz w:val="20"/>
                <w:szCs w:val="20"/>
                <w:color w:val="auto"/>
              </w:rPr>
            </w:pPr>
          </w:p>
        </w:tc>
        <w:tc>
          <w:tcPr>
            <w:tcW w:w="23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INFORMATION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January 30, 2026, Standard BioTools Inc. (the "Company") completed the sale of all of the equity interests of SomaLogic, Inc. (“SomaLogic”), Sengenics Corporation LLC, and Sengenics Corporation Pte Ltd (collectively, the "Disposed Entities") to Illumina, Inc. (“Illumina”) pursuant to the Stock Purchase Agreement (the “Purchase Agreement”) dated June 22, 2025, by and between the Company and Illumina (such transaction, the "Transaction"). The Disposed Entities comprised the Company's SomaScan® Business, including its SomaScan assay platform and related products and services. The Company retained its mass cytometry and microfluidics businesses, which were not part of the Transaction.</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received net cash proceeds of approximately $363.7 million at the closing of the Transaction. The total consideration received by the Company from Illumina at closing is subject to customary post-closing adjustments as set forth in the Purchase Agreement. In addition, the Company is eligible to receive contingent earnout payments of up to $75 million based on the achievement of specified revenue thresholds for net revenue generated from SomaScan assay services or any other SOMAmer-based assay services and sales of SOMAmer-based array kits and SOMAmer-based next-generation sequencing library preparation kits in fiscal years 2025 and 2026. The Company will also receive a 2% royalty on net revenues generated from sales of SOMAmer-based NGS library preparation kits for 10 years following the closing of the Transaction and a co-exclusive license to intellectual property relating to Single SOMAmer commercialization in singleplex affinity assays.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SomaLogic had previously entered into a Collaboration Agreement, dated as of December 31, 2021, by and between SomaLogic and Illumina Cambridge, Ltd. (as amended on November 14, 2022, June 15, 2023, September 21, 2023 and June 23, 2025, the “Collaboration Agreement”) for the joint development and commercialization of co-branded kits combining Illumina's Next Generation Sequencing technology with SomaScan technology. As a result of the closing of the Transaction, the Company no longer has any subsidiary that is party to the Collaboration Agreement, and neither the Company nor any of its subsidiaries will be entitled to any royalties or other payments under the Collaboration Agreement.</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consolidated financial information is based on the Company's historical consolidated financial statements, which were prepared in accordance with United States generally accepted accounting principles adjusted to give effect to the sale of the Disposed Entities. The unaudited pro forma condensed consolidated balance sheet presents the Company's financial position as of September 30, 2025 as if the Transaction had been completed on that date. The unaudited pro forma condensed consolidated statements of operations for the year ended December 31, 2024 and for the nine months ended September 30, 2025 presents results of operations as if the Transaction had been completed on January 1, 2024. The pro forma information reflects adjustments that, in the opinion of management, are necessary to present fairly the pro forma financial position as of September 30, 2025 and results of operations for the nine months ended September 30, 2025 and year ended December 31, 2024. This unaudited pro forma financial information should be read in conjunction with the Company's historical financial statements and the notes thereto included in its Annual Report on Form 10-K for the year ended December 31, 2024 and Quarterly Report on Form 10-Q for the quarter ended September 30, 2025.</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are provided for illustrative purposes only and do not purport to represent what the Company's actual results of operations or financial position would have been had the Transaction occurred on the dates indicated, nor are they necessarily indicative of the Company's future results of operations or financial position. The unaudited pro forma adjustments are based upon currently available information, estimates and assumptions that the Company’s management believes are reasonable as of the date hereof. The pro forma adjustments and related assumptions are described in the accompanying notes presented on the following pages, which should be read together with the unaudited pro forma condensed consolidated financial statements. The pro forma adjustments reflect the elimination of results of operations and disposition of assets and liabilities directly attributable to the Disposed Entities, the receipt of Transaction consideration net of estimated Transaction and closing costs, recognition of gain on sale, and contractual arrangements entered into in connection with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BioTools Inc.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Note 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129,418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348,876</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1"/>
              </w:rPr>
              <w:t>A</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478,294</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65,485</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13,536</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25,418</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25,000</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B</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7,906</w:t>
            </w: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230,676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(230,676)</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C</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472,439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143,200</w:t>
            </w:r>
          </w:p>
        </w:tc>
        <w:tc>
          <w:tcPr>
            <w:tcW w:w="3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615,639</w:t>
            </w:r>
          </w:p>
        </w:tc>
        <w:tc>
          <w:tcPr>
            <w:tcW w:w="100" w:type="dxa"/>
            <w:vAlign w:val="bottom"/>
            <w:tcBorders>
              <w:bottom w:val="single" w:sz="8" w:color="CCEEFF"/>
            </w:tcBorders>
          </w:tcPr>
          <w:p>
            <w:pPr>
              <w:spacing w:after="0"/>
              <w:rPr>
                <w:sz w:val="18"/>
                <w:szCs w:val="18"/>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20,738</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23,453</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3,521</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19,485</w:t>
            </w: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539,636</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143,200</w:t>
            </w:r>
          </w:p>
        </w:tc>
        <w:tc>
          <w:tcPr>
            <w:tcW w:w="3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682,836</w:t>
            </w:r>
          </w:p>
        </w:tc>
        <w:tc>
          <w:tcPr>
            <w:tcW w:w="100" w:type="dxa"/>
            <w:vAlign w:val="bottom"/>
            <w:tcBorders>
              <w:bottom w:val="single" w:sz="8" w:color="CCEEFF"/>
            </w:tcBorders>
          </w:tcPr>
          <w:p>
            <w:pPr>
              <w:spacing w:after="0"/>
              <w:rPr>
                <w:sz w:val="22"/>
                <w:szCs w:val="22"/>
                <w:color w:val="auto"/>
              </w:rPr>
            </w:pPr>
          </w:p>
        </w:tc>
      </w:tr>
      <w:tr>
        <w:trPr>
          <w:trHeight w:val="196"/>
        </w:trPr>
        <w:tc>
          <w:tcPr>
            <w:tcW w:w="5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6,619</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6,928</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1"/>
              </w:rPr>
              <w:t>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37,738</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5,113</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(29,891)</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grant income, current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3,098</w:t>
            </w: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(22,214)</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(45,177)</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non-current</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21,977</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2,366</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Deferred grant income, non-current</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5,031</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3,297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4,497</w:t>
            </w: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(41,879)</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 shares authorized; no</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600,000 shares authorized;</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402,194 shares issued; 383,614 shares outstanding</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1,726,032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1,726,032</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(1,279,830)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185,079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1"/>
              </w:rPr>
              <w:t>G</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(1,094,751)</w:t>
            </w: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18,580 shares</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(46,467)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(46,467)</w:t>
            </w:r>
          </w:p>
        </w:tc>
      </w:tr>
      <w:tr>
        <w:trPr>
          <w:trHeight w:val="21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399,659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185,079</w:t>
            </w:r>
          </w:p>
        </w:tc>
        <w:tc>
          <w:tcPr>
            <w:tcW w:w="3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584,738</w:t>
            </w:r>
          </w:p>
        </w:tc>
        <w:tc>
          <w:tcPr>
            <w:tcW w:w="100" w:type="dxa"/>
            <w:vAlign w:val="bottom"/>
            <w:tcBorders>
              <w:bottom w:val="single" w:sz="8" w:color="CCEEFF"/>
            </w:tcBorders>
          </w:tcPr>
          <w:p>
            <w:pPr>
              <w:spacing w:after="0"/>
              <w:rPr>
                <w:sz w:val="18"/>
                <w:szCs w:val="18"/>
                <w:color w:val="auto"/>
              </w:rPr>
            </w:pPr>
          </w:p>
        </w:tc>
      </w:tr>
      <w:tr>
        <w:trPr>
          <w:trHeight w:val="22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539,636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143,200</w:t>
            </w: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7"/>
              </w:rPr>
              <w:t>BioTools Inc.</w:t>
            </w:r>
          </w:p>
        </w:tc>
        <w:tc>
          <w:tcPr>
            <w:tcW w:w="1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44,254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44,254</w:t>
            </w:r>
          </w:p>
        </w:tc>
      </w:tr>
      <w:tr>
        <w:trPr>
          <w:trHeight w:val="22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 revenue</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17,282</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17,282</w:t>
            </w:r>
          </w:p>
        </w:tc>
      </w:tr>
      <w:tr>
        <w:trPr>
          <w:trHeight w:val="210"/>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61,536</w:t>
            </w:r>
          </w:p>
        </w:tc>
        <w:tc>
          <w:tcPr>
            <w:tcW w:w="3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61,536</w:t>
            </w:r>
          </w:p>
        </w:tc>
        <w:tc>
          <w:tcPr>
            <w:tcW w:w="100" w:type="dxa"/>
            <w:vAlign w:val="bottom"/>
            <w:tcBorders>
              <w:bottom w:val="single" w:sz="8" w:color="CCEEFF"/>
            </w:tcBorders>
          </w:tcPr>
          <w:p>
            <w:pPr>
              <w:spacing w:after="0"/>
              <w:rPr>
                <w:sz w:val="18"/>
                <w:szCs w:val="18"/>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20,767</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20,767</w:t>
            </w:r>
          </w:p>
        </w:tc>
      </w:tr>
      <w:tr>
        <w:trPr>
          <w:trHeight w:val="23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 and other revenue</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9,608</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9,608</w:t>
            </w:r>
          </w:p>
        </w:tc>
      </w:tr>
      <w:tr>
        <w:trPr>
          <w:trHeight w:val="209"/>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30,375</w:t>
            </w:r>
          </w:p>
        </w:tc>
        <w:tc>
          <w:tcPr>
            <w:tcW w:w="3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30,375</w:t>
            </w:r>
          </w:p>
        </w:tc>
        <w:tc>
          <w:tcPr>
            <w:tcW w:w="100" w:type="dxa"/>
            <w:vAlign w:val="bottom"/>
            <w:tcBorders>
              <w:bottom w:val="single" w:sz="8" w:color="CCEEFF"/>
            </w:tcBorders>
          </w:tcPr>
          <w:p>
            <w:pPr>
              <w:spacing w:after="0"/>
              <w:rPr>
                <w:sz w:val="18"/>
                <w:szCs w:val="18"/>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31,161</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18,018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18,018</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84,524</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84,524</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12,707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12,707</w:t>
            </w:r>
          </w:p>
        </w:tc>
      </w:tr>
      <w:tr>
        <w:trPr>
          <w:trHeight w:val="23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0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116,766</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(85,605)</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Bargain purchase gain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7,517</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7,517</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3,438</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1,944</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(72,727)</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Pr>
          <w:p>
            <w:pPr>
              <w:spacing w:after="0"/>
              <w:rPr>
                <w:sz w:val="24"/>
                <w:szCs w:val="24"/>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r>
      <w:tr>
        <w:trPr>
          <w:trHeight w:val="196"/>
        </w:trPr>
        <w:tc>
          <w:tcPr>
            <w:tcW w:w="67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380,468</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380,468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BioTools Inc.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Note 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(23,139)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1"/>
              </w:rPr>
              <w:t>H</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65,429</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revenue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(56,164)</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1"/>
              </w:rPr>
              <w:t>H</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24,969</w:t>
            </w: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(4,121)</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1"/>
              </w:rPr>
              <w:t>H</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174,432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(83,424</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(17,077)</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1"/>
              </w:rPr>
              <w:t>H</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30,652</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services revenue</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(26,792)</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1"/>
              </w:rPr>
              <w:t>H</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15,473</w:t>
            </w: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collaboration and other revenue</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(176)</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1"/>
              </w:rPr>
              <w:t>H</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90,170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(44,045</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46,125</w:t>
            </w:r>
          </w:p>
        </w:tc>
        <w:tc>
          <w:tcPr>
            <w:tcW w:w="100" w:type="dxa"/>
            <w:vAlign w:val="bottom"/>
            <w:tcBorders>
              <w:bottom w:val="single" w:sz="8" w:color="CCEEFF"/>
            </w:tcBorders>
          </w:tcPr>
          <w:p>
            <w:pPr>
              <w:spacing w:after="0"/>
              <w:rPr>
                <w:sz w:val="18"/>
                <w:szCs w:val="18"/>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(39,379)</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44,883</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(33,580)</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1"/>
              </w:rPr>
              <w:t>H</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28,831</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156,608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(56,700)</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H, I</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99,908</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27,979</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259,498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(90,280</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50,901</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(124,335)</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Bargain purchase gain</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25,213</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20,199</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(3,316)</w:t>
            </w: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164</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1"/>
              </w:rPr>
              <w:t>H</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(5,008)</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51,065</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1"/>
              </w:rPr>
              <w:t>H</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(138,885)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51,096</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Induced conversion of redeemable preferred stock</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(46,014)</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(184,899)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51,096</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r>
      <w:tr>
        <w:trPr>
          <w:trHeight w:val="196"/>
        </w:trPr>
        <w:tc>
          <w:tcPr>
            <w:tcW w:w="520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353,245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353,245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right="6800" w:firstLine="8"/>
        <w:spacing w:after="0" w:line="503" w:lineRule="auto"/>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Disposition and Basis of Presentation Transaction Overview</w:t>
      </w:r>
    </w:p>
    <w:p>
      <w:pPr>
        <w:ind w:right="80"/>
        <w:spacing w:after="0" w:line="256" w:lineRule="auto"/>
        <w:rPr>
          <w:sz w:val="20"/>
          <w:szCs w:val="20"/>
          <w:color w:val="auto"/>
        </w:rPr>
      </w:pPr>
      <w:r>
        <w:rPr>
          <w:rFonts w:ascii="Times New Roman" w:cs="Times New Roman" w:eastAsia="Times New Roman" w:hAnsi="Times New Roman"/>
          <w:sz w:val="18"/>
          <w:szCs w:val="18"/>
          <w:color w:val="auto"/>
        </w:rPr>
        <w:t>On January 30, 2026, the Company completed the sale of the Disposed Entities to Illumina pursuant to the Purchase Agreement for approximately $363.7 million in net cash. The total consideration received by the Company from Illumina at closing is subject to customary post-closing adjustments as set forth in the Purchase Agreement. In addition, the Company is eligible to receive up to $75 million in earnout payments, consisting of up to $25 million based on fiscal year 2025 performance and up to $50 million based on fiscal year 2026 performance, in each case payable upon the achievement of specified targets for net revenue generated from SomaScan assay services or any other SOMAmer-based assay services and sales of SOMAmer-based array kits and SOMAmer-based NGS library preparation kits.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received upon closing of the Transaction was calculated as follows:</w:t>
            </w: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(net)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363,685</w:t>
            </w:r>
          </w:p>
        </w:tc>
      </w:tr>
      <w:tr>
        <w:trPr>
          <w:trHeight w:val="229"/>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expenses</w:t>
            </w:r>
          </w:p>
        </w:tc>
        <w:tc>
          <w:tcPr>
            <w:tcW w:w="9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(18,365)</w:t>
            </w:r>
          </w:p>
        </w:tc>
      </w:tr>
      <w:tr>
        <w:trPr>
          <w:trHeight w:val="209"/>
        </w:trPr>
        <w:tc>
          <w:tcPr>
            <w:tcW w:w="8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proceeds</w:t>
            </w:r>
          </w:p>
        </w:tc>
        <w:tc>
          <w:tcPr>
            <w:tcW w:w="9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Realizable contingent consideration (i)</w:t>
            </w:r>
          </w:p>
        </w:tc>
        <w:tc>
          <w:tcPr>
            <w:tcW w:w="94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8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consideration received</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560" w:hanging="4"/>
        <w:spacing w:after="0" w:line="282" w:lineRule="auto"/>
        <w:tabs>
          <w:tab w:leader="none" w:pos="8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realizable value of the contingent consideration based on revenues earned in 2025. The Company is eligible to receive an additional $50.0 million contingent upon achievement of specified revenue thresholds during fiscal year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have been prepared in accordance with Article 11 of Regulation S-X. The unaudited pro forma condensed consolidated balance sheet as of September 30, 2025 gives effect to the Transaction as if it had occurred on September 30, 2025. The unaudited pro forma condensed consolidated statement of operations for the year ended December 31, 2024 gives effect to the Transaction as if it had occurred on January 1, 2024. The pro forma adjustments, which are further described in Note 2, include:</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results of operations and disposition of assets and liabilities directly attributable to the Disposed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Transaction consideration, net of Transaction and closing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gain on sale;</w:t>
      </w:r>
    </w:p>
    <w:p>
      <w:pPr>
        <w:spacing w:after="0" w:line="225"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arrangements entered into in connection with the Transaction, including a transition services agreement with Illumina, and Transaction bonuses payable to certain employees upon closing.</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determined that the Disposed Entities met the held-for-sale criteria under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and the discontinued operations criteria under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during the second quarter of 2025. Accordingly, the Company's Quarterly Report on Form 10-Q for the nine months ended September 30, 2025 presented the Disposed Entities as held-for-sale and as discontinued operations for all periods presented. No pro forma adjustments to the statement of operations for the nine months ended September 30, 2025 were necessary, as that period already reflects the full effect of removing the Disposed Entities from continued operations presentation.</w:t>
      </w:r>
    </w:p>
    <w:p>
      <w:pPr>
        <w:spacing w:after="0" w:line="18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Because the historical statement of operations for the year ended December 31, 2024 does not reflect discontinued operations presentation, the pro forma adjustments include the full effect of removing the Disposed Entities from continuing operations. Additionally, as the Disposed Entities were acquired by the Company in January 2024, the Company's historical consolidated financial statements for periods prior to the acquisition do not include the operations of the Disposed Entities and no pro forma adjustments are necessary for the years ended December 31, 2023 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2. Pro Forma Adjustments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reflected in the accompanying unaudited pro forma condensed consolidated financial statements are as follows:</w:t>
      </w:r>
    </w:p>
    <w:p>
      <w:pPr>
        <w:spacing w:after="0" w:line="225" w:lineRule="exact"/>
        <w:rPr>
          <w:sz w:val="20"/>
          <w:szCs w:val="20"/>
          <w:color w:val="auto"/>
        </w:rPr>
      </w:pPr>
    </w:p>
    <w:p>
      <w:pPr>
        <w:ind w:left="660" w:right="1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cash consideration received upon closing of the Transaction and the settlement of retention bonuses paid by the Company, as follows: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(net)</w:t>
            </w:r>
          </w:p>
        </w:tc>
        <w:tc>
          <w:tcPr>
            <w:tcW w:w="2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363,685</w:t>
            </w:r>
          </w:p>
        </w:tc>
        <w:tc>
          <w:tcPr>
            <w:tcW w:w="80" w:type="dxa"/>
            <w:vAlign w:val="bottom"/>
            <w:shd w:val="clear" w:color="auto" w:fill="CCEEFF"/>
          </w:tcPr>
          <w:p>
            <w:pPr>
              <w:spacing w:after="0"/>
              <w:rPr>
                <w:sz w:val="18"/>
                <w:szCs w:val="18"/>
                <w:color w:val="auto"/>
              </w:rPr>
            </w:pP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Less: Transaction expenses settled at close</w:t>
            </w:r>
          </w:p>
        </w:tc>
        <w:tc>
          <w:tcPr>
            <w:tcW w:w="2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(14,810)</w:t>
            </w:r>
          </w:p>
        </w:tc>
      </w:tr>
      <w:tr>
        <w:trPr>
          <w:trHeight w:val="223"/>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Cash and cash equivalents</w:t>
            </w:r>
          </w:p>
        </w:tc>
        <w:tc>
          <w:tcPr>
            <w:tcW w:w="2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recognition of a contingent consideration asset at its estimated realizable value of $25.0 million as of the closing date. The realizable value was estimated based on revenue targets that were achieved during fiscal year 2025. The Company is eligible to receive an additional $50.0 million contingent upon the achievement of specified revenue thresholds during fiscal year 2026.</w:t>
      </w:r>
    </w:p>
    <w:p>
      <w:pPr>
        <w:spacing w:after="0" w:line="175"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disposition of assets and liabilities directly attributable to the Disposed Entities which were classified as held-for-sale as of September 30, 2025.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accrued expenses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expenses</w:t>
            </w: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Retention bonuses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18"/>
                <w:szCs w:val="18"/>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shd w:val="clear" w:color="auto" w:fill="CCEEFF"/>
          </w:tcPr>
          <w:p>
            <w:pPr>
              <w:spacing w:after="0"/>
              <w:rPr>
                <w:sz w:val="19"/>
                <w:szCs w:val="19"/>
                <w:color w:val="auto"/>
              </w:rPr>
            </w:pP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adjustment to Accrued liabilities</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8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60" w:hanging="328"/>
        <w:spacing w:after="0" w:line="25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deferred revenue associated with the Collaboration Agreement between SomaLogic and Illumina, which was assumed by Illumina concurrent with completion of the Transaction. Upon assumption, the Company's remaining performance obligations were extinguished, resulting in the recognition of previously deferred revenue under ASC 606, Revenue from Contracts with Customers. The related revenue is reflected in discontinued operations and therefore excluded from the pro forma presentation of continuing operations. The remaining deferred revenue balance, both current and non-current, relates to the separate business operations of the Company and is not related to the Disposed Entities or the Transaction.</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an indemnification liability associated with the potential future settlement of contingent payments to former employees of SomaLogic.</w:t>
      </w:r>
    </w:p>
    <w:p>
      <w:pPr>
        <w:spacing w:after="0" w:line="161"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gain on sale as a result of the Transaction, as well as the impact to accumulated deficit resulting from the recognition of previously deferred revenue associated with the Collaboration Agreement (Note 2E), the recognition of accrued expenses for retention bonuses and taxes payable upon completion of the Transaction (Note 2D), and the recognition of the indemnification liability (Note 2F). The gain on sale resulting from the completion of the Transaction was calculated as follows: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consideration received</w:t>
            </w:r>
          </w:p>
        </w:tc>
        <w:tc>
          <w:tcPr>
            <w:tcW w:w="32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370,320</w:t>
            </w:r>
          </w:p>
        </w:tc>
        <w:tc>
          <w:tcPr>
            <w:tcW w:w="80" w:type="dxa"/>
            <w:vAlign w:val="bottom"/>
            <w:shd w:val="clear" w:color="auto" w:fill="CCEEFF"/>
          </w:tcPr>
          <w:p>
            <w:pPr>
              <w:spacing w:after="0"/>
              <w:rPr>
                <w:sz w:val="18"/>
                <w:szCs w:val="18"/>
                <w:color w:val="auto"/>
              </w:rPr>
            </w:pPr>
          </w:p>
        </w:tc>
      </w:tr>
      <w:tr>
        <w:trPr>
          <w:trHeight w:val="229"/>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assets divested</w:t>
            </w:r>
          </w:p>
        </w:tc>
        <w:tc>
          <w:tcPr>
            <w:tcW w:w="30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208,462</w:t>
            </w:r>
          </w:p>
        </w:tc>
        <w:tc>
          <w:tcPr>
            <w:tcW w:w="80" w:type="dxa"/>
            <w:vAlign w:val="bottom"/>
            <w:tcBorders>
              <w:bottom w:val="single" w:sz="8" w:color="CCEEFF"/>
            </w:tcBorders>
          </w:tcPr>
          <w:p>
            <w:pPr>
              <w:spacing w:after="0"/>
              <w:rPr>
                <w:sz w:val="19"/>
                <w:szCs w:val="19"/>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161,858</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60" w:right="12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revenues, costs, and expenses directly attributable to the Disposed Entities. This adjustment is necessary for the year ended December 31, 2024 as the historical 10-K balances did not yet reflect discontinued operations presentation. No adjustment is necessary for the nine months ended September 30, 2025 as that period already reflects discontinued operations presentation.</w:t>
      </w:r>
    </w:p>
    <w:p>
      <w:pPr>
        <w:spacing w:after="0" w:line="17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income to be received under a transition services agreement with Illumina, which is assumed to commence on January 1, 2024 for purposes of the pro forma statements of operations. The pro forma adjustment offsets selling, general, and administrative expense by $3.2 million for the year ended December 31, 2024. The transition services agreement has a term of six months; accordingly, no adjustment is necessary 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upperLetter"/>
      <w:start w:val="1"/>
    </w:lvl>
  </w:abstractNum>
  <w:abstractNum w:abstractNumId="5">
    <w:nsid w:val="41B71EFB"/>
    <w:multiLevelType w:val="hybridMultilevel"/>
    <w:lvl w:ilvl="0">
      <w:lvlJc w:val="left"/>
      <w:lvlText w:val="%1)"/>
      <w:numFmt w:val="upperLetter"/>
      <w:start w:val="2"/>
    </w:lvl>
  </w:abstractNum>
  <w:abstractNum w:abstractNumId="6">
    <w:nsid w:val="79E2A9E3"/>
    <w:multiLevelType w:val="hybridMultilevel"/>
    <w:lvl w:ilvl="0">
      <w:lvlJc w:val="left"/>
      <w:lvlText w:val="%1)"/>
      <w:numFmt w:val="upperLetter"/>
      <w:start w:val="5"/>
    </w:lvl>
  </w:abstractNum>
  <w:abstractNum w:abstractNumId="7">
    <w:nsid w:val="7545E146"/>
    <w:multiLevelType w:val="hybridMultilevel"/>
    <w:lvl w:ilvl="0">
      <w:lvlJc w:val="left"/>
      <w:lvlText w:val="%1)"/>
      <w:numFmt w:val="upp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2026-02-05T16:44:42Z</dcterms:created>
  <dcterms:modified xsi:type="dcterms:W3CDTF">2026-02-05T16:44:42Z</dcterms:modified>
</cp:coreProperties>
</file>