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144145</wp:posOffset>
            </wp:positionH>
            <wp:positionV relativeFrom="page">
              <wp:posOffset>144145</wp:posOffset>
            </wp:positionV>
            <wp:extent cx="727265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27940"/>
                    </a:xfrm>
                    <a:prstGeom prst="rect">
                      <a:avLst/>
                    </a:prstGeom>
                    <a:noFill/>
                  </pic:spPr>
                </pic:pic>
              </a:graphicData>
            </a:graphic>
          </wp:anchor>
        </w:drawing>
        <w:drawing>
          <wp:anchor simplePos="0" relativeHeight="251657728" behindDoc="1" locked="0" layoutInCell="0" allowOverlap="1">
            <wp:simplePos x="0" y="0"/>
            <wp:positionH relativeFrom="page">
              <wp:posOffset>144145</wp:posOffset>
            </wp:positionH>
            <wp:positionV relativeFrom="page">
              <wp:posOffset>207010</wp:posOffset>
            </wp:positionV>
            <wp:extent cx="727265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27940"/>
                    </a:xfrm>
                    <a:prstGeom prst="rect">
                      <a:avLst/>
                    </a:prstGeom>
                    <a:noFill/>
                  </pic:spPr>
                </pic:pic>
              </a:graphicData>
            </a:graphic>
          </wp:anchor>
        </w:drawing>
        <w:t>UNITED STATES</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SECURITIES AND EXCHANGE COMMISSION</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57785</wp:posOffset>
            </wp:positionV>
            <wp:extent cx="18370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7055" cy="6985"/>
                    </a:xfrm>
                    <a:prstGeom prst="rect">
                      <a:avLst/>
                    </a:prstGeom>
                    <a:noFill/>
                  </pic:spPr>
                </pic:pic>
              </a:graphicData>
            </a:graphic>
          </wp:anchor>
        </w:drawing>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66040</wp:posOffset>
            </wp:positionV>
            <wp:extent cx="18370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7055" cy="6985"/>
                    </a:xfrm>
                    <a:prstGeom prst="rect">
                      <a:avLst/>
                    </a:prstGeom>
                    <a:noFill/>
                  </pic:spPr>
                </pic:pic>
              </a:graphicData>
            </a:graphic>
          </wp:anchor>
        </w:drawing>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CURRENT REPORT</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Pursuant to Section 13 or 15(d) of</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The Securities Exchange Act of 1934</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Date of Report (Date of earliest event reported)</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August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57785</wp:posOffset>
            </wp:positionV>
            <wp:extent cx="18370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7055" cy="6985"/>
                    </a:xfrm>
                    <a:prstGeom prst="rect">
                      <a:avLst/>
                    </a:prstGeom>
                    <a:noFill/>
                  </pic:spPr>
                </pic:pic>
              </a:graphicData>
            </a:graphic>
          </wp:anchor>
        </w:drawing>
      </w:r>
    </w:p>
    <w:p>
      <w:pPr>
        <w:spacing w:after="0" w:line="155"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FLUIDIGM CORPORATION</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57785</wp:posOffset>
            </wp:positionV>
            <wp:extent cx="18370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7055" cy="6985"/>
                    </a:xfrm>
                    <a:prstGeom prst="rect">
                      <a:avLst/>
                    </a:prstGeom>
                    <a:noFill/>
                  </pic:spPr>
                </pic:pic>
              </a:graphicData>
            </a:graphic>
          </wp:anchor>
        </w:drawing>
      </w:r>
    </w:p>
    <w:p>
      <w:pPr>
        <w:spacing w:after="0" w:line="330" w:lineRule="exact"/>
        <w:rPr>
          <w:sz w:val="24"/>
          <w:szCs w:val="24"/>
          <w:color w:val="auto"/>
        </w:rPr>
      </w:pPr>
    </w:p>
    <w:tbl>
      <w:tblPr>
        <w:tblLayout w:type="fixed"/>
        <w:tblInd w:w="400" w:type="dxa"/>
        <w:tblCellMar>
          <w:top w:w="0" w:type="dxa"/>
          <w:left w:w="0" w:type="dxa"/>
          <w:bottom w:w="0" w:type="dxa"/>
          <w:right w:w="0" w:type="dxa"/>
        </w:tblCellMar>
      </w:tblPr>
      <w:tr>
        <w:trPr>
          <w:trHeight w:val="179"/>
        </w:trPr>
        <w:tc>
          <w:tcPr>
            <w:tcW w:w="3080" w:type="dxa"/>
            <w:vAlign w:val="bottom"/>
          </w:tcPr>
          <w:p>
            <w:pPr>
              <w:jc w:val="center"/>
              <w:ind w:right="467"/>
              <w:spacing w:after="0"/>
              <w:rPr>
                <w:sz w:val="20"/>
                <w:szCs w:val="20"/>
                <w:color w:val="auto"/>
              </w:rPr>
            </w:pPr>
            <w:r>
              <w:rPr>
                <w:rFonts w:ascii="Arial" w:cs="Arial" w:eastAsia="Arial" w:hAnsi="Arial"/>
                <w:sz w:val="15"/>
                <w:szCs w:val="15"/>
                <w:b w:val="1"/>
                <w:bCs w:val="1"/>
                <w:color w:val="auto"/>
                <w:w w:val="87"/>
              </w:rPr>
              <w:t>Delaware</w:t>
            </w:r>
          </w:p>
        </w:tc>
        <w:tc>
          <w:tcPr>
            <w:tcW w:w="4700" w:type="dxa"/>
            <w:vAlign w:val="bottom"/>
          </w:tcPr>
          <w:p>
            <w:pPr>
              <w:jc w:val="right"/>
              <w:ind w:right="2327"/>
              <w:spacing w:after="0"/>
              <w:rPr>
                <w:sz w:val="20"/>
                <w:szCs w:val="20"/>
                <w:color w:val="auto"/>
              </w:rPr>
            </w:pPr>
            <w:r>
              <w:rPr>
                <w:rFonts w:ascii="Arial" w:cs="Arial" w:eastAsia="Arial" w:hAnsi="Arial"/>
                <w:sz w:val="15"/>
                <w:szCs w:val="15"/>
                <w:b w:val="1"/>
                <w:bCs w:val="1"/>
                <w:color w:val="auto"/>
              </w:rPr>
              <w:t>001-34180</w:t>
            </w:r>
          </w:p>
        </w:tc>
        <w:tc>
          <w:tcPr>
            <w:tcW w:w="1820" w:type="dxa"/>
            <w:vAlign w:val="bottom"/>
          </w:tcPr>
          <w:p>
            <w:pPr>
              <w:jc w:val="center"/>
              <w:ind w:left="647"/>
              <w:spacing w:after="0"/>
              <w:rPr>
                <w:sz w:val="20"/>
                <w:szCs w:val="20"/>
                <w:color w:val="auto"/>
              </w:rPr>
            </w:pPr>
            <w:r>
              <w:rPr>
                <w:rFonts w:ascii="Arial" w:cs="Arial" w:eastAsia="Arial" w:hAnsi="Arial"/>
                <w:sz w:val="15"/>
                <w:szCs w:val="15"/>
                <w:b w:val="1"/>
                <w:bCs w:val="1"/>
                <w:color w:val="auto"/>
                <w:w w:val="87"/>
              </w:rPr>
              <w:t>77-0513190</w:t>
            </w:r>
          </w:p>
        </w:tc>
        <w:tc>
          <w:tcPr>
            <w:tcW w:w="0" w:type="dxa"/>
            <w:vAlign w:val="bottom"/>
          </w:tcPr>
          <w:p>
            <w:pPr>
              <w:spacing w:after="0"/>
              <w:rPr>
                <w:sz w:val="1"/>
                <w:szCs w:val="1"/>
                <w:color w:val="auto"/>
              </w:rPr>
            </w:pPr>
          </w:p>
        </w:tc>
      </w:tr>
      <w:tr>
        <w:trPr>
          <w:trHeight w:val="175"/>
        </w:trPr>
        <w:tc>
          <w:tcPr>
            <w:tcW w:w="3080" w:type="dxa"/>
            <w:vAlign w:val="bottom"/>
          </w:tcPr>
          <w:p>
            <w:pPr>
              <w:jc w:val="center"/>
              <w:ind w:right="447"/>
              <w:spacing w:after="0"/>
              <w:rPr>
                <w:sz w:val="20"/>
                <w:szCs w:val="20"/>
                <w:color w:val="auto"/>
              </w:rPr>
            </w:pPr>
            <w:r>
              <w:rPr>
                <w:rFonts w:ascii="Arial" w:cs="Arial" w:eastAsia="Arial" w:hAnsi="Arial"/>
                <w:sz w:val="15"/>
                <w:szCs w:val="15"/>
                <w:color w:val="auto"/>
                <w:w w:val="90"/>
              </w:rPr>
              <w:t>(State or other jurisdiction of incorporation)</w:t>
            </w:r>
          </w:p>
        </w:tc>
        <w:tc>
          <w:tcPr>
            <w:tcW w:w="4700" w:type="dxa"/>
            <w:vAlign w:val="bottom"/>
          </w:tcPr>
          <w:p>
            <w:pPr>
              <w:jc w:val="center"/>
              <w:ind w:right="667"/>
              <w:spacing w:after="0"/>
              <w:rPr>
                <w:sz w:val="20"/>
                <w:szCs w:val="20"/>
                <w:color w:val="auto"/>
              </w:rPr>
            </w:pPr>
            <w:r>
              <w:rPr>
                <w:rFonts w:ascii="Arial" w:cs="Arial" w:eastAsia="Arial" w:hAnsi="Arial"/>
                <w:sz w:val="15"/>
                <w:szCs w:val="15"/>
                <w:color w:val="auto"/>
                <w:w w:val="89"/>
              </w:rPr>
              <w:t>(Commission File Number)</w:t>
            </w:r>
          </w:p>
        </w:tc>
        <w:tc>
          <w:tcPr>
            <w:tcW w:w="1820" w:type="dxa"/>
            <w:vAlign w:val="bottom"/>
          </w:tcPr>
          <w:p>
            <w:pPr>
              <w:jc w:val="center"/>
              <w:ind w:left="667"/>
              <w:spacing w:after="0"/>
              <w:rPr>
                <w:sz w:val="20"/>
                <w:szCs w:val="20"/>
                <w:color w:val="auto"/>
              </w:rPr>
            </w:pPr>
            <w:r>
              <w:rPr>
                <w:rFonts w:ascii="Arial" w:cs="Arial" w:eastAsia="Arial" w:hAnsi="Arial"/>
                <w:sz w:val="15"/>
                <w:szCs w:val="15"/>
                <w:color w:val="auto"/>
                <w:w w:val="90"/>
              </w:rPr>
              <w:t>(IRS Employer</w:t>
            </w:r>
          </w:p>
        </w:tc>
        <w:tc>
          <w:tcPr>
            <w:tcW w:w="0" w:type="dxa"/>
            <w:vAlign w:val="bottom"/>
          </w:tcPr>
          <w:p>
            <w:pPr>
              <w:spacing w:after="0"/>
              <w:rPr>
                <w:sz w:val="1"/>
                <w:szCs w:val="1"/>
                <w:color w:val="auto"/>
              </w:rPr>
            </w:pPr>
          </w:p>
        </w:tc>
      </w:tr>
      <w:tr>
        <w:trPr>
          <w:trHeight w:val="184"/>
        </w:trPr>
        <w:tc>
          <w:tcPr>
            <w:tcW w:w="3080" w:type="dxa"/>
            <w:vAlign w:val="bottom"/>
          </w:tcPr>
          <w:p>
            <w:pPr>
              <w:spacing w:after="0"/>
              <w:rPr>
                <w:sz w:val="15"/>
                <w:szCs w:val="15"/>
                <w:color w:val="auto"/>
              </w:rPr>
            </w:pPr>
          </w:p>
        </w:tc>
        <w:tc>
          <w:tcPr>
            <w:tcW w:w="4700" w:type="dxa"/>
            <w:vAlign w:val="bottom"/>
            <w:vMerge w:val="restart"/>
          </w:tcPr>
          <w:p>
            <w:pPr>
              <w:jc w:val="center"/>
              <w:ind w:right="107"/>
              <w:spacing w:after="0"/>
              <w:rPr>
                <w:sz w:val="20"/>
                <w:szCs w:val="20"/>
                <w:color w:val="auto"/>
              </w:rPr>
            </w:pPr>
            <w:r>
              <w:rPr>
                <w:rFonts w:ascii="Arial" w:cs="Arial" w:eastAsia="Arial" w:hAnsi="Arial"/>
                <w:sz w:val="15"/>
                <w:szCs w:val="15"/>
                <w:b w:val="1"/>
                <w:bCs w:val="1"/>
                <w:color w:val="auto"/>
                <w:w w:val="87"/>
              </w:rPr>
              <w:t>7000 Shoreline Court, Suite 100</w:t>
            </w:r>
          </w:p>
        </w:tc>
        <w:tc>
          <w:tcPr>
            <w:tcW w:w="1820" w:type="dxa"/>
            <w:vAlign w:val="bottom"/>
          </w:tcPr>
          <w:p>
            <w:pPr>
              <w:jc w:val="center"/>
              <w:ind w:left="667"/>
              <w:spacing w:after="0"/>
              <w:rPr>
                <w:sz w:val="20"/>
                <w:szCs w:val="20"/>
                <w:color w:val="auto"/>
              </w:rPr>
            </w:pPr>
            <w:r>
              <w:rPr>
                <w:rFonts w:ascii="Arial" w:cs="Arial" w:eastAsia="Arial" w:hAnsi="Arial"/>
                <w:sz w:val="15"/>
                <w:szCs w:val="15"/>
                <w:color w:val="auto"/>
                <w:w w:val="92"/>
              </w:rPr>
              <w:t>Identification No.)</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4700" w:type="dxa"/>
            <w:vAlign w:val="bottom"/>
            <w:vMerge w:val="continue"/>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080" w:type="dxa"/>
            <w:vAlign w:val="bottom"/>
          </w:tcPr>
          <w:p>
            <w:pPr>
              <w:spacing w:after="0"/>
              <w:rPr>
                <w:sz w:val="15"/>
                <w:szCs w:val="15"/>
                <w:color w:val="auto"/>
              </w:rPr>
            </w:pPr>
          </w:p>
        </w:tc>
        <w:tc>
          <w:tcPr>
            <w:tcW w:w="4700" w:type="dxa"/>
            <w:vAlign w:val="bottom"/>
          </w:tcPr>
          <w:p>
            <w:pPr>
              <w:jc w:val="center"/>
              <w:ind w:right="127"/>
              <w:spacing w:after="0"/>
              <w:rPr>
                <w:sz w:val="20"/>
                <w:szCs w:val="20"/>
                <w:color w:val="auto"/>
              </w:rPr>
            </w:pPr>
            <w:r>
              <w:rPr>
                <w:rFonts w:ascii="Arial" w:cs="Arial" w:eastAsia="Arial" w:hAnsi="Arial"/>
                <w:sz w:val="15"/>
                <w:szCs w:val="15"/>
                <w:b w:val="1"/>
                <w:bCs w:val="1"/>
                <w:color w:val="auto"/>
                <w:w w:val="87"/>
              </w:rPr>
              <w:t>South San Francisco, California 94080</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080" w:type="dxa"/>
            <w:vAlign w:val="bottom"/>
          </w:tcPr>
          <w:p>
            <w:pPr>
              <w:spacing w:after="0"/>
              <w:rPr>
                <w:sz w:val="15"/>
                <w:szCs w:val="15"/>
                <w:color w:val="auto"/>
              </w:rPr>
            </w:pPr>
          </w:p>
        </w:tc>
        <w:tc>
          <w:tcPr>
            <w:tcW w:w="4700" w:type="dxa"/>
            <w:vAlign w:val="bottom"/>
          </w:tcPr>
          <w:p>
            <w:pPr>
              <w:jc w:val="center"/>
              <w:ind w:right="127"/>
              <w:spacing w:after="0"/>
              <w:rPr>
                <w:sz w:val="20"/>
                <w:szCs w:val="20"/>
                <w:color w:val="auto"/>
              </w:rPr>
            </w:pPr>
            <w:r>
              <w:rPr>
                <w:rFonts w:ascii="Arial" w:cs="Arial" w:eastAsia="Arial" w:hAnsi="Arial"/>
                <w:sz w:val="15"/>
                <w:szCs w:val="15"/>
                <w:color w:val="auto"/>
                <w:w w:val="90"/>
              </w:rPr>
              <w:t>(Address of principal executive offices, including zip code)</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(650) 266-6000</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(Registrant’s telephone number, including area code)</w:t>
      </w:r>
    </w:p>
    <w:p>
      <w:pPr>
        <w:spacing w:after="0" w:line="168" w:lineRule="exact"/>
        <w:rPr>
          <w:sz w:val="24"/>
          <w:szCs w:val="24"/>
          <w:color w:val="auto"/>
        </w:rPr>
      </w:pPr>
    </w:p>
    <w:p>
      <w:pPr>
        <w:jc w:val="center"/>
        <w:ind w:right="-79"/>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177" w:lineRule="exact"/>
        <w:rPr>
          <w:sz w:val="24"/>
          <w:szCs w:val="24"/>
          <w:color w:val="auto"/>
        </w:rPr>
      </w:pPr>
    </w:p>
    <w:p>
      <w:pPr>
        <w:ind w:right="160"/>
        <w:spacing w:after="0" w:line="258" w:lineRule="auto"/>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auto"/>
        </w:rPr>
        <w:t>o Written communications pursuant to Rule 425 under the Securities Act (17 CFR 230.425)</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o Soliciting material pursuant to Rule 14a-12 under the Exchange Act (17 CFR 240.14a-12)</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14d-2(b) under the Exchange Act (17 CFR 240.14d-2(b))</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o Pre-commencement communications pursuant to Rule 13e-4(c) under the Exchange Act (17 CFR 240.13e-4(c))</w:t>
      </w:r>
    </w:p>
    <w:p>
      <w:pPr>
        <w:spacing w:after="0" w:line="177" w:lineRule="exact"/>
        <w:rPr>
          <w:sz w:val="24"/>
          <w:szCs w:val="24"/>
          <w:color w:val="auto"/>
        </w:rPr>
      </w:pPr>
    </w:p>
    <w:p>
      <w:pPr>
        <w:ind w:right="120"/>
        <w:spacing w:after="0" w:line="25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o</w:t>
      </w:r>
    </w:p>
    <w:p>
      <w:pPr>
        <w:spacing w:after="0" w:line="177" w:lineRule="exact"/>
        <w:rPr>
          <w:sz w:val="24"/>
          <w:szCs w:val="24"/>
          <w:color w:val="auto"/>
        </w:rPr>
      </w:pPr>
    </w:p>
    <w:p>
      <w:pPr>
        <w:spacing w:after="0" w:line="258"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346710</wp:posOffset>
            </wp:positionV>
            <wp:extent cx="7272655" cy="34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380"/>
          </w:cols>
          <w:pgMar w:left="220" w:top="365" w:right="29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5.02 Departure of Directors or Certain Officers; Election of Directors; Appointment of Principal Officers; Compensatory Arrangements of Certain Officers.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Approval of the Change of Control and Severance Plan</w:t>
      </w:r>
    </w:p>
    <w:p>
      <w:pPr>
        <w:spacing w:after="0" w:line="177" w:lineRule="exact"/>
        <w:rPr>
          <w:sz w:val="20"/>
          <w:szCs w:val="20"/>
          <w:color w:val="auto"/>
        </w:rPr>
      </w:pPr>
    </w:p>
    <w:p>
      <w:pPr>
        <w:ind w:right="200" w:firstLine="524"/>
        <w:spacing w:after="0" w:line="258" w:lineRule="auto"/>
        <w:rPr>
          <w:sz w:val="20"/>
          <w:szCs w:val="20"/>
          <w:color w:val="auto"/>
        </w:rPr>
      </w:pPr>
      <w:r>
        <w:rPr>
          <w:rFonts w:ascii="Arial" w:cs="Arial" w:eastAsia="Arial" w:hAnsi="Arial"/>
          <w:sz w:val="15"/>
          <w:szCs w:val="15"/>
          <w:color w:val="auto"/>
        </w:rPr>
        <w:t>On August 21, 2017, the compensation committee of our board of directors approved a Change of Control and Severance Plan (the “Severance Plan”) under which our named executive officers, other executive officers, and certain other designated employees are eligible to receive severance benefits.</w:t>
      </w:r>
    </w:p>
    <w:p>
      <w:pPr>
        <w:spacing w:after="0" w:line="153" w:lineRule="exact"/>
        <w:rPr>
          <w:sz w:val="20"/>
          <w:szCs w:val="20"/>
          <w:color w:val="auto"/>
        </w:rPr>
      </w:pPr>
    </w:p>
    <w:p>
      <w:pPr>
        <w:jc w:val="both"/>
        <w:ind w:right="20" w:firstLine="524"/>
        <w:spacing w:after="0" w:line="343" w:lineRule="auto"/>
        <w:rPr>
          <w:sz w:val="20"/>
          <w:szCs w:val="20"/>
          <w:color w:val="auto"/>
        </w:rPr>
      </w:pPr>
      <w:r>
        <w:rPr>
          <w:rFonts w:ascii="Arial" w:cs="Arial" w:eastAsia="Arial" w:hAnsi="Arial"/>
          <w:sz w:val="12"/>
          <w:szCs w:val="12"/>
          <w:color w:val="auto"/>
        </w:rPr>
        <w:t>Under the Severance Plan, if any named executive officer’s employment is terminated outside of the period beginning three months before a change of control (as defined in the Severance Plan) and ending 12 months after a change of control (such period, the “Change of Control Period”) for a reason other than cause or the named executive officer’s death or disability (as such terms are defined in the Severance Plan), then, subject to the Severance Conditions (as defined below), the named executive officer will be entitled to receive the following severance benefits:</w:t>
      </w:r>
    </w:p>
    <w:p>
      <w:pPr>
        <w:spacing w:after="0" w:line="107" w:lineRule="exact"/>
        <w:rPr>
          <w:sz w:val="20"/>
          <w:szCs w:val="20"/>
          <w:color w:val="auto"/>
        </w:rPr>
      </w:pPr>
    </w:p>
    <w:p>
      <w:pPr>
        <w:ind w:left="440" w:hanging="214"/>
        <w:spacing w:after="0" w:line="250" w:lineRule="auto"/>
        <w:tabs>
          <w:tab w:leader="none" w:pos="440" w:val="left"/>
        </w:tabs>
        <w:numPr>
          <w:ilvl w:val="0"/>
          <w:numId w:val="1"/>
        </w:numPr>
        <w:rPr>
          <w:rFonts w:ascii="Arial" w:cs="Arial" w:eastAsia="Arial" w:hAnsi="Arial"/>
          <w:sz w:val="15"/>
          <w:szCs w:val="15"/>
          <w:color w:val="auto"/>
        </w:rPr>
      </w:pPr>
      <w:r>
        <w:rPr>
          <w:rFonts w:ascii="Arial" w:cs="Arial" w:eastAsia="Arial" w:hAnsi="Arial"/>
          <w:sz w:val="15"/>
          <w:szCs w:val="15"/>
          <w:color w:val="auto"/>
        </w:rPr>
        <w:t>Continued payments (less applicable withholdings) totaling 75% of the named executive officer’s annual base salary in effect as of the date of termination in equal installments over a period of nine months (or, in the case of Stephen Christopher Linthwaite, our President and CEO, 200% of his annual base salary paid in equal installments over a period of 24 months) following his termination.</w:t>
      </w:r>
    </w:p>
    <w:p>
      <w:pPr>
        <w:spacing w:after="0" w:line="159" w:lineRule="exact"/>
        <w:rPr>
          <w:rFonts w:ascii="Arial" w:cs="Arial" w:eastAsia="Arial" w:hAnsi="Arial"/>
          <w:sz w:val="15"/>
          <w:szCs w:val="15"/>
          <w:color w:val="auto"/>
        </w:rPr>
      </w:pPr>
    </w:p>
    <w:p>
      <w:pPr>
        <w:ind w:left="440" w:right="220" w:hanging="214"/>
        <w:spacing w:after="0" w:line="258" w:lineRule="auto"/>
        <w:tabs>
          <w:tab w:leader="none" w:pos="44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Reimbursement of costs of continued health coverage for the named executive officer, his or her spouse, and/or his or her dependents, as applicable, for a period of up to 9 months (or, in Mr. Linthwaite’s case, 12 months) following termination.</w:t>
      </w:r>
    </w:p>
    <w:p>
      <w:pPr>
        <w:spacing w:after="0" w:line="153" w:lineRule="exact"/>
        <w:rPr>
          <w:rFonts w:ascii="Arial" w:cs="Arial" w:eastAsia="Arial" w:hAnsi="Arial"/>
          <w:sz w:val="15"/>
          <w:szCs w:val="15"/>
          <w:color w:val="auto"/>
        </w:rPr>
      </w:pPr>
    </w:p>
    <w:p>
      <w:pPr>
        <w:ind w:left="440" w:right="420" w:hanging="214"/>
        <w:spacing w:after="0" w:line="258" w:lineRule="auto"/>
        <w:tabs>
          <w:tab w:leader="none" w:pos="44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Reasonable outplacement services in accordance with any applicable policy of ours that is in effect as of the named executive officer’s termination (or if no such policy is in effect, as determined by us).</w:t>
      </w:r>
    </w:p>
    <w:p>
      <w:pPr>
        <w:spacing w:after="0" w:line="153" w:lineRule="exact"/>
        <w:rPr>
          <w:sz w:val="20"/>
          <w:szCs w:val="20"/>
          <w:color w:val="auto"/>
        </w:rPr>
      </w:pPr>
    </w:p>
    <w:p>
      <w:pPr>
        <w:ind w:right="200" w:firstLine="524"/>
        <w:spacing w:after="0" w:line="250" w:lineRule="auto"/>
        <w:rPr>
          <w:sz w:val="20"/>
          <w:szCs w:val="20"/>
          <w:color w:val="auto"/>
        </w:rPr>
      </w:pPr>
      <w:r>
        <w:rPr>
          <w:rFonts w:ascii="Arial" w:cs="Arial" w:eastAsia="Arial" w:hAnsi="Arial"/>
          <w:sz w:val="15"/>
          <w:szCs w:val="15"/>
          <w:color w:val="auto"/>
        </w:rPr>
        <w:t>Under the Severance Plan, if any named executive officer’s employment is terminated within the Change of Control Period either (i) by us for a reason other than cause or the named executive officer’s death or disability or (ii) by the named executive officer for good reason (as defined in the named executive officer’s participation agreement under the Severance Plan), then, subject to the Severance Conditions, the named executive officer will be entitled to receive the following severance benefits:</w:t>
      </w:r>
    </w:p>
    <w:p>
      <w:pPr>
        <w:spacing w:after="0" w:line="160" w:lineRule="exact"/>
        <w:rPr>
          <w:sz w:val="20"/>
          <w:szCs w:val="20"/>
          <w:color w:val="auto"/>
        </w:rPr>
      </w:pPr>
    </w:p>
    <w:p>
      <w:pPr>
        <w:ind w:left="440" w:right="80" w:hanging="214"/>
        <w:spacing w:after="0" w:line="248" w:lineRule="auto"/>
        <w:tabs>
          <w:tab w:leader="none" w:pos="440" w:val="left"/>
        </w:tabs>
        <w:numPr>
          <w:ilvl w:val="0"/>
          <w:numId w:val="2"/>
        </w:numPr>
        <w:rPr>
          <w:rFonts w:ascii="Arial" w:cs="Arial" w:eastAsia="Arial" w:hAnsi="Arial"/>
          <w:sz w:val="15"/>
          <w:szCs w:val="15"/>
          <w:color w:val="auto"/>
        </w:rPr>
      </w:pPr>
      <w:r>
        <w:rPr>
          <w:rFonts w:ascii="Arial" w:cs="Arial" w:eastAsia="Arial" w:hAnsi="Arial"/>
          <w:sz w:val="15"/>
          <w:szCs w:val="15"/>
          <w:color w:val="auto"/>
        </w:rPr>
        <w:t>A lump-sum payment (less applicable withholdings) totaling 150% (or, in Mr. Linthwaite’s case, 200%) of the sum of (x) his or her annual base salary (as in effect immediately before termination or immediately before the change of control, whichever is higher) plus (y) the greater of (A) his or her annual target bonus (as in effect immediately before termination or immediately before the change of control, whichever is higher) or (B) the average of the annual bonuses actually paid to him or her for the three fiscal years preceding the year in which his or her termination occurs.</w:t>
      </w:r>
    </w:p>
    <w:p>
      <w:pPr>
        <w:spacing w:after="0" w:line="160" w:lineRule="exact"/>
        <w:rPr>
          <w:rFonts w:ascii="Arial" w:cs="Arial" w:eastAsia="Arial" w:hAnsi="Arial"/>
          <w:sz w:val="15"/>
          <w:szCs w:val="15"/>
          <w:color w:val="auto"/>
        </w:rPr>
      </w:pPr>
    </w:p>
    <w:p>
      <w:pPr>
        <w:ind w:left="440" w:right="160" w:hanging="214"/>
        <w:spacing w:after="0" w:line="258" w:lineRule="auto"/>
        <w:tabs>
          <w:tab w:leader="none" w:pos="44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Reimbursement of costs of continued health coverage for the named executive officer, his or her spouse, and/or his or her dependents, as applicable, for a period of up to 18 months (or, in Mr. Linthwaite’s case, 24 months) following termination.</w:t>
      </w:r>
    </w:p>
    <w:p>
      <w:pPr>
        <w:spacing w:after="0" w:line="153" w:lineRule="exact"/>
        <w:rPr>
          <w:rFonts w:ascii="Arial" w:cs="Arial" w:eastAsia="Arial" w:hAnsi="Arial"/>
          <w:sz w:val="15"/>
          <w:szCs w:val="15"/>
          <w:color w:val="auto"/>
        </w:rPr>
      </w:pPr>
    </w:p>
    <w:p>
      <w:pPr>
        <w:jc w:val="both"/>
        <w:ind w:left="440" w:right="120" w:hanging="214"/>
        <w:spacing w:after="0" w:line="250" w:lineRule="auto"/>
        <w:tabs>
          <w:tab w:leader="none" w:pos="440" w:val="left"/>
        </w:tabs>
        <w:numPr>
          <w:ilvl w:val="0"/>
          <w:numId w:val="2"/>
        </w:numPr>
        <w:rPr>
          <w:rFonts w:ascii="Arial" w:cs="Arial" w:eastAsia="Arial" w:hAnsi="Arial"/>
          <w:sz w:val="15"/>
          <w:szCs w:val="15"/>
          <w:color w:val="auto"/>
        </w:rPr>
      </w:pPr>
      <w:r>
        <w:rPr>
          <w:rFonts w:ascii="Arial" w:cs="Arial" w:eastAsia="Arial" w:hAnsi="Arial"/>
          <w:sz w:val="15"/>
          <w:szCs w:val="15"/>
          <w:color w:val="auto"/>
        </w:rPr>
        <w:t>100% vesting acceleration of his or her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159" w:lineRule="exact"/>
        <w:rPr>
          <w:rFonts w:ascii="Arial" w:cs="Arial" w:eastAsia="Arial" w:hAnsi="Arial"/>
          <w:sz w:val="15"/>
          <w:szCs w:val="15"/>
          <w:color w:val="auto"/>
        </w:rPr>
      </w:pPr>
    </w:p>
    <w:p>
      <w:pPr>
        <w:ind w:left="440" w:right="180" w:hanging="214"/>
        <w:spacing w:after="0" w:line="250" w:lineRule="auto"/>
        <w:tabs>
          <w:tab w:leader="none" w:pos="44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Reasonable outplacement services in accordance with any applicable policy of ours that is in effect as of the named executive officer’s termination (or if no such policy is in effect, as determined by us), except that such outplacement services will be in no case less than the outplacement services provided under any applicable policy of ours that is in effect immediately prior to the applicable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344170</wp:posOffset>
            </wp:positionV>
            <wp:extent cx="7272655" cy="34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3" w:right="219" w:bottom="1440" w:gutter="0" w:footer="0" w:header="0"/>
        </w:sectPr>
      </w:pPr>
    </w:p>
    <w:bookmarkStart w:id="2" w:name="page3"/>
    <w:bookmarkEnd w:id="2"/>
    <w:p>
      <w:pPr>
        <w:ind w:right="340" w:firstLine="524"/>
        <w:spacing w:after="0" w:line="330" w:lineRule="auto"/>
        <w:rPr>
          <w:sz w:val="20"/>
          <w:szCs w:val="20"/>
          <w:color w:val="auto"/>
        </w:rPr>
      </w:pPr>
      <w:r>
        <w:rPr>
          <w:rFonts w:ascii="Arial" w:cs="Arial" w:eastAsia="Arial" w:hAnsi="Arial"/>
          <w:sz w:val="12"/>
          <w:szCs w:val="12"/>
          <w:color w:val="auto"/>
        </w:rPr>
        <w:t>Upon execution of participation agreements, the Severance Plan will supersede the severance benefits provided to named executive officers under the Company’s existing forms of amended and restated employment and severance agreement. To receive the Severance Plan benefits, the named executive officer would also be required sign and not revoke a separation and release of claims agreement in a form reasonably satisfactory to us within the period set forth in the Severance Plan and be in compliance with any confidentiality, proprietary information and inventions assignment agreement and any other appropriate agreement between the named executive officer and us (together, the “Severance Conditions”).</w:t>
      </w:r>
    </w:p>
    <w:p>
      <w:pPr>
        <w:spacing w:after="0" w:line="115" w:lineRule="exact"/>
        <w:rPr>
          <w:sz w:val="20"/>
          <w:szCs w:val="20"/>
          <w:color w:val="auto"/>
        </w:rPr>
      </w:pPr>
    </w:p>
    <w:p>
      <w:pPr>
        <w:jc w:val="both"/>
        <w:ind w:firstLine="524"/>
        <w:spacing w:after="0" w:line="330" w:lineRule="auto"/>
        <w:rPr>
          <w:sz w:val="20"/>
          <w:szCs w:val="20"/>
          <w:color w:val="auto"/>
        </w:rPr>
      </w:pPr>
      <w:r>
        <w:rPr>
          <w:rFonts w:ascii="Arial" w:cs="Arial" w:eastAsia="Arial" w:hAnsi="Arial"/>
          <w:sz w:val="12"/>
          <w:szCs w:val="12"/>
          <w:color w:val="auto"/>
        </w:rPr>
        <w:t>If any of the severance and other benefits provided for in the Severance Plan or otherwise payable to a named executive officer (“280G Payments”) constitute “parachute payments” within the meaning of Section 280G of the Internal Revenue Code and could be subject to excise tax under Section 4999 of the Internal Revenue Code, then the 280G Payments will be delivered in full or delivered as to such lesser extent which would result in no portion of such benefits being subject to excise tax, whichever results in the greater amount of after-tax benefits to such named executive officer. The Severance Plan does not require us to provide any tax gross-up payment to any named executive officer participating in the Severance Plan.</w:t>
      </w:r>
    </w:p>
    <w:p>
      <w:pPr>
        <w:spacing w:after="0" w:line="115" w:lineRule="exact"/>
        <w:rPr>
          <w:sz w:val="20"/>
          <w:szCs w:val="20"/>
          <w:color w:val="auto"/>
        </w:rPr>
      </w:pPr>
    </w:p>
    <w:p>
      <w:pPr>
        <w:ind w:right="240" w:firstLine="524"/>
        <w:spacing w:after="0" w:line="258" w:lineRule="auto"/>
        <w:rPr>
          <w:sz w:val="20"/>
          <w:szCs w:val="20"/>
          <w:color w:val="auto"/>
        </w:rPr>
      </w:pPr>
      <w:r>
        <w:rPr>
          <w:rFonts w:ascii="Arial" w:cs="Arial" w:eastAsia="Arial" w:hAnsi="Arial"/>
          <w:sz w:val="15"/>
          <w:szCs w:val="15"/>
          <w:color w:val="auto"/>
        </w:rPr>
        <w:t>The Severance Plan allows for participants who are not named executive officers that are designated for participation by our compensation committee. These participants are eligible to receive benefits at or below the benefits described above for named executive officers.</w:t>
      </w:r>
    </w:p>
    <w:p>
      <w:pPr>
        <w:spacing w:after="0" w:line="153" w:lineRule="exact"/>
        <w:rPr>
          <w:sz w:val="20"/>
          <w:szCs w:val="20"/>
          <w:color w:val="auto"/>
        </w:rPr>
      </w:pPr>
    </w:p>
    <w:p>
      <w:pPr>
        <w:jc w:val="both"/>
        <w:ind w:right="260" w:firstLine="524"/>
        <w:spacing w:after="0" w:line="383" w:lineRule="auto"/>
        <w:rPr>
          <w:sz w:val="20"/>
          <w:szCs w:val="20"/>
          <w:color w:val="auto"/>
        </w:rPr>
      </w:pPr>
      <w:r>
        <w:rPr>
          <w:rFonts w:ascii="Arial" w:cs="Arial" w:eastAsia="Arial" w:hAnsi="Arial"/>
          <w:sz w:val="12"/>
          <w:szCs w:val="12"/>
          <w:color w:val="auto"/>
        </w:rPr>
        <w:t>Subject to earlier termination in accordance with the terms and conditions of the Severance Plan, the Severance Plan will automatically terminate 3 years following its adoption by the Compensation Committee, but if a change of control occurs, the expiration date of the Severance Plan will be extended automatically through the date 12 months following a change of control.</w:t>
      </w:r>
    </w:p>
    <w:p>
      <w:pPr>
        <w:spacing w:after="0" w:line="84" w:lineRule="exact"/>
        <w:rPr>
          <w:sz w:val="20"/>
          <w:szCs w:val="20"/>
          <w:color w:val="auto"/>
        </w:rPr>
      </w:pPr>
    </w:p>
    <w:p>
      <w:pPr>
        <w:ind w:right="220" w:firstLine="524"/>
        <w:spacing w:after="0" w:line="258" w:lineRule="auto"/>
        <w:rPr>
          <w:sz w:val="20"/>
          <w:szCs w:val="20"/>
          <w:color w:val="auto"/>
        </w:rPr>
      </w:pPr>
      <w:r>
        <w:rPr>
          <w:rFonts w:ascii="Arial" w:cs="Arial" w:eastAsia="Arial" w:hAnsi="Arial"/>
          <w:sz w:val="15"/>
          <w:szCs w:val="15"/>
          <w:color w:val="auto"/>
        </w:rPr>
        <w:t>The foregoing description of the Severance Plan is qualified in its entirety by reference to the form of the Severance Plan, which is filed herewith as Exhibit 10.1 and is incorporated by reference herein.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81" w:lineRule="exact"/>
        <w:rPr>
          <w:sz w:val="20"/>
          <w:szCs w:val="20"/>
          <w:color w:val="auto"/>
        </w:rPr>
      </w:pPr>
    </w:p>
    <w:p>
      <w:pPr>
        <w:ind w:left="220" w:hanging="213"/>
        <w:spacing w:after="0"/>
        <w:tabs>
          <w:tab w:leader="none" w:pos="220"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Exhibits</w:t>
      </w:r>
      <w:r>
        <w:rPr>
          <w:rFonts w:ascii="Arial" w:cs="Arial" w:eastAsia="Arial" w:hAnsi="Arial"/>
          <w:sz w:val="15"/>
          <w:szCs w:val="15"/>
          <w:color w:val="auto"/>
        </w:rPr>
        <w:t>.</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Exhibit No.</w:t>
            </w:r>
          </w:p>
        </w:tc>
        <w:tc>
          <w:tcPr>
            <w:tcW w:w="800" w:type="dxa"/>
            <w:vAlign w:val="bottom"/>
          </w:tcPr>
          <w:p>
            <w:pPr>
              <w:spacing w:after="0"/>
              <w:rPr>
                <w:sz w:val="16"/>
                <w:szCs w:val="16"/>
                <w:color w:val="auto"/>
              </w:rPr>
            </w:pPr>
          </w:p>
        </w:tc>
        <w:tc>
          <w:tcPr>
            <w:tcW w:w="9380" w:type="dxa"/>
            <w:vAlign w:val="bottom"/>
            <w:tcBorders>
              <w:bottom w:val="single" w:sz="8" w:color="auto"/>
            </w:tcBorders>
          </w:tcPr>
          <w:p>
            <w:pPr>
              <w:ind w:left="4320"/>
              <w:spacing w:after="0"/>
              <w:rPr>
                <w:sz w:val="20"/>
                <w:szCs w:val="20"/>
                <w:color w:val="auto"/>
              </w:rPr>
            </w:pPr>
            <w:r>
              <w:rPr>
                <w:rFonts w:ascii="Arial" w:cs="Arial" w:eastAsia="Arial" w:hAnsi="Arial"/>
                <w:sz w:val="15"/>
                <w:szCs w:val="15"/>
                <w:b w:val="1"/>
                <w:bCs w:val="1"/>
                <w:color w:val="auto"/>
              </w:rPr>
              <w:t>Description</w:t>
            </w:r>
          </w:p>
        </w:tc>
      </w:tr>
      <w:tr>
        <w:trPr>
          <w:trHeight w:val="175"/>
        </w:trPr>
        <w:tc>
          <w:tcPr>
            <w:tcW w:w="1280" w:type="dxa"/>
            <w:vAlign w:val="bottom"/>
          </w:tcPr>
          <w:p>
            <w:pPr>
              <w:jc w:val="right"/>
              <w:ind w:right="447"/>
              <w:spacing w:after="0"/>
              <w:rPr>
                <w:sz w:val="20"/>
                <w:szCs w:val="20"/>
                <w:color w:val="auto"/>
              </w:rPr>
            </w:pPr>
            <w:r>
              <w:rPr>
                <w:rFonts w:ascii="Arial" w:cs="Arial" w:eastAsia="Arial" w:hAnsi="Arial"/>
                <w:sz w:val="15"/>
                <w:szCs w:val="15"/>
                <w:color w:val="auto"/>
              </w:rPr>
              <w:t>10.1</w:t>
            </w:r>
          </w:p>
        </w:tc>
        <w:tc>
          <w:tcPr>
            <w:tcW w:w="800" w:type="dxa"/>
            <w:vAlign w:val="bottom"/>
          </w:tcPr>
          <w:p>
            <w:pPr>
              <w:spacing w:after="0"/>
              <w:rPr>
                <w:sz w:val="15"/>
                <w:szCs w:val="15"/>
                <w:color w:val="auto"/>
              </w:rPr>
            </w:pPr>
          </w:p>
        </w:tc>
        <w:tc>
          <w:tcPr>
            <w:tcW w:w="9380" w:type="dxa"/>
            <w:vAlign w:val="bottom"/>
          </w:tcPr>
          <w:p>
            <w:pPr>
              <w:spacing w:after="0"/>
              <w:rPr>
                <w:sz w:val="20"/>
                <w:szCs w:val="20"/>
                <w:color w:val="auto"/>
              </w:rPr>
            </w:pPr>
            <w:r>
              <w:rPr>
                <w:rFonts w:ascii="Arial" w:cs="Arial" w:eastAsia="Arial" w:hAnsi="Arial"/>
                <w:sz w:val="15"/>
                <w:szCs w:val="15"/>
                <w:color w:val="auto"/>
              </w:rPr>
              <w:t>Fluidigm Corporation Change of Control and Severance Plan.</w:t>
            </w:r>
          </w:p>
        </w:tc>
      </w:tr>
      <w:tr>
        <w:trPr>
          <w:trHeight w:val="746"/>
        </w:trPr>
        <w:tc>
          <w:tcPr>
            <w:tcW w:w="1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587"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SIGNATURE</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720" w:type="dxa"/>
            <w:vAlign w:val="bottom"/>
            <w:gridSpan w:val="2"/>
          </w:tcPr>
          <w:p>
            <w:pPr>
              <w:spacing w:after="0"/>
              <w:rPr>
                <w:sz w:val="20"/>
                <w:szCs w:val="20"/>
                <w:color w:val="auto"/>
              </w:rPr>
            </w:pPr>
            <w:r>
              <w:rPr>
                <w:rFonts w:ascii="Arial" w:cs="Arial" w:eastAsia="Arial" w:hAnsi="Arial"/>
                <w:sz w:val="15"/>
                <w:szCs w:val="15"/>
                <w:b w:val="1"/>
                <w:bCs w:val="1"/>
                <w:color w:val="auto"/>
              </w:rPr>
              <w:t>FLUIDIGM CORPORATION</w:t>
            </w:r>
          </w:p>
        </w:tc>
      </w:tr>
      <w:tr>
        <w:trPr>
          <w:trHeight w:val="668"/>
        </w:trPr>
        <w:tc>
          <w:tcPr>
            <w:tcW w:w="3400" w:type="dxa"/>
            <w:vAlign w:val="bottom"/>
          </w:tcPr>
          <w:p>
            <w:pPr>
              <w:spacing w:after="0"/>
              <w:rPr>
                <w:sz w:val="20"/>
                <w:szCs w:val="20"/>
                <w:color w:val="auto"/>
              </w:rPr>
            </w:pPr>
            <w:r>
              <w:rPr>
                <w:rFonts w:ascii="Arial" w:cs="Arial" w:eastAsia="Arial" w:hAnsi="Arial"/>
                <w:sz w:val="15"/>
                <w:szCs w:val="15"/>
                <w:color w:val="auto"/>
              </w:rPr>
              <w:t>Date: August 23, 2017</w:t>
            </w:r>
          </w:p>
        </w:tc>
        <w:tc>
          <w:tcPr>
            <w:tcW w:w="8060" w:type="dxa"/>
            <w:vAlign w:val="bottom"/>
            <w:gridSpan w:val="3"/>
          </w:tcPr>
          <w:p>
            <w:pPr>
              <w:ind w:left="2060"/>
              <w:spacing w:after="0"/>
              <w:rPr>
                <w:sz w:val="20"/>
                <w:szCs w:val="20"/>
                <w:color w:val="auto"/>
              </w:rPr>
            </w:pPr>
            <w:r>
              <w:rPr>
                <w:rFonts w:ascii="Arial" w:cs="Arial" w:eastAsia="Arial" w:hAnsi="Arial"/>
                <w:sz w:val="15"/>
                <w:szCs w:val="15"/>
                <w:color w:val="auto"/>
              </w:rPr>
              <w:t>By: /s/ Nicholas Khadder</w:t>
            </w:r>
          </w:p>
        </w:tc>
      </w:tr>
      <w:tr>
        <w:trPr>
          <w:trHeight w:val="177"/>
        </w:trPr>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Nicholas Khadder</w:t>
            </w:r>
          </w:p>
        </w:tc>
        <w:tc>
          <w:tcPr>
            <w:tcW w:w="3400" w:type="dxa"/>
            <w:vAlign w:val="bottom"/>
          </w:tcPr>
          <w:p>
            <w:pPr>
              <w:spacing w:after="0"/>
              <w:rPr>
                <w:sz w:val="15"/>
                <w:szCs w:val="15"/>
                <w:color w:val="auto"/>
              </w:rPr>
            </w:pPr>
          </w:p>
        </w:tc>
      </w:tr>
      <w:tr>
        <w:trPr>
          <w:trHeight w:val="184"/>
        </w:trPr>
        <w:tc>
          <w:tcPr>
            <w:tcW w:w="3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720" w:type="dxa"/>
            <w:vAlign w:val="bottom"/>
            <w:gridSpan w:val="2"/>
          </w:tcPr>
          <w:p>
            <w:pPr>
              <w:spacing w:after="0"/>
              <w:rPr>
                <w:sz w:val="20"/>
                <w:szCs w:val="20"/>
                <w:color w:val="auto"/>
              </w:rPr>
            </w:pPr>
            <w:r>
              <w:rPr>
                <w:rFonts w:ascii="Arial" w:cs="Arial" w:eastAsia="Arial" w:hAnsi="Arial"/>
                <w:sz w:val="15"/>
                <w:szCs w:val="15"/>
                <w:color w:val="auto"/>
              </w:rPr>
              <w:t>Senior Vice President, Legal Affairs, General Counsel, and Secretary</w:t>
            </w:r>
          </w:p>
        </w:tc>
      </w:tr>
      <w:tr>
        <w:trPr>
          <w:trHeight w:val="1281"/>
        </w:trPr>
        <w:tc>
          <w:tcPr>
            <w:tcW w:w="34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583" w:right="2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380" w:type="dxa"/>
            <w:vAlign w:val="bottom"/>
          </w:tcPr>
          <w:p>
            <w:pPr>
              <w:ind w:left="3100"/>
              <w:spacing w:after="0"/>
              <w:rPr>
                <w:sz w:val="20"/>
                <w:szCs w:val="20"/>
                <w:color w:val="auto"/>
              </w:rPr>
            </w:pPr>
            <w:r>
              <w:rPr>
                <w:rFonts w:ascii="Arial" w:cs="Arial" w:eastAsia="Arial" w:hAnsi="Arial"/>
                <w:sz w:val="15"/>
                <w:szCs w:val="15"/>
                <w:b w:val="1"/>
                <w:bCs w:val="1"/>
                <w:color w:val="auto"/>
              </w:rPr>
              <w:t>EXHIBIT INDEX</w:t>
            </w:r>
          </w:p>
        </w:tc>
      </w:tr>
      <w:tr>
        <w:trPr>
          <w:trHeight w:val="874"/>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Exhibit No.</w:t>
            </w:r>
          </w:p>
        </w:tc>
        <w:tc>
          <w:tcPr>
            <w:tcW w:w="800" w:type="dxa"/>
            <w:vAlign w:val="bottom"/>
          </w:tcPr>
          <w:p>
            <w:pPr>
              <w:spacing w:after="0"/>
              <w:rPr>
                <w:sz w:val="24"/>
                <w:szCs w:val="24"/>
                <w:color w:val="auto"/>
              </w:rPr>
            </w:pPr>
          </w:p>
        </w:tc>
        <w:tc>
          <w:tcPr>
            <w:tcW w:w="9380" w:type="dxa"/>
            <w:vAlign w:val="bottom"/>
            <w:tcBorders>
              <w:bottom w:val="single" w:sz="8" w:color="auto"/>
            </w:tcBorders>
          </w:tcPr>
          <w:p>
            <w:pPr>
              <w:ind w:left="4320"/>
              <w:spacing w:after="0"/>
              <w:rPr>
                <w:sz w:val="20"/>
                <w:szCs w:val="20"/>
                <w:color w:val="auto"/>
              </w:rPr>
            </w:pPr>
            <w:r>
              <w:rPr>
                <w:rFonts w:ascii="Arial" w:cs="Arial" w:eastAsia="Arial" w:hAnsi="Arial"/>
                <w:sz w:val="15"/>
                <w:szCs w:val="15"/>
                <w:b w:val="1"/>
                <w:bCs w:val="1"/>
                <w:color w:val="auto"/>
              </w:rPr>
              <w:t>Description</w:t>
            </w:r>
          </w:p>
        </w:tc>
      </w:tr>
      <w:tr>
        <w:trPr>
          <w:trHeight w:val="175"/>
        </w:trPr>
        <w:tc>
          <w:tcPr>
            <w:tcW w:w="1280" w:type="dxa"/>
            <w:vAlign w:val="bottom"/>
          </w:tcPr>
          <w:p>
            <w:pPr>
              <w:jc w:val="right"/>
              <w:ind w:right="447"/>
              <w:spacing w:after="0"/>
              <w:rPr>
                <w:sz w:val="20"/>
                <w:szCs w:val="20"/>
                <w:color w:val="auto"/>
              </w:rPr>
            </w:pPr>
            <w:r>
              <w:rPr>
                <w:rFonts w:ascii="Arial" w:cs="Arial" w:eastAsia="Arial" w:hAnsi="Arial"/>
                <w:sz w:val="15"/>
                <w:szCs w:val="15"/>
                <w:color w:val="auto"/>
              </w:rPr>
              <w:t>10.1</w:t>
            </w:r>
          </w:p>
        </w:tc>
        <w:tc>
          <w:tcPr>
            <w:tcW w:w="800" w:type="dxa"/>
            <w:vAlign w:val="bottom"/>
          </w:tcPr>
          <w:p>
            <w:pPr>
              <w:spacing w:after="0"/>
              <w:rPr>
                <w:sz w:val="15"/>
                <w:szCs w:val="15"/>
                <w:color w:val="auto"/>
              </w:rPr>
            </w:pPr>
          </w:p>
        </w:tc>
        <w:tc>
          <w:tcPr>
            <w:tcW w:w="9380" w:type="dxa"/>
            <w:vAlign w:val="bottom"/>
          </w:tcPr>
          <w:p>
            <w:pPr>
              <w:spacing w:after="0"/>
              <w:rPr>
                <w:sz w:val="20"/>
                <w:szCs w:val="20"/>
                <w:color w:val="auto"/>
              </w:rPr>
            </w:pPr>
            <w:r>
              <w:rPr>
                <w:rFonts w:ascii="Arial" w:cs="Arial" w:eastAsia="Arial" w:hAnsi="Arial"/>
                <w:sz w:val="15"/>
                <w:szCs w:val="15"/>
                <w:color w:val="auto"/>
              </w:rPr>
              <w:t>Fluidigm Corporation Change of Control and Severance Plan</w:t>
            </w:r>
          </w:p>
        </w:tc>
      </w:tr>
    </w:tbl>
    <w:p>
      <w:pPr>
        <w:sectPr>
          <w:pgSz w:w="11900" w:h="16838" w:orient="portrait"/>
          <w:cols w:equalWidth="0" w:num="1">
            <w:col w:w="11460"/>
          </w:cols>
          <w:pgMar w:left="220" w:top="583" w:right="21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10.1</w:t>
      </w:r>
    </w:p>
    <w:p>
      <w:pPr>
        <w:spacing w:after="0" w:line="205"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FLUIDIGM CORPORATION</w:t>
      </w:r>
    </w:p>
    <w:p>
      <w:pPr>
        <w:spacing w:after="0" w:line="15"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CHANGE OF CONTROL AND SEVERANCE PLAN</w:t>
      </w:r>
    </w:p>
    <w:p>
      <w:pPr>
        <w:spacing w:after="0" w:line="2"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AND SUMMARY PLAN DESCRIPTION</w:t>
      </w:r>
    </w:p>
    <w:p>
      <w:pPr>
        <w:spacing w:after="0" w:line="164" w:lineRule="exact"/>
        <w:rPr>
          <w:sz w:val="20"/>
          <w:szCs w:val="20"/>
          <w:color w:val="auto"/>
        </w:rPr>
      </w:pPr>
    </w:p>
    <w:p>
      <w:pPr>
        <w:jc w:val="both"/>
        <w:ind w:firstLine="531"/>
        <w:spacing w:after="0" w:line="250" w:lineRule="auto"/>
        <w:tabs>
          <w:tab w:leader="none" w:pos="1033"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Introduction</w:t>
      </w:r>
      <w:r>
        <w:rPr>
          <w:rFonts w:ascii="Arial" w:cs="Arial" w:eastAsia="Arial" w:hAnsi="Arial"/>
          <w:sz w:val="15"/>
          <w:szCs w:val="15"/>
          <w:color w:val="auto"/>
        </w:rPr>
        <w:t>. The purpose of this Fluidigm Corporation Change of Control and Severance Plan (the “</w:t>
      </w:r>
      <w:r>
        <w:rPr>
          <w:rFonts w:ascii="Arial" w:cs="Arial" w:eastAsia="Arial" w:hAnsi="Arial"/>
          <w:sz w:val="15"/>
          <w:szCs w:val="15"/>
          <w:b w:val="1"/>
          <w:bCs w:val="1"/>
          <w:color w:val="auto"/>
        </w:rPr>
        <w:t>Plan</w:t>
      </w:r>
      <w:r>
        <w:rPr>
          <w:rFonts w:ascii="Arial" w:cs="Arial" w:eastAsia="Arial" w:hAnsi="Arial"/>
          <w:sz w:val="15"/>
          <w:szCs w:val="15"/>
          <w:color w:val="auto"/>
        </w:rPr>
        <w:t>”) is to provide assurances of specified benefits to certain employees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 whose employment is subject to being involuntarily terminated other than for death, Disability, or Cause or voluntarily terminated for Good Reason under the circumstances described in the Plan. This Plan is an “employee welfare benefit plan,” as defined in Section 3(1) of ERISA. This document constitutes both the written instrument under which the Plan is maintained and the required summary plan description for the Plan.</w:t>
      </w:r>
    </w:p>
    <w:p>
      <w:pPr>
        <w:spacing w:after="0" w:line="154" w:lineRule="exact"/>
        <w:rPr>
          <w:rFonts w:ascii="Arial" w:cs="Arial" w:eastAsia="Arial" w:hAnsi="Arial"/>
          <w:sz w:val="15"/>
          <w:szCs w:val="15"/>
          <w:color w:val="auto"/>
        </w:rPr>
      </w:pPr>
    </w:p>
    <w:p>
      <w:pPr>
        <w:ind w:firstLine="531"/>
        <w:spacing w:after="0" w:line="264" w:lineRule="auto"/>
        <w:tabs>
          <w:tab w:leader="none" w:pos="1033"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Important Terms</w:t>
      </w:r>
      <w:r>
        <w:rPr>
          <w:rFonts w:ascii="Arial" w:cs="Arial" w:eastAsia="Arial" w:hAnsi="Arial"/>
          <w:sz w:val="15"/>
          <w:szCs w:val="15"/>
          <w:color w:val="auto"/>
        </w:rPr>
        <w:t>. The following words and phrases, when the initial letter of the term is capitalized, will have the meanings set forth in this Section 2, unless a different meaning</w:t>
      </w:r>
      <w:r>
        <w:rPr>
          <w:rFonts w:ascii="Arial" w:cs="Arial" w:eastAsia="Arial" w:hAnsi="Arial"/>
          <w:sz w:val="15"/>
          <w:szCs w:val="15"/>
          <w:b w:val="1"/>
          <w:bCs w:val="1"/>
          <w:color w:val="auto"/>
        </w:rPr>
        <w:t xml:space="preserve"> </w:t>
      </w:r>
      <w:r>
        <w:rPr>
          <w:rFonts w:ascii="Arial" w:cs="Arial" w:eastAsia="Arial" w:hAnsi="Arial"/>
          <w:sz w:val="15"/>
          <w:szCs w:val="15"/>
          <w:color w:val="auto"/>
        </w:rPr>
        <w:t>is plainly required by the context:</w:t>
      </w:r>
    </w:p>
    <w:p>
      <w:pPr>
        <w:spacing w:after="0" w:line="145" w:lineRule="exact"/>
        <w:rPr>
          <w:sz w:val="20"/>
          <w:szCs w:val="20"/>
          <w:color w:val="auto"/>
        </w:rPr>
      </w:pPr>
    </w:p>
    <w:p>
      <w:pPr>
        <w:jc w:val="both"/>
        <w:ind w:firstLine="1048"/>
        <w:spacing w:after="0" w:line="264" w:lineRule="auto"/>
        <w:rPr>
          <w:sz w:val="20"/>
          <w:szCs w:val="20"/>
          <w:color w:val="auto"/>
        </w:rPr>
      </w:pPr>
      <w:r>
        <w:rPr>
          <w:rFonts w:ascii="Arial" w:cs="Arial" w:eastAsia="Arial" w:hAnsi="Arial"/>
          <w:sz w:val="15"/>
          <w:szCs w:val="15"/>
          <w:color w:val="auto"/>
        </w:rPr>
        <w:t xml:space="preserve">2.1. </w:t>
      </w:r>
      <w:r>
        <w:rPr>
          <w:rFonts w:ascii="Arial" w:cs="Arial" w:eastAsia="Arial" w:hAnsi="Arial"/>
          <w:sz w:val="15"/>
          <w:szCs w:val="15"/>
          <w:b w:val="1"/>
          <w:bCs w:val="1"/>
          <w:color w:val="auto"/>
        </w:rPr>
        <w:t>“Administrator”</w:t>
      </w:r>
      <w:r>
        <w:rPr>
          <w:rFonts w:ascii="Arial" w:cs="Arial" w:eastAsia="Arial" w:hAnsi="Arial"/>
          <w:sz w:val="15"/>
          <w:szCs w:val="15"/>
          <w:color w:val="auto"/>
        </w:rPr>
        <w:t xml:space="preserve"> means the Company, acting through the Compensation Committee or another duly constituted committee of members of the Board, or any person to whom the Administrator has delegated any authority or responsibility with respect to the Plan pursuant to Section 12, but only to the extent of such delegation.</w:t>
      </w:r>
    </w:p>
    <w:p>
      <w:pPr>
        <w:spacing w:after="0" w:line="145" w:lineRule="exact"/>
        <w:rPr>
          <w:sz w:val="20"/>
          <w:szCs w:val="20"/>
          <w:color w:val="auto"/>
        </w:rPr>
      </w:pPr>
    </w:p>
    <w:p>
      <w:pPr>
        <w:ind w:left="1060"/>
        <w:spacing w:after="0"/>
        <w:tabs>
          <w:tab w:leader="none" w:pos="148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2"/>
          <w:szCs w:val="12"/>
          <w:b w:val="1"/>
          <w:bCs w:val="1"/>
          <w:color w:val="auto"/>
        </w:rPr>
        <w:t xml:space="preserve">“Board” </w:t>
      </w:r>
      <w:r>
        <w:rPr>
          <w:rFonts w:ascii="Arial" w:cs="Arial" w:eastAsia="Arial" w:hAnsi="Arial"/>
          <w:sz w:val="12"/>
          <w:szCs w:val="12"/>
          <w:color w:val="auto"/>
        </w:rPr>
        <w:t>means the Board of Directors of the Company.</w:t>
      </w:r>
    </w:p>
    <w:p>
      <w:pPr>
        <w:spacing w:after="0" w:line="177" w:lineRule="exact"/>
        <w:rPr>
          <w:sz w:val="20"/>
          <w:szCs w:val="20"/>
          <w:color w:val="auto"/>
        </w:rPr>
      </w:pPr>
    </w:p>
    <w:p>
      <w:pPr>
        <w:jc w:val="both"/>
        <w:ind w:firstLine="1048"/>
        <w:spacing w:after="0" w:line="311" w:lineRule="auto"/>
        <w:rPr>
          <w:sz w:val="20"/>
          <w:szCs w:val="20"/>
          <w:color w:val="auto"/>
        </w:rPr>
      </w:pPr>
      <w:r>
        <w:rPr>
          <w:rFonts w:ascii="Arial" w:cs="Arial" w:eastAsia="Arial" w:hAnsi="Arial"/>
          <w:sz w:val="12"/>
          <w:szCs w:val="12"/>
          <w:color w:val="auto"/>
        </w:rPr>
        <w:t xml:space="preserve">2.3. </w:t>
      </w:r>
      <w:r>
        <w:rPr>
          <w:rFonts w:ascii="Arial" w:cs="Arial" w:eastAsia="Arial" w:hAnsi="Arial"/>
          <w:sz w:val="12"/>
          <w:szCs w:val="12"/>
          <w:b w:val="1"/>
          <w:bCs w:val="1"/>
          <w:color w:val="auto"/>
        </w:rPr>
        <w:t>“Cause”</w:t>
      </w:r>
      <w:r>
        <w:rPr>
          <w:rFonts w:ascii="Arial" w:cs="Arial" w:eastAsia="Arial" w:hAnsi="Arial"/>
          <w:sz w:val="12"/>
          <w:szCs w:val="12"/>
          <w:color w:val="auto"/>
        </w:rPr>
        <w:t xml:space="preserve"> means (i) an act of dishonesty made by Participant in connection with Participant’s responsibilities as an employee, (ii) Participant’s conviction of, or plea of </w:t>
      </w:r>
      <w:r>
        <w:rPr>
          <w:rFonts w:ascii="Arial" w:cs="Arial" w:eastAsia="Arial" w:hAnsi="Arial"/>
          <w:sz w:val="12"/>
          <w:szCs w:val="12"/>
          <w:u w:val="single" w:color="auto"/>
          <w:color w:val="auto"/>
        </w:rPr>
        <w:t>nolo contendere</w:t>
      </w:r>
      <w:r>
        <w:rPr>
          <w:rFonts w:ascii="Arial" w:cs="Arial" w:eastAsia="Arial" w:hAnsi="Arial"/>
          <w:sz w:val="12"/>
          <w:szCs w:val="12"/>
          <w:color w:val="auto"/>
        </w:rPr>
        <w:t xml:space="preserve"> to, a felony or any crime involving fraud, embezzlement or any other act of moral turpitude, (iii) Participant’s gross misconduct, (iv) Participant’s unauthorized use or disclosure of any proprietary information or trade secrets of the Company or any other party to whom Participant owes an obligation of nondisclosure as a result of Participant’s relationship with the Company;</w:t>
      </w:r>
    </w:p>
    <w:p>
      <w:pPr>
        <w:spacing w:after="0" w:line="1" w:lineRule="exact"/>
        <w:rPr>
          <w:sz w:val="20"/>
          <w:szCs w:val="20"/>
          <w:color w:val="auto"/>
        </w:rPr>
      </w:pPr>
    </w:p>
    <w:p>
      <w:pPr>
        <w:jc w:val="both"/>
        <w:ind w:firstLine="7"/>
        <w:spacing w:after="0" w:line="270" w:lineRule="auto"/>
        <w:tabs>
          <w:tab w:leader="none" w:pos="225" w:val="left"/>
        </w:tabs>
        <w:numPr>
          <w:ilvl w:val="0"/>
          <w:numId w:val="5"/>
        </w:numPr>
        <w:rPr>
          <w:rFonts w:ascii="Arial" w:cs="Arial" w:eastAsia="Arial" w:hAnsi="Arial"/>
          <w:sz w:val="14"/>
          <w:szCs w:val="14"/>
          <w:color w:val="auto"/>
        </w:rPr>
      </w:pPr>
      <w:r>
        <w:rPr>
          <w:rFonts w:ascii="Arial" w:cs="Arial" w:eastAsia="Arial" w:hAnsi="Arial"/>
          <w:sz w:val="14"/>
          <w:szCs w:val="14"/>
          <w:color w:val="auto"/>
        </w:rPr>
        <w:t>Participant’s willful breach of any obligations under any written agreement or covenant with the Company; or (vi) Participant’s continued failure to perform his employment duties after Participant has received a written demand of performance from the Company which specifically sets forth the factual basis for the Company’s belief that Participant has not substantially performed his duties and has failed to cure such non-performance to the Company’s satisfaction within 10 business days after receiving such notice.</w:t>
      </w:r>
    </w:p>
    <w:p>
      <w:pPr>
        <w:spacing w:after="0" w:line="142" w:lineRule="exact"/>
        <w:rPr>
          <w:sz w:val="20"/>
          <w:szCs w:val="20"/>
          <w:color w:val="auto"/>
        </w:rPr>
      </w:pPr>
    </w:p>
    <w:p>
      <w:pPr>
        <w:ind w:left="1060"/>
        <w:spacing w:after="0"/>
        <w:tabs>
          <w:tab w:leader="none" w:pos="1480" w:val="left"/>
        </w:tabs>
        <w:rPr>
          <w:sz w:val="20"/>
          <w:szCs w:val="20"/>
          <w:color w:val="auto"/>
        </w:rPr>
      </w:pPr>
      <w:r>
        <w:rPr>
          <w:rFonts w:ascii="Arial" w:cs="Arial" w:eastAsia="Arial" w:hAnsi="Arial"/>
          <w:sz w:val="15"/>
          <w:szCs w:val="15"/>
          <w:color w:val="auto"/>
        </w:rPr>
        <w:t>2.4.</w:t>
      </w:r>
      <w:r>
        <w:rPr>
          <w:sz w:val="20"/>
          <w:szCs w:val="20"/>
          <w:color w:val="auto"/>
        </w:rPr>
        <w:tab/>
      </w:r>
      <w:r>
        <w:rPr>
          <w:rFonts w:ascii="Arial" w:cs="Arial" w:eastAsia="Arial" w:hAnsi="Arial"/>
          <w:sz w:val="12"/>
          <w:szCs w:val="12"/>
          <w:b w:val="1"/>
          <w:bCs w:val="1"/>
          <w:color w:val="auto"/>
        </w:rPr>
        <w:t xml:space="preserve">“Change of Control” </w:t>
      </w:r>
      <w:r>
        <w:rPr>
          <w:rFonts w:ascii="Arial" w:cs="Arial" w:eastAsia="Arial" w:hAnsi="Arial"/>
          <w:sz w:val="12"/>
          <w:szCs w:val="12"/>
          <w:color w:val="auto"/>
        </w:rPr>
        <w:t>means:</w:t>
      </w:r>
    </w:p>
    <w:p>
      <w:pPr>
        <w:spacing w:after="0" w:line="181" w:lineRule="exact"/>
        <w:rPr>
          <w:sz w:val="20"/>
          <w:szCs w:val="20"/>
          <w:color w:val="auto"/>
        </w:rPr>
      </w:pPr>
    </w:p>
    <w:p>
      <w:pPr>
        <w:jc w:val="both"/>
        <w:ind w:firstLine="1580"/>
        <w:spacing w:after="0" w:line="250" w:lineRule="auto"/>
        <w:tabs>
          <w:tab w:leader="none" w:pos="2116" w:val="left"/>
        </w:tabs>
        <w:numPr>
          <w:ilvl w:val="0"/>
          <w:numId w:val="6"/>
        </w:numPr>
        <w:rPr>
          <w:rFonts w:ascii="Arial" w:cs="Arial" w:eastAsia="Arial" w:hAnsi="Arial"/>
          <w:sz w:val="15"/>
          <w:szCs w:val="15"/>
          <w:color w:val="auto"/>
        </w:rPr>
      </w:pPr>
      <w:r>
        <w:rPr>
          <w:rFonts w:ascii="Arial" w:cs="Arial" w:eastAsia="Arial" w:hAnsi="Arial"/>
          <w:sz w:val="15"/>
          <w:szCs w:val="15"/>
          <w:color w:val="auto"/>
        </w:rPr>
        <w:t>any “person” (as such term is used in Sections 13(d) and 14(d) of the Securities Exchange Act of 1934, as amended) is or becomes the “beneficial owner” (as defined in Rule 13d-3 under said Act), directly or indirectly, of securities of the Company representing 50% or more of the total voting power represented by the Company’s then outstanding voting securities; or</w:t>
      </w:r>
    </w:p>
    <w:p>
      <w:pPr>
        <w:spacing w:after="0" w:line="159" w:lineRule="exact"/>
        <w:rPr>
          <w:rFonts w:ascii="Arial" w:cs="Arial" w:eastAsia="Arial" w:hAnsi="Arial"/>
          <w:sz w:val="15"/>
          <w:szCs w:val="15"/>
          <w:color w:val="auto"/>
        </w:rPr>
      </w:pPr>
    </w:p>
    <w:p>
      <w:pPr>
        <w:jc w:val="both"/>
        <w:ind w:firstLine="1580"/>
        <w:spacing w:after="0" w:line="248" w:lineRule="auto"/>
        <w:tabs>
          <w:tab w:leader="none" w:pos="2075" w:val="left"/>
        </w:tabs>
        <w:numPr>
          <w:ilvl w:val="0"/>
          <w:numId w:val="6"/>
        </w:numPr>
        <w:rPr>
          <w:rFonts w:ascii="Arial" w:cs="Arial" w:eastAsia="Arial" w:hAnsi="Arial"/>
          <w:sz w:val="15"/>
          <w:szCs w:val="15"/>
          <w:color w:val="auto"/>
        </w:rPr>
      </w:pPr>
      <w:r>
        <w:rPr>
          <w:rFonts w:ascii="Arial" w:cs="Arial" w:eastAsia="Arial" w:hAnsi="Arial"/>
          <w:sz w:val="15"/>
          <w:szCs w:val="15"/>
          <w:color w:val="auto"/>
        </w:rPr>
        <w:t>a change in the composition of the Board occurring within a two-year period, as a result of which fewer than a majority of the directors are Incumbent Directors. “</w:t>
      </w:r>
      <w:r>
        <w:rPr>
          <w:rFonts w:ascii="Arial" w:cs="Arial" w:eastAsia="Arial" w:hAnsi="Arial"/>
          <w:sz w:val="15"/>
          <w:szCs w:val="15"/>
          <w:b w:val="1"/>
          <w:bCs w:val="1"/>
          <w:color w:val="auto"/>
        </w:rPr>
        <w:t>Incumbent Directors</w:t>
      </w:r>
      <w:r>
        <w:rPr>
          <w:rFonts w:ascii="Arial" w:cs="Arial" w:eastAsia="Arial" w:hAnsi="Arial"/>
          <w:sz w:val="15"/>
          <w:szCs w:val="15"/>
          <w:color w:val="auto"/>
        </w:rPr>
        <w:t>” will mean directors who either (A) are directors of the Company as of the date hereof, or (B) are elected, or nominated for election, to the Board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344170</wp:posOffset>
            </wp:positionV>
            <wp:extent cx="7272655" cy="349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6" w:name="page7"/>
    <w:bookmarkEnd w:id="6"/>
    <w:p>
      <w:pPr>
        <w:jc w:val="both"/>
        <w:ind w:firstLine="1580"/>
        <w:spacing w:after="0" w:line="330" w:lineRule="auto"/>
        <w:tabs>
          <w:tab w:leader="none" w:pos="2197"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the stockholders of the Company approve a plan of complete liquidation of the Company; or</w:t>
      </w:r>
    </w:p>
    <w:p>
      <w:pPr>
        <w:spacing w:after="0" w:line="114" w:lineRule="exact"/>
        <w:rPr>
          <w:rFonts w:ascii="Arial" w:cs="Arial" w:eastAsia="Arial" w:hAnsi="Arial"/>
          <w:sz w:val="12"/>
          <w:szCs w:val="12"/>
          <w:color w:val="auto"/>
        </w:rPr>
      </w:pPr>
    </w:p>
    <w:p>
      <w:pPr>
        <w:ind w:left="2040" w:hanging="460"/>
        <w:spacing w:after="0"/>
        <w:tabs>
          <w:tab w:leader="none" w:pos="20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date of the consummation of the sale or disposition by the Company of all or substantially all the Company’s assets.</w:t>
      </w:r>
    </w:p>
    <w:p>
      <w:pPr>
        <w:spacing w:after="0" w:line="177" w:lineRule="exact"/>
        <w:rPr>
          <w:sz w:val="20"/>
          <w:szCs w:val="20"/>
          <w:color w:val="auto"/>
        </w:rPr>
      </w:pPr>
    </w:p>
    <w:p>
      <w:pPr>
        <w:jc w:val="both"/>
        <w:ind w:firstLine="524"/>
        <w:spacing w:after="0" w:line="258" w:lineRule="auto"/>
        <w:rPr>
          <w:sz w:val="20"/>
          <w:szCs w:val="20"/>
          <w:color w:val="auto"/>
        </w:rPr>
      </w:pPr>
      <w:r>
        <w:rPr>
          <w:rFonts w:ascii="Arial" w:cs="Arial" w:eastAsia="Arial" w:hAnsi="Arial"/>
          <w:sz w:val="15"/>
          <w:szCs w:val="15"/>
          <w:color w:val="auto"/>
        </w:rPr>
        <w:t>Notwithstanding the preceding, no transaction will be a Change of Control under this definition unless it is also a “change in control” within the meaning of Treasury Regulation Section 1.409A-3(i)(5) .</w:t>
      </w:r>
    </w:p>
    <w:p>
      <w:pPr>
        <w:spacing w:after="0" w:line="149" w:lineRule="exact"/>
        <w:rPr>
          <w:sz w:val="20"/>
          <w:szCs w:val="20"/>
          <w:color w:val="auto"/>
        </w:rPr>
      </w:pPr>
    </w:p>
    <w:p>
      <w:pPr>
        <w:ind w:left="1060"/>
        <w:spacing w:after="0"/>
        <w:tabs>
          <w:tab w:leader="none" w:pos="150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2"/>
          <w:szCs w:val="12"/>
          <w:b w:val="1"/>
          <w:bCs w:val="1"/>
          <w:color w:val="auto"/>
        </w:rPr>
        <w:t xml:space="preserve">“Change of Control Period” </w:t>
      </w:r>
      <w:r>
        <w:rPr>
          <w:rFonts w:ascii="Arial" w:cs="Arial" w:eastAsia="Arial" w:hAnsi="Arial"/>
          <w:sz w:val="12"/>
          <w:szCs w:val="12"/>
          <w:color w:val="auto"/>
        </w:rPr>
        <w:t>means the time period beginning 3 months prior to a Change of Control and ending on the date that is 12 months following the Change of</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Control.</w:t>
      </w:r>
    </w:p>
    <w:p>
      <w:pPr>
        <w:spacing w:after="0" w:line="164" w:lineRule="exact"/>
        <w:rPr>
          <w:sz w:val="20"/>
          <w:szCs w:val="20"/>
          <w:color w:val="auto"/>
        </w:rPr>
      </w:pPr>
    </w:p>
    <w:p>
      <w:pPr>
        <w:ind w:left="1060"/>
        <w:spacing w:after="0"/>
        <w:tabs>
          <w:tab w:leader="none" w:pos="1480" w:val="left"/>
        </w:tabs>
        <w:rPr>
          <w:sz w:val="20"/>
          <w:szCs w:val="20"/>
          <w:color w:val="auto"/>
        </w:rPr>
      </w:pPr>
      <w:r>
        <w:rPr>
          <w:rFonts w:ascii="Arial" w:cs="Arial" w:eastAsia="Arial" w:hAnsi="Arial"/>
          <w:sz w:val="15"/>
          <w:szCs w:val="15"/>
          <w:color w:val="auto"/>
        </w:rPr>
        <w:t>2.6.</w:t>
      </w:r>
      <w:r>
        <w:rPr>
          <w:sz w:val="20"/>
          <w:szCs w:val="20"/>
          <w:color w:val="auto"/>
        </w:rPr>
        <w:tab/>
      </w:r>
      <w:r>
        <w:rPr>
          <w:rFonts w:ascii="Arial" w:cs="Arial" w:eastAsia="Arial" w:hAnsi="Arial"/>
          <w:sz w:val="12"/>
          <w:szCs w:val="12"/>
          <w:b w:val="1"/>
          <w:bCs w:val="1"/>
          <w:color w:val="auto"/>
        </w:rPr>
        <w:t xml:space="preserve">“Code” </w:t>
      </w:r>
      <w:r>
        <w:rPr>
          <w:rFonts w:ascii="Arial" w:cs="Arial" w:eastAsia="Arial" w:hAnsi="Arial"/>
          <w:sz w:val="12"/>
          <w:szCs w:val="12"/>
          <w:color w:val="auto"/>
        </w:rPr>
        <w:t>means the Internal Revenue Code of 1986, as amended.</w:t>
      </w:r>
    </w:p>
    <w:p>
      <w:pPr>
        <w:spacing w:after="0" w:line="177" w:lineRule="exact"/>
        <w:rPr>
          <w:sz w:val="20"/>
          <w:szCs w:val="20"/>
          <w:color w:val="auto"/>
        </w:rPr>
      </w:pPr>
    </w:p>
    <w:p>
      <w:pPr>
        <w:ind w:left="1060"/>
        <w:spacing w:after="0"/>
        <w:tabs>
          <w:tab w:leader="none" w:pos="1480" w:val="left"/>
        </w:tabs>
        <w:rPr>
          <w:sz w:val="20"/>
          <w:szCs w:val="20"/>
          <w:color w:val="auto"/>
        </w:rPr>
      </w:pPr>
      <w:r>
        <w:rPr>
          <w:rFonts w:ascii="Arial" w:cs="Arial" w:eastAsia="Arial" w:hAnsi="Arial"/>
          <w:sz w:val="15"/>
          <w:szCs w:val="15"/>
          <w:color w:val="auto"/>
        </w:rPr>
        <w:t>2.7.</w:t>
      </w:r>
      <w:r>
        <w:rPr>
          <w:sz w:val="20"/>
          <w:szCs w:val="20"/>
          <w:color w:val="auto"/>
        </w:rPr>
        <w:tab/>
      </w:r>
      <w:r>
        <w:rPr>
          <w:rFonts w:ascii="Arial" w:cs="Arial" w:eastAsia="Arial" w:hAnsi="Arial"/>
          <w:sz w:val="12"/>
          <w:szCs w:val="12"/>
          <w:b w:val="1"/>
          <w:bCs w:val="1"/>
          <w:color w:val="auto"/>
        </w:rPr>
        <w:t xml:space="preserve">“Company” </w:t>
      </w:r>
      <w:r>
        <w:rPr>
          <w:rFonts w:ascii="Arial" w:cs="Arial" w:eastAsia="Arial" w:hAnsi="Arial"/>
          <w:sz w:val="12"/>
          <w:szCs w:val="12"/>
          <w:color w:val="auto"/>
        </w:rPr>
        <w:t>means Fluidigm Corporation, and any successor that assumes the obligations of the Company under the Plan, by way of merger, acquisition, consolidation or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other transaction.</w:t>
      </w:r>
    </w:p>
    <w:p>
      <w:pPr>
        <w:spacing w:after="0" w:line="164" w:lineRule="exact"/>
        <w:rPr>
          <w:sz w:val="20"/>
          <w:szCs w:val="20"/>
          <w:color w:val="auto"/>
        </w:rPr>
      </w:pPr>
    </w:p>
    <w:p>
      <w:pPr>
        <w:jc w:val="both"/>
        <w:ind w:firstLine="1048"/>
        <w:spacing w:after="0" w:line="270"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b w:val="1"/>
          <w:bCs w:val="1"/>
          <w:color w:val="auto"/>
        </w:rPr>
        <w:t>“Disability</w:t>
      </w:r>
      <w:r>
        <w:rPr>
          <w:rFonts w:ascii="Arial" w:cs="Arial" w:eastAsia="Arial" w:hAnsi="Arial"/>
          <w:sz w:val="14"/>
          <w:szCs w:val="14"/>
          <w:color w:val="auto"/>
        </w:rPr>
        <w:t>” means that Participant has been unable to perform his Company duties as the result of his incapacity due to physical or mental illness, and such inability, at least twenty-six (26) weeks after its commencement, is determined to be total and permanent by a physician selected by the Company or its insurers and acceptable to Participant or Participant’s legal representative (such agreement as to acceptability not to be unreasonably withheld). Termination resulting from Disability may only be effected after at least 30 days’ written notice by the Company of its intention to terminate Participant’s employment. In the event that Participant resumes the performance of substantially all of his duties hereunder before the termination of his employment becomes effective, the notice of intent to terminate will automatically be deemed to have been revoked.</w:t>
      </w:r>
    </w:p>
    <w:p>
      <w:pPr>
        <w:spacing w:after="0" w:line="143" w:lineRule="exact"/>
        <w:rPr>
          <w:sz w:val="20"/>
          <w:szCs w:val="20"/>
          <w:color w:val="auto"/>
        </w:rPr>
      </w:pPr>
    </w:p>
    <w:p>
      <w:pPr>
        <w:ind w:left="1060"/>
        <w:spacing w:after="0"/>
        <w:tabs>
          <w:tab w:leader="none" w:pos="1480" w:val="left"/>
        </w:tabs>
        <w:rPr>
          <w:sz w:val="20"/>
          <w:szCs w:val="20"/>
          <w:color w:val="auto"/>
        </w:rPr>
      </w:pPr>
      <w:r>
        <w:rPr>
          <w:rFonts w:ascii="Arial" w:cs="Arial" w:eastAsia="Arial" w:hAnsi="Arial"/>
          <w:sz w:val="15"/>
          <w:szCs w:val="15"/>
          <w:color w:val="auto"/>
        </w:rPr>
        <w:t>2.9.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means the date the Plan is adopted by the Compensation Committee of the Board.</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2.10.  “</w:t>
      </w:r>
      <w:r>
        <w:rPr>
          <w:rFonts w:ascii="Arial" w:cs="Arial" w:eastAsia="Arial" w:hAnsi="Arial"/>
          <w:sz w:val="15"/>
          <w:szCs w:val="15"/>
          <w:b w:val="1"/>
          <w:bCs w:val="1"/>
          <w:color w:val="auto"/>
        </w:rPr>
        <w:t>Exchange Act</w:t>
      </w:r>
      <w:r>
        <w:rPr>
          <w:rFonts w:ascii="Arial" w:cs="Arial" w:eastAsia="Arial" w:hAnsi="Arial"/>
          <w:sz w:val="15"/>
          <w:szCs w:val="15"/>
          <w:color w:val="auto"/>
        </w:rPr>
        <w:t>” means the U.S. Securities Exchange Act of 1934, as amended.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7" w:right="219" w:bottom="1440" w:gutter="0" w:footer="0" w:header="0"/>
        </w:sectPr>
      </w:pPr>
    </w:p>
    <w:bookmarkStart w:id="7" w:name="page8"/>
    <w:bookmarkEnd w:id="7"/>
    <w:p>
      <w:pPr>
        <w:jc w:val="both"/>
        <w:ind w:firstLine="1048"/>
        <w:spacing w:after="0" w:line="264" w:lineRule="auto"/>
        <w:rPr>
          <w:sz w:val="20"/>
          <w:szCs w:val="20"/>
          <w:color w:val="auto"/>
        </w:rPr>
      </w:pPr>
      <w:r>
        <w:rPr>
          <w:rFonts w:ascii="Arial" w:cs="Arial" w:eastAsia="Arial" w:hAnsi="Arial"/>
          <w:sz w:val="15"/>
          <w:szCs w:val="15"/>
          <w:color w:val="auto"/>
        </w:rPr>
        <w:t>2.11. “</w:t>
      </w:r>
      <w:r>
        <w:rPr>
          <w:rFonts w:ascii="Arial" w:cs="Arial" w:eastAsia="Arial" w:hAnsi="Arial"/>
          <w:sz w:val="15"/>
          <w:szCs w:val="15"/>
          <w:b w:val="1"/>
          <w:bCs w:val="1"/>
          <w:color w:val="auto"/>
        </w:rPr>
        <w:t>Equity Awards</w:t>
      </w:r>
      <w:r>
        <w:rPr>
          <w:rFonts w:ascii="Arial" w:cs="Arial" w:eastAsia="Arial" w:hAnsi="Arial"/>
          <w:sz w:val="15"/>
          <w:szCs w:val="15"/>
          <w:color w:val="auto"/>
        </w:rPr>
        <w:t>” means a Participant’s outstanding stock options, stock appreciation rights, restricted stock, restricted stock units, performance shares, performance stock units and any other Company equity compensation awards.</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 xml:space="preserve">2.12.  </w:t>
      </w:r>
      <w:r>
        <w:rPr>
          <w:rFonts w:ascii="Arial" w:cs="Arial" w:eastAsia="Arial" w:hAnsi="Arial"/>
          <w:sz w:val="15"/>
          <w:szCs w:val="15"/>
          <w:b w:val="1"/>
          <w:bCs w:val="1"/>
          <w:color w:val="auto"/>
        </w:rPr>
        <w:t>“ERISA”</w:t>
      </w:r>
      <w:r>
        <w:rPr>
          <w:rFonts w:ascii="Arial" w:cs="Arial" w:eastAsia="Arial" w:hAnsi="Arial"/>
          <w:sz w:val="15"/>
          <w:szCs w:val="15"/>
          <w:color w:val="auto"/>
        </w:rPr>
        <w:t xml:space="preserve"> means the Employee Retirement Income Security Act of 1974, as amended.</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b w:val="1"/>
          <w:bCs w:val="1"/>
          <w:color w:val="auto"/>
        </w:rPr>
        <w:t>“Good Reason”</w:t>
      </w:r>
      <w:r>
        <w:rPr>
          <w:rFonts w:ascii="Arial" w:cs="Arial" w:eastAsia="Arial" w:hAnsi="Arial"/>
          <w:sz w:val="15"/>
          <w:szCs w:val="15"/>
          <w:color w:val="auto"/>
        </w:rPr>
        <w:t xml:space="preserve"> has the meaning set forth in the Participant’s Participation Agreement.</w:t>
      </w:r>
    </w:p>
    <w:p>
      <w:pPr>
        <w:spacing w:after="0" w:line="177" w:lineRule="exact"/>
        <w:rPr>
          <w:sz w:val="20"/>
          <w:szCs w:val="20"/>
          <w:color w:val="auto"/>
        </w:rPr>
      </w:pPr>
    </w:p>
    <w:p>
      <w:pPr>
        <w:jc w:val="both"/>
        <w:ind w:firstLine="1048"/>
        <w:spacing w:after="0" w:line="264" w:lineRule="auto"/>
        <w:rPr>
          <w:sz w:val="20"/>
          <w:szCs w:val="20"/>
          <w:color w:val="auto"/>
        </w:rPr>
      </w:pPr>
      <w:r>
        <w:rPr>
          <w:rFonts w:ascii="Arial" w:cs="Arial" w:eastAsia="Arial" w:hAnsi="Arial"/>
          <w:sz w:val="15"/>
          <w:szCs w:val="15"/>
          <w:color w:val="auto"/>
        </w:rPr>
        <w:t xml:space="preserve">2.14. </w:t>
      </w:r>
      <w:r>
        <w:rPr>
          <w:rFonts w:ascii="Arial" w:cs="Arial" w:eastAsia="Arial" w:hAnsi="Arial"/>
          <w:sz w:val="15"/>
          <w:szCs w:val="15"/>
          <w:b w:val="1"/>
          <w:bCs w:val="1"/>
          <w:color w:val="auto"/>
        </w:rPr>
        <w:t>“Involuntary Termination”</w:t>
      </w:r>
      <w:r>
        <w:rPr>
          <w:rFonts w:ascii="Arial" w:cs="Arial" w:eastAsia="Arial" w:hAnsi="Arial"/>
          <w:sz w:val="15"/>
          <w:szCs w:val="15"/>
          <w:color w:val="auto"/>
        </w:rPr>
        <w:t xml:space="preserve"> means a Non-COC Involuntary Termination or a COC Involuntary Termination, in each case, under the circumstances described in Section 4 or Section 5, as applicable.</w:t>
      </w:r>
    </w:p>
    <w:p>
      <w:pPr>
        <w:spacing w:after="0" w:line="145" w:lineRule="exact"/>
        <w:rPr>
          <w:sz w:val="20"/>
          <w:szCs w:val="20"/>
          <w:color w:val="auto"/>
        </w:rPr>
      </w:pPr>
    </w:p>
    <w:p>
      <w:pPr>
        <w:jc w:val="both"/>
        <w:ind w:firstLine="1048"/>
        <w:spacing w:after="0" w:line="264" w:lineRule="auto"/>
        <w:rPr>
          <w:sz w:val="20"/>
          <w:szCs w:val="20"/>
          <w:color w:val="auto"/>
        </w:rPr>
      </w:pPr>
      <w:r>
        <w:rPr>
          <w:rFonts w:ascii="Arial" w:cs="Arial" w:eastAsia="Arial" w:hAnsi="Arial"/>
          <w:sz w:val="15"/>
          <w:szCs w:val="15"/>
          <w:color w:val="auto"/>
        </w:rPr>
        <w:t xml:space="preserve">2.15. </w:t>
      </w:r>
      <w:r>
        <w:rPr>
          <w:rFonts w:ascii="Arial" w:cs="Arial" w:eastAsia="Arial" w:hAnsi="Arial"/>
          <w:sz w:val="15"/>
          <w:szCs w:val="15"/>
          <w:b w:val="1"/>
          <w:bCs w:val="1"/>
          <w:color w:val="auto"/>
        </w:rPr>
        <w:t>“Participant”</w:t>
      </w:r>
      <w:r>
        <w:rPr>
          <w:rFonts w:ascii="Arial" w:cs="Arial" w:eastAsia="Arial" w:hAnsi="Arial"/>
          <w:sz w:val="15"/>
          <w:szCs w:val="15"/>
          <w:color w:val="auto"/>
        </w:rPr>
        <w:t xml:space="preserve"> means an employee of the Company or of any parent or subsidiary of the Company who (a) has been designated by the Administrator to participate in the Plan and (b) has timely and properly executed and delivered a Participation Agreement to the Company.</w:t>
      </w:r>
    </w:p>
    <w:p>
      <w:pPr>
        <w:spacing w:after="0" w:line="145" w:lineRule="exact"/>
        <w:rPr>
          <w:sz w:val="20"/>
          <w:szCs w:val="20"/>
          <w:color w:val="auto"/>
        </w:rPr>
      </w:pPr>
    </w:p>
    <w:p>
      <w:pPr>
        <w:jc w:val="both"/>
        <w:ind w:firstLine="1048"/>
        <w:spacing w:after="0" w:line="264" w:lineRule="auto"/>
        <w:rPr>
          <w:sz w:val="20"/>
          <w:szCs w:val="20"/>
          <w:color w:val="auto"/>
        </w:rPr>
      </w:pPr>
      <w:r>
        <w:rPr>
          <w:rFonts w:ascii="Arial" w:cs="Arial" w:eastAsia="Arial" w:hAnsi="Arial"/>
          <w:sz w:val="15"/>
          <w:szCs w:val="15"/>
          <w:color w:val="auto"/>
        </w:rPr>
        <w:t>2.16. “</w:t>
      </w:r>
      <w:r>
        <w:rPr>
          <w:rFonts w:ascii="Arial" w:cs="Arial" w:eastAsia="Arial" w:hAnsi="Arial"/>
          <w:sz w:val="15"/>
          <w:szCs w:val="15"/>
          <w:b w:val="1"/>
          <w:bCs w:val="1"/>
          <w:color w:val="auto"/>
        </w:rPr>
        <w:t>Participation Agreement</w:t>
      </w:r>
      <w:r>
        <w:rPr>
          <w:rFonts w:ascii="Arial" w:cs="Arial" w:eastAsia="Arial" w:hAnsi="Arial"/>
          <w:sz w:val="15"/>
          <w:szCs w:val="15"/>
          <w:color w:val="auto"/>
        </w:rPr>
        <w:t xml:space="preserve">” means the individual agreement (as will be provided in separate cover as </w:t>
      </w:r>
      <w:r>
        <w:rPr>
          <w:rFonts w:ascii="Arial" w:cs="Arial" w:eastAsia="Arial" w:hAnsi="Arial"/>
          <w:sz w:val="15"/>
          <w:szCs w:val="15"/>
          <w:u w:val="single" w:color="auto"/>
          <w:color w:val="auto"/>
        </w:rPr>
        <w:t>Appendix A</w:t>
      </w:r>
      <w:r>
        <w:rPr>
          <w:rFonts w:ascii="Arial" w:cs="Arial" w:eastAsia="Arial" w:hAnsi="Arial"/>
          <w:sz w:val="15"/>
          <w:szCs w:val="15"/>
          <w:color w:val="auto"/>
        </w:rPr>
        <w:t>) provided by the Administrator to a Participant under the Plan, which has been signed and accepted by the Participant.</w:t>
      </w:r>
    </w:p>
    <w:p>
      <w:pPr>
        <w:spacing w:after="0" w:line="145"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 xml:space="preserve">2.17.  </w:t>
      </w:r>
      <w:r>
        <w:rPr>
          <w:rFonts w:ascii="Arial" w:cs="Arial" w:eastAsia="Arial" w:hAnsi="Arial"/>
          <w:sz w:val="14"/>
          <w:szCs w:val="14"/>
          <w:b w:val="1"/>
          <w:bCs w:val="1"/>
          <w:color w:val="auto"/>
        </w:rPr>
        <w:t>“Plan”</w:t>
      </w:r>
      <w:r>
        <w:rPr>
          <w:rFonts w:ascii="Arial" w:cs="Arial" w:eastAsia="Arial" w:hAnsi="Arial"/>
          <w:sz w:val="14"/>
          <w:szCs w:val="14"/>
          <w:color w:val="auto"/>
        </w:rPr>
        <w:t xml:space="preserve"> means the Fluidigm Corporation Change of Control and Severance Plan, as set forth in this document, and as hereafter amended from time to time.</w:t>
      </w:r>
    </w:p>
    <w:p>
      <w:pPr>
        <w:spacing w:after="0" w:line="188" w:lineRule="exact"/>
        <w:rPr>
          <w:sz w:val="20"/>
          <w:szCs w:val="20"/>
          <w:color w:val="auto"/>
        </w:rPr>
      </w:pPr>
    </w:p>
    <w:p>
      <w:pPr>
        <w:jc w:val="both"/>
        <w:ind w:firstLine="1048"/>
        <w:spacing w:after="0" w:line="250" w:lineRule="auto"/>
        <w:rPr>
          <w:sz w:val="20"/>
          <w:szCs w:val="20"/>
          <w:color w:val="auto"/>
        </w:rPr>
      </w:pPr>
      <w:r>
        <w:rPr>
          <w:rFonts w:ascii="Arial" w:cs="Arial" w:eastAsia="Arial" w:hAnsi="Arial"/>
          <w:sz w:val="15"/>
          <w:szCs w:val="15"/>
          <w:color w:val="auto"/>
        </w:rPr>
        <w:t xml:space="preserve">2.18. </w:t>
      </w:r>
      <w:r>
        <w:rPr>
          <w:rFonts w:ascii="Arial" w:cs="Arial" w:eastAsia="Arial" w:hAnsi="Arial"/>
          <w:sz w:val="15"/>
          <w:szCs w:val="15"/>
          <w:b w:val="1"/>
          <w:bCs w:val="1"/>
          <w:color w:val="auto"/>
        </w:rPr>
        <w:t>“Section 409A Limit”</w:t>
      </w:r>
      <w:r>
        <w:rPr>
          <w:rFonts w:ascii="Arial" w:cs="Arial" w:eastAsia="Arial" w:hAnsi="Arial"/>
          <w:sz w:val="15"/>
          <w:szCs w:val="15"/>
          <w:color w:val="auto"/>
        </w:rPr>
        <w:t xml:space="preserve"> means 2 times the lesser of: (i) the Participant’s annualized compensation based upon the annual rate of pay paid to the Participant during the Participant’s taxable year preceding the Participant’s taxable year of the Participant’s termination of employment as determined under, and with such adjustments as are set forth in, Treasury Regulation 1.409A-1(b)(9)(iii)(A)(1) and any Internal Revenue Service guidance issued with respect thereto; or (ii) the maximum amount that may be taken into account under a qualified plan pursuant to Section 401(a)(17) of the Code for the year in which the Participant’s employment is terminated.</w:t>
      </w:r>
    </w:p>
    <w:p>
      <w:pPr>
        <w:spacing w:after="0" w:line="155" w:lineRule="exact"/>
        <w:rPr>
          <w:sz w:val="20"/>
          <w:szCs w:val="20"/>
          <w:color w:val="auto"/>
        </w:rPr>
      </w:pPr>
    </w:p>
    <w:p>
      <w:pPr>
        <w:ind w:left="1060"/>
        <w:spacing w:after="0"/>
        <w:tabs>
          <w:tab w:leader="none" w:pos="1500" w:val="left"/>
        </w:tabs>
        <w:rPr>
          <w:sz w:val="20"/>
          <w:szCs w:val="20"/>
          <w:color w:val="auto"/>
        </w:rPr>
      </w:pPr>
      <w:r>
        <w:rPr>
          <w:rFonts w:ascii="Arial" w:cs="Arial" w:eastAsia="Arial" w:hAnsi="Arial"/>
          <w:sz w:val="15"/>
          <w:szCs w:val="15"/>
          <w:color w:val="auto"/>
        </w:rPr>
        <w:t>2.19.</w:t>
      </w:r>
      <w:r>
        <w:rPr>
          <w:sz w:val="20"/>
          <w:szCs w:val="20"/>
          <w:color w:val="auto"/>
        </w:rPr>
        <w:tab/>
      </w:r>
      <w:r>
        <w:rPr>
          <w:rFonts w:ascii="Arial" w:cs="Arial" w:eastAsia="Arial" w:hAnsi="Arial"/>
          <w:sz w:val="12"/>
          <w:szCs w:val="12"/>
          <w:b w:val="1"/>
          <w:bCs w:val="1"/>
          <w:color w:val="auto"/>
        </w:rPr>
        <w:t xml:space="preserve">“Severance Benefits” </w:t>
      </w:r>
      <w:r>
        <w:rPr>
          <w:rFonts w:ascii="Arial" w:cs="Arial" w:eastAsia="Arial" w:hAnsi="Arial"/>
          <w:sz w:val="12"/>
          <w:szCs w:val="12"/>
          <w:color w:val="auto"/>
        </w:rPr>
        <w:t>means the compensation and other benefits that the Participant will be provided in the circumstances described in Section 4 or Section 5, as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applicable.</w:t>
      </w:r>
    </w:p>
    <w:p>
      <w:pPr>
        <w:spacing w:after="0" w:line="164" w:lineRule="exact"/>
        <w:rPr>
          <w:sz w:val="20"/>
          <w:szCs w:val="20"/>
          <w:color w:val="auto"/>
        </w:rPr>
      </w:pPr>
    </w:p>
    <w:p>
      <w:pPr>
        <w:ind w:firstLine="531"/>
        <w:spacing w:after="0" w:line="264" w:lineRule="auto"/>
        <w:tabs>
          <w:tab w:leader="none" w:pos="1186"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Eligibility for Severance Benefits</w:t>
      </w:r>
      <w:r>
        <w:rPr>
          <w:rFonts w:ascii="Arial" w:cs="Arial" w:eastAsia="Arial" w:hAnsi="Arial"/>
          <w:sz w:val="15"/>
          <w:szCs w:val="15"/>
          <w:color w:val="auto"/>
        </w:rPr>
        <w:t>. An individual is eligible for Severance Benefits under the Plan, as described in Section 4 or Section 5, as applicable, only if he or she</w:t>
      </w:r>
      <w:r>
        <w:rPr>
          <w:rFonts w:ascii="Arial" w:cs="Arial" w:eastAsia="Arial" w:hAnsi="Arial"/>
          <w:sz w:val="15"/>
          <w:szCs w:val="15"/>
          <w:b w:val="1"/>
          <w:bCs w:val="1"/>
          <w:color w:val="auto"/>
        </w:rPr>
        <w:t xml:space="preserve"> </w:t>
      </w:r>
      <w:r>
        <w:rPr>
          <w:rFonts w:ascii="Arial" w:cs="Arial" w:eastAsia="Arial" w:hAnsi="Arial"/>
          <w:sz w:val="15"/>
          <w:szCs w:val="15"/>
          <w:color w:val="auto"/>
        </w:rPr>
        <w:t>experiences an Involuntary Termination.</w:t>
      </w:r>
    </w:p>
    <w:p>
      <w:pPr>
        <w:spacing w:after="0" w:line="144" w:lineRule="exact"/>
        <w:rPr>
          <w:rFonts w:ascii="Arial" w:cs="Arial" w:eastAsia="Arial" w:hAnsi="Arial"/>
          <w:sz w:val="15"/>
          <w:szCs w:val="15"/>
          <w:color w:val="auto"/>
        </w:rPr>
      </w:pPr>
    </w:p>
    <w:p>
      <w:pPr>
        <w:jc w:val="both"/>
        <w:ind w:firstLine="531"/>
        <w:spacing w:after="0" w:line="253" w:lineRule="auto"/>
        <w:tabs>
          <w:tab w:leader="none" w:pos="1142" w:val="left"/>
        </w:tabs>
        <w:numPr>
          <w:ilvl w:val="0"/>
          <w:numId w:val="8"/>
        </w:numPr>
        <w:rPr>
          <w:rFonts w:ascii="Arial" w:cs="Arial" w:eastAsia="Arial" w:hAnsi="Arial"/>
          <w:sz w:val="15"/>
          <w:szCs w:val="15"/>
          <w:color w:val="auto"/>
        </w:rPr>
      </w:pPr>
      <w:r>
        <w:rPr>
          <w:rFonts w:ascii="Arial" w:cs="Arial" w:eastAsia="Arial" w:hAnsi="Arial"/>
          <w:sz w:val="15"/>
          <w:szCs w:val="15"/>
          <w:b w:val="1"/>
          <w:bCs w:val="1"/>
          <w:color w:val="auto"/>
        </w:rPr>
        <w:t>Involuntary Termination Outside the Change of Control Period</w:t>
      </w:r>
      <w:r>
        <w:rPr>
          <w:rFonts w:ascii="Arial" w:cs="Arial" w:eastAsia="Arial" w:hAnsi="Arial"/>
          <w:sz w:val="15"/>
          <w:szCs w:val="15"/>
          <w:color w:val="auto"/>
        </w:rPr>
        <w:t>. If, outside of the Change of Control Period, the Company (or any parent or subsidiary of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terminates the Participant’s employment for a reason other than for Cause, the Participant’s death or Disability (a “</w:t>
      </w:r>
      <w:r>
        <w:rPr>
          <w:rFonts w:ascii="Arial" w:cs="Arial" w:eastAsia="Arial" w:hAnsi="Arial"/>
          <w:sz w:val="15"/>
          <w:szCs w:val="15"/>
          <w:b w:val="1"/>
          <w:bCs w:val="1"/>
          <w:color w:val="auto"/>
        </w:rPr>
        <w:t>Non-COC Involuntary Termination</w:t>
      </w:r>
      <w:r>
        <w:rPr>
          <w:rFonts w:ascii="Arial" w:cs="Arial" w:eastAsia="Arial" w:hAnsi="Arial"/>
          <w:sz w:val="15"/>
          <w:szCs w:val="15"/>
          <w:color w:val="auto"/>
        </w:rPr>
        <w:t>”), subject to the Participant’s compliance with Section 7, the Participant will receive the following Severance Benefits: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3" w:right="219" w:bottom="1440" w:gutter="0" w:footer="0" w:header="0"/>
        </w:sectPr>
      </w:pPr>
    </w:p>
    <w:bookmarkStart w:id="8" w:name="page9"/>
    <w:bookmarkEnd w:id="8"/>
    <w:p>
      <w:pPr>
        <w:ind w:left="1060"/>
        <w:spacing w:after="0"/>
        <w:tabs>
          <w:tab w:leader="none" w:pos="148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2"/>
          <w:szCs w:val="12"/>
          <w:b w:val="1"/>
          <w:bCs w:val="1"/>
          <w:color w:val="auto"/>
        </w:rPr>
        <w:t>Cash Severance Benefits</w:t>
      </w:r>
      <w:r>
        <w:rPr>
          <w:rFonts w:ascii="Arial" w:cs="Arial" w:eastAsia="Arial" w:hAnsi="Arial"/>
          <w:sz w:val="12"/>
          <w:szCs w:val="12"/>
          <w:color w:val="auto"/>
        </w:rPr>
        <w:t>. Continued payments of cash severance for the period set forth in the Participant’s Participation Agreement;</w:t>
      </w:r>
    </w:p>
    <w:p>
      <w:pPr>
        <w:spacing w:after="0" w:line="177" w:lineRule="exact"/>
        <w:rPr>
          <w:sz w:val="20"/>
          <w:szCs w:val="20"/>
          <w:color w:val="auto"/>
        </w:rPr>
      </w:pPr>
    </w:p>
    <w:p>
      <w:pPr>
        <w:jc w:val="both"/>
        <w:ind w:firstLine="1048"/>
        <w:spacing w:after="0" w:line="332" w:lineRule="auto"/>
        <w:rPr>
          <w:sz w:val="20"/>
          <w:szCs w:val="20"/>
          <w:color w:val="auto"/>
        </w:rPr>
      </w:pPr>
      <w:r>
        <w:rPr>
          <w:rFonts w:ascii="Arial" w:cs="Arial" w:eastAsia="Arial" w:hAnsi="Arial"/>
          <w:sz w:val="12"/>
          <w:szCs w:val="12"/>
          <w:color w:val="auto"/>
        </w:rPr>
        <w:t xml:space="preserve">4.2. </w:t>
      </w:r>
      <w:r>
        <w:rPr>
          <w:rFonts w:ascii="Arial" w:cs="Arial" w:eastAsia="Arial" w:hAnsi="Arial"/>
          <w:sz w:val="12"/>
          <w:szCs w:val="12"/>
          <w:b w:val="1"/>
          <w:bCs w:val="1"/>
          <w:color w:val="auto"/>
        </w:rPr>
        <w:t>Continued Medical Benefits</w:t>
      </w:r>
      <w:r>
        <w:rPr>
          <w:rFonts w:ascii="Arial" w:cs="Arial" w:eastAsia="Arial" w:hAnsi="Arial"/>
          <w:sz w:val="12"/>
          <w:szCs w:val="12"/>
          <w:color w:val="auto"/>
        </w:rPr>
        <w:t>. If the Participant, and any spouse and/or dependents of the Participant (“</w:t>
      </w:r>
      <w:r>
        <w:rPr>
          <w:rFonts w:ascii="Arial" w:cs="Arial" w:eastAsia="Arial" w:hAnsi="Arial"/>
          <w:sz w:val="12"/>
          <w:szCs w:val="12"/>
          <w:b w:val="1"/>
          <w:bCs w:val="1"/>
          <w:color w:val="auto"/>
        </w:rPr>
        <w:t>Family Members</w:t>
      </w:r>
      <w:r>
        <w:rPr>
          <w:rFonts w:ascii="Arial" w:cs="Arial" w:eastAsia="Arial" w:hAnsi="Arial"/>
          <w:sz w:val="12"/>
          <w:szCs w:val="12"/>
          <w:color w:val="auto"/>
        </w:rPr>
        <w:t>”) has coverage on the date of the Participant’s Involuntary Termination under a group health plan sponsored by the Company, the Company will reimburse the Participant the total applicable premium cost for continued group health plan coverage under the Consolidated Omnibus Budget Reconciliation Act of 1985, as amended (“</w:t>
      </w:r>
      <w:r>
        <w:rPr>
          <w:rFonts w:ascii="Arial" w:cs="Arial" w:eastAsia="Arial" w:hAnsi="Arial"/>
          <w:sz w:val="12"/>
          <w:szCs w:val="12"/>
          <w:b w:val="1"/>
          <w:bCs w:val="1"/>
          <w:color w:val="auto"/>
        </w:rPr>
        <w:t>COBRA</w:t>
      </w:r>
      <w:r>
        <w:rPr>
          <w:rFonts w:ascii="Arial" w:cs="Arial" w:eastAsia="Arial" w:hAnsi="Arial"/>
          <w:sz w:val="12"/>
          <w:szCs w:val="12"/>
          <w:color w:val="auto"/>
        </w:rPr>
        <w:t>”) during the period of time following the Participant’s employment termination, as set forth in the Participant’s Participation Agreement, provided that the Participant validly elects and is eligible to continue coverage under COBRA for the Participant and his Family Members; and</w:t>
      </w:r>
    </w:p>
    <w:p>
      <w:pPr>
        <w:spacing w:after="0" w:line="110" w:lineRule="exact"/>
        <w:rPr>
          <w:sz w:val="20"/>
          <w:szCs w:val="20"/>
          <w:color w:val="auto"/>
        </w:rPr>
      </w:pPr>
    </w:p>
    <w:p>
      <w:pPr>
        <w:jc w:val="both"/>
        <w:ind w:firstLine="1048"/>
        <w:spacing w:after="0" w:line="264"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b w:val="1"/>
          <w:bCs w:val="1"/>
          <w:color w:val="auto"/>
        </w:rPr>
        <w:t>Outplacement Services</w:t>
      </w:r>
      <w:r>
        <w:rPr>
          <w:rFonts w:ascii="Arial" w:cs="Arial" w:eastAsia="Arial" w:hAnsi="Arial"/>
          <w:sz w:val="15"/>
          <w:szCs w:val="15"/>
          <w:color w:val="auto"/>
        </w:rPr>
        <w:t>. Reasonable outplacement services in accordance with any applicable Company policy in effect as of the Participant’s Non-COC Involuntary Termination (or if no such policy is in effect, as determined by the Company, in its sole discretion).</w:t>
      </w:r>
    </w:p>
    <w:p>
      <w:pPr>
        <w:spacing w:after="0" w:line="145" w:lineRule="exact"/>
        <w:rPr>
          <w:sz w:val="20"/>
          <w:szCs w:val="20"/>
          <w:color w:val="auto"/>
        </w:rPr>
      </w:pPr>
    </w:p>
    <w:p>
      <w:pPr>
        <w:jc w:val="both"/>
        <w:ind w:firstLine="531"/>
        <w:spacing w:after="0" w:line="250" w:lineRule="auto"/>
        <w:tabs>
          <w:tab w:leader="none" w:pos="1044"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Involuntary Termination During the Change of Control Period</w:t>
      </w:r>
      <w:r>
        <w:rPr>
          <w:rFonts w:ascii="Arial" w:cs="Arial" w:eastAsia="Arial" w:hAnsi="Arial"/>
          <w:sz w:val="15"/>
          <w:szCs w:val="15"/>
          <w:color w:val="auto"/>
        </w:rPr>
        <w:t>. If, during the Change of Control Period, (i) a Participant terminates his or her employment with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(or any parent or subsidiary of the Company) for Good Reason, or (ii) the Company (or any parent or subsidiary of the Company) terminates the Participant’s employment for a reason other than Cause or the Participant’s death or Disability (a “</w:t>
      </w:r>
      <w:r>
        <w:rPr>
          <w:rFonts w:ascii="Arial" w:cs="Arial" w:eastAsia="Arial" w:hAnsi="Arial"/>
          <w:sz w:val="15"/>
          <w:szCs w:val="15"/>
          <w:b w:val="1"/>
          <w:bCs w:val="1"/>
          <w:color w:val="auto"/>
        </w:rPr>
        <w:t>COC Involuntary Termination</w:t>
      </w:r>
      <w:r>
        <w:rPr>
          <w:rFonts w:ascii="Arial" w:cs="Arial" w:eastAsia="Arial" w:hAnsi="Arial"/>
          <w:sz w:val="15"/>
          <w:szCs w:val="15"/>
          <w:color w:val="auto"/>
        </w:rPr>
        <w:t>”), then, in each case, subject to the Participant’s compliance with Section 7, the Participant will receive the following Severance Benefits:</w:t>
      </w:r>
    </w:p>
    <w:p>
      <w:pPr>
        <w:spacing w:after="0" w:line="155" w:lineRule="exact"/>
        <w:rPr>
          <w:sz w:val="20"/>
          <w:szCs w:val="20"/>
          <w:color w:val="auto"/>
        </w:rPr>
      </w:pPr>
    </w:p>
    <w:p>
      <w:pPr>
        <w:ind w:left="1060"/>
        <w:spacing w:after="0"/>
        <w:tabs>
          <w:tab w:leader="none" w:pos="148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2"/>
          <w:szCs w:val="12"/>
          <w:b w:val="1"/>
          <w:bCs w:val="1"/>
          <w:color w:val="auto"/>
        </w:rPr>
        <w:t>Cash Severance Benefits</w:t>
      </w:r>
      <w:r>
        <w:rPr>
          <w:rFonts w:ascii="Arial" w:cs="Arial" w:eastAsia="Arial" w:hAnsi="Arial"/>
          <w:sz w:val="12"/>
          <w:szCs w:val="12"/>
          <w:color w:val="auto"/>
        </w:rPr>
        <w:t>. A lump-sum payment of cash severance and/or bonus equal to the amount set forth in the Participant’s Participation Agreement;</w:t>
      </w:r>
    </w:p>
    <w:p>
      <w:pPr>
        <w:spacing w:after="0" w:line="177" w:lineRule="exact"/>
        <w:rPr>
          <w:sz w:val="20"/>
          <w:szCs w:val="20"/>
          <w:color w:val="auto"/>
        </w:rPr>
      </w:pPr>
    </w:p>
    <w:p>
      <w:pPr>
        <w:jc w:val="both"/>
        <w:ind w:firstLine="1048"/>
        <w:spacing w:after="0" w:line="264"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b w:val="1"/>
          <w:bCs w:val="1"/>
          <w:color w:val="auto"/>
        </w:rPr>
        <w:t>Equity Award Vesting Acceleration Benefit</w:t>
      </w:r>
      <w:r>
        <w:rPr>
          <w:rFonts w:ascii="Arial" w:cs="Arial" w:eastAsia="Arial" w:hAnsi="Arial"/>
          <w:sz w:val="15"/>
          <w:szCs w:val="15"/>
          <w:color w:val="auto"/>
        </w:rPr>
        <w:t>. The Participant’s Equity Awards will accelerate and vest to the amount set forth in the Participant’s Participation Agreement, as applicable; and</w:t>
      </w:r>
    </w:p>
    <w:p>
      <w:pPr>
        <w:spacing w:after="0" w:line="145" w:lineRule="exact"/>
        <w:rPr>
          <w:sz w:val="20"/>
          <w:szCs w:val="20"/>
          <w:color w:val="auto"/>
        </w:rPr>
      </w:pPr>
    </w:p>
    <w:p>
      <w:pPr>
        <w:jc w:val="both"/>
        <w:ind w:firstLine="1048"/>
        <w:spacing w:after="0" w:line="250"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b w:val="1"/>
          <w:bCs w:val="1"/>
          <w:color w:val="auto"/>
        </w:rPr>
        <w:t>Continued Medical Benefits</w:t>
      </w:r>
      <w:r>
        <w:rPr>
          <w:rFonts w:ascii="Arial" w:cs="Arial" w:eastAsia="Arial" w:hAnsi="Arial"/>
          <w:sz w:val="15"/>
          <w:szCs w:val="15"/>
          <w:color w:val="auto"/>
        </w:rPr>
        <w:t>. If the Participant, and any Family Members has coverage on the date of the Participant’s Involuntary Termination under a group health plan sponsored by the Company, the Company will reimburse the Participant the total applicable premium cost for continued group health plan coverage under the COBRA during the period of time following the Participant’s employment termination, as set forth in the Participant’s Participation Agreement, provided that the Participant validly elects and is eligible to continue coverage under COBRA for the Participant and his Family Members.</w:t>
      </w:r>
    </w:p>
    <w:p>
      <w:pPr>
        <w:spacing w:after="0" w:line="155" w:lineRule="exact"/>
        <w:rPr>
          <w:sz w:val="20"/>
          <w:szCs w:val="20"/>
          <w:color w:val="auto"/>
        </w:rPr>
      </w:pPr>
    </w:p>
    <w:p>
      <w:pPr>
        <w:jc w:val="both"/>
        <w:ind w:firstLine="1048"/>
        <w:spacing w:after="0" w:line="253"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b w:val="1"/>
          <w:bCs w:val="1"/>
          <w:color w:val="auto"/>
        </w:rPr>
        <w:t>Outplacement Services</w:t>
      </w:r>
      <w:r>
        <w:rPr>
          <w:rFonts w:ascii="Arial" w:cs="Arial" w:eastAsia="Arial" w:hAnsi="Arial"/>
          <w:sz w:val="15"/>
          <w:szCs w:val="15"/>
          <w:color w:val="auto"/>
        </w:rPr>
        <w:t>. Reasonable outplacement services in accordance with any applicable Company policy in effect as of the Participant’s COC Involuntary Termination (or if no such policy is in effect, as determined by the Company, in its sole discretion); provided, however, that such outplacement services shall be in no case less than the outplacement services provided under any applicable Company policy in effect immediately prior to the applicable Change of Control.</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3" w:right="219" w:bottom="1440" w:gutter="0" w:footer="0" w:header="0"/>
        </w:sectPr>
      </w:pPr>
    </w:p>
    <w:bookmarkStart w:id="9" w:name="page10"/>
    <w:bookmarkEnd w:id="9"/>
    <w:p>
      <w:pPr>
        <w:jc w:val="both"/>
        <w:ind w:firstLine="531"/>
        <w:spacing w:after="0" w:line="253" w:lineRule="auto"/>
        <w:tabs>
          <w:tab w:leader="none" w:pos="1142" w:val="left"/>
        </w:tabs>
        <w:numPr>
          <w:ilvl w:val="0"/>
          <w:numId w:val="10"/>
        </w:numPr>
        <w:rPr>
          <w:rFonts w:ascii="Arial" w:cs="Arial" w:eastAsia="Arial" w:hAnsi="Arial"/>
          <w:sz w:val="15"/>
          <w:szCs w:val="15"/>
          <w:color w:val="auto"/>
        </w:rPr>
      </w:pPr>
      <w:r>
        <w:rPr>
          <w:rFonts w:ascii="Arial" w:cs="Arial" w:eastAsia="Arial" w:hAnsi="Arial"/>
          <w:sz w:val="15"/>
          <w:szCs w:val="15"/>
          <w:b w:val="1"/>
          <w:bCs w:val="1"/>
          <w:color w:val="auto"/>
        </w:rPr>
        <w:t>Limitation on Payments</w:t>
      </w:r>
      <w:r>
        <w:rPr>
          <w:rFonts w:ascii="Arial" w:cs="Arial" w:eastAsia="Arial" w:hAnsi="Arial"/>
          <w:sz w:val="15"/>
          <w:szCs w:val="15"/>
          <w:color w:val="auto"/>
        </w:rPr>
        <w:t>. In the event that the severance and other benefits provided for in this Plan or otherwise (“</w:t>
      </w:r>
      <w:r>
        <w:rPr>
          <w:rFonts w:ascii="Arial" w:cs="Arial" w:eastAsia="Arial" w:hAnsi="Arial"/>
          <w:sz w:val="15"/>
          <w:szCs w:val="15"/>
          <w:b w:val="1"/>
          <w:bCs w:val="1"/>
          <w:color w:val="auto"/>
        </w:rPr>
        <w:t>280G Payments</w:t>
      </w:r>
      <w:r>
        <w:rPr>
          <w:rFonts w:ascii="Arial" w:cs="Arial" w:eastAsia="Arial" w:hAnsi="Arial"/>
          <w:sz w:val="15"/>
          <w:szCs w:val="15"/>
          <w:color w:val="auto"/>
        </w:rPr>
        <w:t>”) payable to a Participant (i) constitute</w:t>
      </w:r>
      <w:r>
        <w:rPr>
          <w:rFonts w:ascii="Arial" w:cs="Arial" w:eastAsia="Arial" w:hAnsi="Arial"/>
          <w:sz w:val="15"/>
          <w:szCs w:val="15"/>
          <w:b w:val="1"/>
          <w:bCs w:val="1"/>
          <w:color w:val="auto"/>
        </w:rPr>
        <w:t xml:space="preserve"> </w:t>
      </w:r>
      <w:r>
        <w:rPr>
          <w:rFonts w:ascii="Arial" w:cs="Arial" w:eastAsia="Arial" w:hAnsi="Arial"/>
          <w:sz w:val="15"/>
          <w:szCs w:val="15"/>
          <w:color w:val="auto"/>
        </w:rPr>
        <w:t>“parachute payments” within the meaning of Section 280G of the Code, and (ii) but for this Section 6, would be subject to the excise tax imposed by Section 4999 of the Code, then the 280G Payments will be either:</w:t>
      </w:r>
    </w:p>
    <w:p>
      <w:pPr>
        <w:spacing w:after="0" w:line="157" w:lineRule="exact"/>
        <w:rPr>
          <w:rFonts w:ascii="Arial" w:cs="Arial" w:eastAsia="Arial" w:hAnsi="Arial"/>
          <w:sz w:val="15"/>
          <w:szCs w:val="15"/>
          <w:color w:val="auto"/>
        </w:rPr>
      </w:pPr>
    </w:p>
    <w:p>
      <w:pPr>
        <w:ind w:left="1540" w:hanging="484"/>
        <w:spacing w:after="0"/>
        <w:tabs>
          <w:tab w:leader="none" w:pos="1540" w:val="left"/>
        </w:tabs>
        <w:numPr>
          <w:ilvl w:val="1"/>
          <w:numId w:val="10"/>
        </w:numPr>
        <w:rPr>
          <w:rFonts w:ascii="Arial" w:cs="Arial" w:eastAsia="Arial" w:hAnsi="Arial"/>
          <w:sz w:val="15"/>
          <w:szCs w:val="15"/>
          <w:color w:val="auto"/>
        </w:rPr>
      </w:pPr>
      <w:r>
        <w:rPr>
          <w:rFonts w:ascii="Arial" w:cs="Arial" w:eastAsia="Arial" w:hAnsi="Arial"/>
          <w:sz w:val="15"/>
          <w:szCs w:val="15"/>
          <w:color w:val="auto"/>
        </w:rPr>
        <w:t>delivered in full, or</w:t>
      </w:r>
    </w:p>
    <w:p>
      <w:pPr>
        <w:spacing w:after="0" w:line="176" w:lineRule="exact"/>
        <w:rPr>
          <w:rFonts w:ascii="Arial" w:cs="Arial" w:eastAsia="Arial" w:hAnsi="Arial"/>
          <w:sz w:val="15"/>
          <w:szCs w:val="15"/>
          <w:color w:val="auto"/>
        </w:rPr>
      </w:pPr>
    </w:p>
    <w:p>
      <w:pPr>
        <w:jc w:val="both"/>
        <w:ind w:firstLine="1056"/>
        <w:spacing w:after="0" w:line="263" w:lineRule="auto"/>
        <w:tabs>
          <w:tab w:leader="none" w:pos="1689" w:val="left"/>
        </w:tabs>
        <w:numPr>
          <w:ilvl w:val="1"/>
          <w:numId w:val="10"/>
        </w:numPr>
        <w:rPr>
          <w:rFonts w:ascii="Arial" w:cs="Arial" w:eastAsia="Arial" w:hAnsi="Arial"/>
          <w:sz w:val="14"/>
          <w:szCs w:val="14"/>
          <w:color w:val="auto"/>
        </w:rPr>
      </w:pPr>
      <w:r>
        <w:rPr>
          <w:rFonts w:ascii="Arial" w:cs="Arial" w:eastAsia="Arial" w:hAnsi="Arial"/>
          <w:sz w:val="14"/>
          <w:szCs w:val="14"/>
          <w:color w:val="auto"/>
        </w:rPr>
        <w:t>delivered as to such lesser extent which would result in no portion of such benefits being subject to excise tax under Section 4999 of the Code, whichever of the foregoing amounts, taking into account the applicable federal, state and local income taxes and the excise tax imposed by Section 4999, results in the receipt by the Participant on an after-tax basis, of the greatest amount of benefits, notwithstanding that all or some portion of such benefits may be taxable under Section 4999 of the Code. If a reduction in severance and other benefits constituting “parachute payments” is necessary so that benefits are delivered to a lesser extent, reduction will occur in the following order: (i) cancellation of awards granted “contingent on a change in ownership or control” (within the meaning of Code Section 280G); (ii) a pro rata reduction of (A) cash payments that are subject to Section 409A as deferred compensation and (B) cash payments not subject to Section 409A of the Code; (iii) a pro rata reduction of (A) employee benefits that are subject to Section 409A as deferred compensation and (B) employee benefits not subject to Section 409A; and (iv) a pro rata cancellation of (A) accelerated vesting equity awards that are subject to Section 409A as deferred compensation and (B) equity awards not subject to Section 409A. In the event that acceleration of vesting of equity awards is to be cancelled, such acceleration of vesting will be cancelled in the reverse order of the date of grant of the Participant’s equity awards. Notwithstanding the foregoing, to the extent the Company submits any payment or benefit payable to the Participant under this Plan or otherwise to the Company’s stockholders for approval in accordance with Treasury Regulation Section 1.280G-1 Q&amp;A 7, the foregoing provisions shall not apply following such submission and such payments and benefits will be treated in accordance with the results of such vote, except that any reduction in, or waiver of, such payments or benefits required by such vote will be applied without any application of discretion by the Participant and in the order prescribed by this Section 6.</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Unless the Participant and the Company otherwise agree in writing, any determination required under this Section 6 will be made in writing by the Company’s independent public accountants immediately prior to the Change of Control or such other person or entity to which the parties mutually agree (the “</w:t>
      </w:r>
      <w:r>
        <w:rPr>
          <w:rFonts w:ascii="Arial" w:cs="Arial" w:eastAsia="Arial" w:hAnsi="Arial"/>
          <w:sz w:val="15"/>
          <w:szCs w:val="15"/>
          <w:b w:val="1"/>
          <w:bCs w:val="1"/>
          <w:color w:val="auto"/>
        </w:rPr>
        <w:t>Firm</w:t>
      </w:r>
      <w:r>
        <w:rPr>
          <w:rFonts w:ascii="Arial" w:cs="Arial" w:eastAsia="Arial" w:hAnsi="Arial"/>
          <w:sz w:val="15"/>
          <w:szCs w:val="15"/>
          <w:color w:val="auto"/>
        </w:rPr>
        <w:t>”), whose determination will be conclusive and binding upon the Participant and the Company. For purposes of making the calculations required by this Section 6 the Firm may make reasonable assumptions and approximations concerning applicable taxes and may rely on reasonable, good faith interpretations concerning the application of Sections 280G and 4999 of the Code. The Participant and the Company will furnish to the Firm such information and documents as the Firm may reasonably request in order to make a determination under this Section 6. The Company will bear all costs the Firm may incur in connection with any calculations contemplated by this Section 6.</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3" w:right="219" w:bottom="1440" w:gutter="0" w:footer="0" w:header="0"/>
        </w:sectPr>
      </w:pPr>
    </w:p>
    <w:bookmarkStart w:id="10" w:name="page11"/>
    <w:bookmarkEnd w:id="10"/>
    <w:p>
      <w:pPr>
        <w:ind w:left="1040" w:hanging="509"/>
        <w:spacing w:after="0"/>
        <w:tabs>
          <w:tab w:leader="none" w:pos="104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Conditions to Receipt of Severance</w:t>
      </w:r>
      <w:r>
        <w:rPr>
          <w:rFonts w:ascii="Arial" w:cs="Arial" w:eastAsia="Arial" w:hAnsi="Arial"/>
          <w:sz w:val="15"/>
          <w:szCs w:val="15"/>
          <w:color w:val="auto"/>
        </w:rPr>
        <w:t>.</w:t>
      </w:r>
    </w:p>
    <w:p>
      <w:pPr>
        <w:spacing w:after="0" w:line="177" w:lineRule="exact"/>
        <w:rPr>
          <w:sz w:val="20"/>
          <w:szCs w:val="20"/>
          <w:color w:val="auto"/>
        </w:rPr>
      </w:pPr>
    </w:p>
    <w:p>
      <w:pPr>
        <w:jc w:val="both"/>
        <w:ind w:firstLine="1048"/>
        <w:spacing w:after="0" w:line="273" w:lineRule="auto"/>
        <w:rPr>
          <w:sz w:val="20"/>
          <w:szCs w:val="20"/>
          <w:color w:val="auto"/>
        </w:rPr>
      </w:pPr>
      <w:r>
        <w:rPr>
          <w:rFonts w:ascii="Arial" w:cs="Arial" w:eastAsia="Arial" w:hAnsi="Arial"/>
          <w:sz w:val="14"/>
          <w:szCs w:val="14"/>
          <w:color w:val="auto"/>
        </w:rPr>
        <w:t xml:space="preserve">7.1 </w:t>
      </w:r>
      <w:r>
        <w:rPr>
          <w:rFonts w:ascii="Arial" w:cs="Arial" w:eastAsia="Arial" w:hAnsi="Arial"/>
          <w:sz w:val="14"/>
          <w:szCs w:val="14"/>
          <w:b w:val="1"/>
          <w:bCs w:val="1"/>
          <w:color w:val="auto"/>
        </w:rPr>
        <w:t>Release Agreement</w:t>
      </w:r>
      <w:r>
        <w:rPr>
          <w:rFonts w:ascii="Arial" w:cs="Arial" w:eastAsia="Arial" w:hAnsi="Arial"/>
          <w:sz w:val="14"/>
          <w:szCs w:val="14"/>
          <w:color w:val="auto"/>
        </w:rPr>
        <w:t>. As a condition to receiving the Severance Benefits under this Plan, each Participant will be required to sign and not revoke a separation and release of claims agreement in a form reasonably satisfactory to the Company (the “</w:t>
      </w:r>
      <w:r>
        <w:rPr>
          <w:rFonts w:ascii="Arial" w:cs="Arial" w:eastAsia="Arial" w:hAnsi="Arial"/>
          <w:sz w:val="14"/>
          <w:szCs w:val="14"/>
          <w:b w:val="1"/>
          <w:bCs w:val="1"/>
          <w:color w:val="auto"/>
        </w:rPr>
        <w:t>Release</w:t>
      </w:r>
      <w:r>
        <w:rPr>
          <w:rFonts w:ascii="Arial" w:cs="Arial" w:eastAsia="Arial" w:hAnsi="Arial"/>
          <w:sz w:val="14"/>
          <w:szCs w:val="14"/>
          <w:color w:val="auto"/>
        </w:rPr>
        <w:t>”). In all cases, the Release must become effective and irrevocable no later than the 60th day following the Participant’s Involuntary Termination (the “</w:t>
      </w:r>
      <w:r>
        <w:rPr>
          <w:rFonts w:ascii="Arial" w:cs="Arial" w:eastAsia="Arial" w:hAnsi="Arial"/>
          <w:sz w:val="14"/>
          <w:szCs w:val="14"/>
          <w:b w:val="1"/>
          <w:bCs w:val="1"/>
          <w:color w:val="auto"/>
        </w:rPr>
        <w:t>Release Deadline Date</w:t>
      </w:r>
      <w:r>
        <w:rPr>
          <w:rFonts w:ascii="Arial" w:cs="Arial" w:eastAsia="Arial" w:hAnsi="Arial"/>
          <w:sz w:val="14"/>
          <w:szCs w:val="14"/>
          <w:color w:val="auto"/>
        </w:rPr>
        <w:t>”). If the Release does not become effective and irrevocable by the Release Deadline Date, the Participant will forfeit any right to the Severance Benefits. In no event will the Severance Benefits be paid or provided until the Release becomes effective and irrevocable.</w:t>
      </w:r>
    </w:p>
    <w:p>
      <w:pPr>
        <w:spacing w:after="0" w:line="141" w:lineRule="exact"/>
        <w:rPr>
          <w:sz w:val="20"/>
          <w:szCs w:val="20"/>
          <w:color w:val="auto"/>
        </w:rPr>
      </w:pPr>
    </w:p>
    <w:p>
      <w:pPr>
        <w:jc w:val="both"/>
        <w:ind w:firstLine="1048"/>
        <w:spacing w:after="0" w:line="280"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b w:val="1"/>
          <w:bCs w:val="1"/>
          <w:color w:val="auto"/>
        </w:rPr>
        <w:t>Other Requirements</w:t>
      </w:r>
      <w:r>
        <w:rPr>
          <w:rFonts w:ascii="Arial" w:cs="Arial" w:eastAsia="Arial" w:hAnsi="Arial"/>
          <w:sz w:val="14"/>
          <w:szCs w:val="14"/>
          <w:color w:val="auto"/>
        </w:rPr>
        <w:t>. A Participant’s receipt of Severance Benefits will be subject to the Participant continuing to comply with the provisions of this Section 7 and the terms of any confidentiality, proprietary information and inventions agreement and such other appropriate agreement between the Participant and the Company. Severance Benefits under this Plan will terminate immediately for a Participant if the Participant, at any time, violates any such agreement and/or the provisions of this Section 7.</w:t>
      </w:r>
    </w:p>
    <w:p>
      <w:pPr>
        <w:spacing w:after="0" w:line="135" w:lineRule="exact"/>
        <w:rPr>
          <w:sz w:val="20"/>
          <w:szCs w:val="20"/>
          <w:color w:val="auto"/>
        </w:rPr>
      </w:pPr>
    </w:p>
    <w:p>
      <w:pPr>
        <w:jc w:val="both"/>
        <w:ind w:firstLine="531"/>
        <w:spacing w:after="0" w:line="332" w:lineRule="auto"/>
        <w:tabs>
          <w:tab w:leader="none" w:pos="1055"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Timing of Severance Benefits</w:t>
      </w:r>
      <w:r>
        <w:rPr>
          <w:rFonts w:ascii="Arial" w:cs="Arial" w:eastAsia="Arial" w:hAnsi="Arial"/>
          <w:sz w:val="12"/>
          <w:szCs w:val="12"/>
          <w:color w:val="auto"/>
        </w:rPr>
        <w:t>. Provided that the Release becomes effective and irrevocable by the Release Deadline Date and subject to Section 10, the Severance Benefits will</w:t>
      </w:r>
      <w:r>
        <w:rPr>
          <w:rFonts w:ascii="Arial" w:cs="Arial" w:eastAsia="Arial" w:hAnsi="Arial"/>
          <w:sz w:val="12"/>
          <w:szCs w:val="12"/>
          <w:b w:val="1"/>
          <w:bCs w:val="1"/>
          <w:color w:val="auto"/>
        </w:rPr>
        <w:t xml:space="preserve"> </w:t>
      </w:r>
      <w:r>
        <w:rPr>
          <w:rFonts w:ascii="Arial" w:cs="Arial" w:eastAsia="Arial" w:hAnsi="Arial"/>
          <w:sz w:val="12"/>
          <w:szCs w:val="12"/>
          <w:color w:val="auto"/>
        </w:rPr>
        <w:t>be paid (or in the case of Severance Benefits scheduled to be paid installments, will commence) on the first Company payroll date following the Release Deadline Date (such payment date, the “</w:t>
      </w:r>
      <w:r>
        <w:rPr>
          <w:rFonts w:ascii="Arial" w:cs="Arial" w:eastAsia="Arial" w:hAnsi="Arial"/>
          <w:sz w:val="12"/>
          <w:szCs w:val="12"/>
          <w:b w:val="1"/>
          <w:bCs w:val="1"/>
          <w:color w:val="auto"/>
        </w:rPr>
        <w:t>Severance Start Date</w:t>
      </w:r>
      <w:r>
        <w:rPr>
          <w:rFonts w:ascii="Arial" w:cs="Arial" w:eastAsia="Arial" w:hAnsi="Arial"/>
          <w:sz w:val="12"/>
          <w:szCs w:val="12"/>
          <w:color w:val="auto"/>
        </w:rPr>
        <w:t>”), and any severance payments or benefits otherwise payable to the Participant during the period immediately following the Participant’s termination of employment with the Company through the Severance Start Date will be paid in a lump sum to the Participant on the Severance Start Date, with any remaining payments to be made as provided in this Plan.</w:t>
      </w:r>
    </w:p>
    <w:p>
      <w:pPr>
        <w:spacing w:after="0" w:line="109" w:lineRule="exact"/>
        <w:rPr>
          <w:rFonts w:ascii="Arial" w:cs="Arial" w:eastAsia="Arial" w:hAnsi="Arial"/>
          <w:sz w:val="12"/>
          <w:szCs w:val="12"/>
          <w:color w:val="auto"/>
        </w:rPr>
      </w:pPr>
    </w:p>
    <w:p>
      <w:pPr>
        <w:jc w:val="both"/>
        <w:ind w:firstLine="531"/>
        <w:spacing w:after="0" w:line="347" w:lineRule="auto"/>
        <w:tabs>
          <w:tab w:leader="none" w:pos="1077"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 xml:space="preserve">Exclusive Benefit. </w:t>
      </w:r>
      <w:r>
        <w:rPr>
          <w:rFonts w:ascii="Arial" w:cs="Arial" w:eastAsia="Arial" w:hAnsi="Arial"/>
          <w:sz w:val="12"/>
          <w:szCs w:val="12"/>
          <w:color w:val="auto"/>
        </w:rPr>
        <w:t>The benefits provided under this Plan shall be the exclusive benefit for a Participant related to termination of employment and/or change in control and shall</w:t>
      </w:r>
      <w:r>
        <w:rPr>
          <w:rFonts w:ascii="Arial" w:cs="Arial" w:eastAsia="Arial" w:hAnsi="Arial"/>
          <w:sz w:val="12"/>
          <w:szCs w:val="12"/>
          <w:b w:val="1"/>
          <w:bCs w:val="1"/>
          <w:color w:val="auto"/>
        </w:rPr>
        <w:t xml:space="preserve"> </w:t>
      </w:r>
      <w:r>
        <w:rPr>
          <w:rFonts w:ascii="Arial" w:cs="Arial" w:eastAsia="Arial" w:hAnsi="Arial"/>
          <w:sz w:val="12"/>
          <w:szCs w:val="12"/>
          <w:color w:val="auto"/>
        </w:rPr>
        <w:t>supersede and replace any severance and/or change in control benefits set forth in any offer letter, employment agreement and/or severance agreement. For the avoidance of doubt, if a Participant was otherwise eligible to participate in any other Company severance plan (whether or not subject to ERISA), then participation in this Plan will supersede and replace eligibility in such other plan.</w:t>
      </w:r>
    </w:p>
    <w:p>
      <w:pPr>
        <w:spacing w:after="0" w:line="100" w:lineRule="exact"/>
        <w:rPr>
          <w:rFonts w:ascii="Arial" w:cs="Arial" w:eastAsia="Arial" w:hAnsi="Arial"/>
          <w:sz w:val="12"/>
          <w:szCs w:val="12"/>
          <w:color w:val="auto"/>
        </w:rPr>
      </w:pPr>
    </w:p>
    <w:p>
      <w:pPr>
        <w:ind w:left="1000" w:hanging="469"/>
        <w:spacing w:after="0"/>
        <w:tabs>
          <w:tab w:leader="none" w:pos="1000"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Section 409A</w:t>
      </w:r>
      <w:r>
        <w:rPr>
          <w:rFonts w:ascii="Arial" w:cs="Arial" w:eastAsia="Arial" w:hAnsi="Arial"/>
          <w:sz w:val="15"/>
          <w:szCs w:val="15"/>
          <w:color w:val="auto"/>
        </w:rPr>
        <w:t>.</w:t>
      </w:r>
    </w:p>
    <w:p>
      <w:pPr>
        <w:spacing w:after="0" w:line="181" w:lineRule="exact"/>
        <w:rPr>
          <w:sz w:val="20"/>
          <w:szCs w:val="20"/>
          <w:color w:val="auto"/>
        </w:rPr>
      </w:pPr>
    </w:p>
    <w:p>
      <w:pPr>
        <w:jc w:val="both"/>
        <w:ind w:firstLine="1048"/>
        <w:spacing w:after="0" w:line="268" w:lineRule="auto"/>
        <w:rPr>
          <w:sz w:val="20"/>
          <w:szCs w:val="20"/>
          <w:color w:val="auto"/>
        </w:rPr>
      </w:pPr>
      <w:r>
        <w:rPr>
          <w:rFonts w:ascii="Arial" w:cs="Arial" w:eastAsia="Arial" w:hAnsi="Arial"/>
          <w:sz w:val="14"/>
          <w:szCs w:val="14"/>
          <w:color w:val="auto"/>
        </w:rPr>
        <w:t>10.1 Notwithstanding anything to the contrary in this Plan, no severance payments or benefits to be paid or provided to a Participant, if any, under this Plan that, when considered together with any other severance payments or separation benefits, are considered deferred compensation under Section 409A of the Code, and the final regulations and any guidance promulgated thereunder (“</w:t>
      </w:r>
      <w:r>
        <w:rPr>
          <w:rFonts w:ascii="Arial" w:cs="Arial" w:eastAsia="Arial" w:hAnsi="Arial"/>
          <w:sz w:val="14"/>
          <w:szCs w:val="14"/>
          <w:b w:val="1"/>
          <w:bCs w:val="1"/>
          <w:color w:val="auto"/>
        </w:rPr>
        <w:t>Section 409A</w:t>
      </w:r>
      <w:r>
        <w:rPr>
          <w:rFonts w:ascii="Arial" w:cs="Arial" w:eastAsia="Arial" w:hAnsi="Arial"/>
          <w:sz w:val="14"/>
          <w:szCs w:val="14"/>
          <w:color w:val="auto"/>
        </w:rPr>
        <w:t>”) (together, the “</w:t>
      </w:r>
      <w:r>
        <w:rPr>
          <w:rFonts w:ascii="Arial" w:cs="Arial" w:eastAsia="Arial" w:hAnsi="Arial"/>
          <w:sz w:val="14"/>
          <w:szCs w:val="14"/>
          <w:b w:val="1"/>
          <w:bCs w:val="1"/>
          <w:color w:val="auto"/>
        </w:rPr>
        <w:t>Deferred Payments</w:t>
      </w:r>
      <w:r>
        <w:rPr>
          <w:rFonts w:ascii="Arial" w:cs="Arial" w:eastAsia="Arial" w:hAnsi="Arial"/>
          <w:sz w:val="14"/>
          <w:szCs w:val="14"/>
          <w:color w:val="auto"/>
        </w:rPr>
        <w:t>”) will be paid or provided until the Participant has a “separation from service” within the meaning of Section 409A. Similarly, no severance payable to a Participant, if any, under this Plan that otherwise would be exempt from Section 409A pursuant to Treasury Regulation Section 1.409A-1(b)(9) will be payable until the Participant has a “separation from service” within the meaning of Section 409A.</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3" w:right="219" w:bottom="1440" w:gutter="0" w:footer="0" w:header="0"/>
        </w:sectPr>
      </w:pPr>
    </w:p>
    <w:bookmarkStart w:id="11" w:name="page12"/>
    <w:bookmarkEnd w:id="11"/>
    <w:p>
      <w:pPr>
        <w:jc w:val="both"/>
        <w:ind w:firstLine="1048"/>
        <w:spacing w:after="0" w:line="250" w:lineRule="auto"/>
        <w:rPr>
          <w:sz w:val="20"/>
          <w:szCs w:val="20"/>
          <w:color w:val="auto"/>
        </w:rPr>
      </w:pPr>
      <w:r>
        <w:rPr>
          <w:rFonts w:ascii="Arial" w:cs="Arial" w:eastAsia="Arial" w:hAnsi="Arial"/>
          <w:sz w:val="15"/>
          <w:szCs w:val="15"/>
          <w:color w:val="auto"/>
        </w:rPr>
        <w:t>10.2 It is intended that none of the severance payments or benefits under this Plan will constitute Deferred Payments but rather will be exempt from Section 409A as a payment that would fall within the “short-term deferral period” as described in Section 10.3 below or resulting from an involuntary separation from service as described in Section 10.4 below. In no event will a Participant have discretion to determine the taxable year of payment of any Deferred Payment.</w:t>
      </w:r>
    </w:p>
    <w:p>
      <w:pPr>
        <w:spacing w:after="0" w:line="160" w:lineRule="exact"/>
        <w:rPr>
          <w:sz w:val="20"/>
          <w:szCs w:val="20"/>
          <w:color w:val="auto"/>
        </w:rPr>
      </w:pPr>
    </w:p>
    <w:p>
      <w:pPr>
        <w:jc w:val="both"/>
        <w:ind w:firstLine="1048"/>
        <w:spacing w:after="0" w:line="266" w:lineRule="auto"/>
        <w:rPr>
          <w:sz w:val="20"/>
          <w:szCs w:val="20"/>
          <w:color w:val="auto"/>
        </w:rPr>
      </w:pPr>
      <w:r>
        <w:rPr>
          <w:rFonts w:ascii="Arial" w:cs="Arial" w:eastAsia="Arial" w:hAnsi="Arial"/>
          <w:sz w:val="14"/>
          <w:szCs w:val="14"/>
          <w:color w:val="auto"/>
        </w:rPr>
        <w:t>10.3 Notwithstanding anything to the contrary in this Plan, if a Participant is a “specified employee” within the meaning of Section 409A at the time of the Participant’s separation from service (other than due to death), then the Deferred Payments, if any, that are payable within the first 6 months following the Participant’s separation from service, will become payable on the date 6 months and 1 day following the date of the Participant’s separation from service. All subsequent Deferred Payments, if any, will be payable in accordance with the payment schedule applicable to each payment or benefit. Notwithstanding anything herein to the contrary, in the event of the Participant’s death following the Participant’s separation from service, but before the 6 month anniversary of the separation from service, then any payments delayed in accordance with this paragraph will be payable in a lump sum as soon as administratively practicable after the date of the Participant’s death and all other Deferred Payments will be payable in accordance with the payment schedule applicable to each payment or benefit. Each payment and benefit payable under this Plan is intended to constitute a separate payment under Section 1.409A-2(b)(2) of the Treasury Regulations.</w:t>
      </w:r>
    </w:p>
    <w:p>
      <w:pPr>
        <w:spacing w:after="0" w:line="149" w:lineRule="exact"/>
        <w:rPr>
          <w:sz w:val="20"/>
          <w:szCs w:val="20"/>
          <w:color w:val="auto"/>
        </w:rPr>
      </w:pPr>
    </w:p>
    <w:p>
      <w:pPr>
        <w:jc w:val="both"/>
        <w:ind w:firstLine="1048"/>
        <w:spacing w:after="0" w:line="258" w:lineRule="auto"/>
        <w:rPr>
          <w:sz w:val="20"/>
          <w:szCs w:val="20"/>
          <w:color w:val="auto"/>
        </w:rPr>
      </w:pPr>
      <w:r>
        <w:rPr>
          <w:rFonts w:ascii="Arial" w:cs="Arial" w:eastAsia="Arial" w:hAnsi="Arial"/>
          <w:sz w:val="15"/>
          <w:szCs w:val="15"/>
          <w:color w:val="auto"/>
        </w:rPr>
        <w:t>10.4 Any amount paid under this Plan that satisfies the requirements of the “short-term deferral” rule set forth in Section 1.409A-1(b)(4) of the Treasury Regulations will not constitute Deferred Payments for purposes of Section 10 above.</w:t>
      </w:r>
    </w:p>
    <w:p>
      <w:pPr>
        <w:spacing w:after="0" w:line="153" w:lineRule="exact"/>
        <w:rPr>
          <w:sz w:val="20"/>
          <w:szCs w:val="20"/>
          <w:color w:val="auto"/>
        </w:rPr>
      </w:pPr>
    </w:p>
    <w:p>
      <w:pPr>
        <w:jc w:val="both"/>
        <w:ind w:firstLine="1048"/>
        <w:spacing w:after="0" w:line="258" w:lineRule="auto"/>
        <w:rPr>
          <w:sz w:val="20"/>
          <w:szCs w:val="20"/>
          <w:color w:val="auto"/>
        </w:rPr>
      </w:pPr>
      <w:r>
        <w:rPr>
          <w:rFonts w:ascii="Arial" w:cs="Arial" w:eastAsia="Arial" w:hAnsi="Arial"/>
          <w:sz w:val="15"/>
          <w:szCs w:val="15"/>
          <w:color w:val="auto"/>
        </w:rPr>
        <w:t>10.5 Any amount paid under this Plan that qualifies as a payment made as a result of an involuntary separation from service pursuant to Section 1.409A-1(b)(9)(iii) of the Treasury Regulations that does not exceed the Section 409A Limit will not constitute Deferred Payments for purposes of Section 10 above.</w:t>
      </w:r>
    </w:p>
    <w:p>
      <w:pPr>
        <w:spacing w:after="0" w:line="153" w:lineRule="exact"/>
        <w:rPr>
          <w:sz w:val="20"/>
          <w:szCs w:val="20"/>
          <w:color w:val="auto"/>
        </w:rPr>
      </w:pPr>
    </w:p>
    <w:p>
      <w:pPr>
        <w:jc w:val="both"/>
        <w:ind w:firstLine="1048"/>
        <w:spacing w:after="0" w:line="268" w:lineRule="auto"/>
        <w:rPr>
          <w:sz w:val="20"/>
          <w:szCs w:val="20"/>
          <w:color w:val="auto"/>
        </w:rPr>
      </w:pPr>
      <w:r>
        <w:rPr>
          <w:rFonts w:ascii="Arial" w:cs="Arial" w:eastAsia="Arial" w:hAnsi="Arial"/>
          <w:sz w:val="14"/>
          <w:szCs w:val="14"/>
          <w:color w:val="auto"/>
        </w:rPr>
        <w:t>10.6 The foregoing provisions are intended to comply with or be exempt from the requirements of Section 409A so that none of the payments and benefits to be provided under the Plan will be subject to the additional tax imposed under Section 409A, and any ambiguities herein will be interpreted to so comply or be exempt. Notwithstanding anything to the contrary in the Plan, including but not limited to Sections 12 and 15, the Company reserves the right to amend the Plan as it deems necessary or advisable, in its sole discretion and without the consent of the Participants, to comply with Section 409A or to avoid income recognition under Section 409A prior to the actual payment of benefits under the Plan or imposition of any additional tax. In no event will the Company reimburse a Participant for any taxes that may be imposed on the Participant as result of Section 409A.</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7" w:right="219" w:bottom="1440" w:gutter="0" w:footer="0" w:header="0"/>
        </w:sectPr>
      </w:pPr>
    </w:p>
    <w:bookmarkStart w:id="12" w:name="page13"/>
    <w:bookmarkEnd w:id="12"/>
    <w:p>
      <w:pPr>
        <w:ind w:left="-20" w:firstLine="531"/>
        <w:spacing w:after="0" w:line="264" w:lineRule="auto"/>
        <w:tabs>
          <w:tab w:leader="none" w:pos="1015"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Withholdings</w:t>
      </w:r>
      <w:r>
        <w:rPr>
          <w:rFonts w:ascii="Arial" w:cs="Arial" w:eastAsia="Arial" w:hAnsi="Arial"/>
          <w:sz w:val="15"/>
          <w:szCs w:val="15"/>
          <w:color w:val="auto"/>
        </w:rPr>
        <w:t>. The Company will withhold from any payments or benefits under the Plan all applicable U.S. federal, state, local and non-U.S. taxes required to be withheld and</w:t>
      </w:r>
      <w:r>
        <w:rPr>
          <w:rFonts w:ascii="Arial" w:cs="Arial" w:eastAsia="Arial" w:hAnsi="Arial"/>
          <w:sz w:val="15"/>
          <w:szCs w:val="15"/>
          <w:b w:val="1"/>
          <w:bCs w:val="1"/>
          <w:color w:val="auto"/>
        </w:rPr>
        <w:t xml:space="preserve"> </w:t>
      </w:r>
      <w:r>
        <w:rPr>
          <w:rFonts w:ascii="Arial" w:cs="Arial" w:eastAsia="Arial" w:hAnsi="Arial"/>
          <w:sz w:val="15"/>
          <w:szCs w:val="15"/>
          <w:color w:val="auto"/>
        </w:rPr>
        <w:t>any other required payroll deductions.</w:t>
      </w:r>
    </w:p>
    <w:p>
      <w:pPr>
        <w:spacing w:after="0" w:line="144" w:lineRule="exact"/>
        <w:rPr>
          <w:rFonts w:ascii="Arial" w:cs="Arial" w:eastAsia="Arial" w:hAnsi="Arial"/>
          <w:sz w:val="15"/>
          <w:szCs w:val="15"/>
          <w:color w:val="auto"/>
        </w:rPr>
      </w:pPr>
    </w:p>
    <w:p>
      <w:pPr>
        <w:jc w:val="both"/>
        <w:ind w:left="-20" w:firstLine="531"/>
        <w:spacing w:after="0" w:line="267" w:lineRule="auto"/>
        <w:tabs>
          <w:tab w:leader="none" w:pos="1119" w:val="left"/>
        </w:tabs>
        <w:numPr>
          <w:ilvl w:val="0"/>
          <w:numId w:val="13"/>
        </w:numPr>
        <w:rPr>
          <w:rFonts w:ascii="Arial" w:cs="Arial" w:eastAsia="Arial" w:hAnsi="Arial"/>
          <w:sz w:val="14"/>
          <w:szCs w:val="14"/>
          <w:color w:val="auto"/>
        </w:rPr>
      </w:pPr>
      <w:r>
        <w:rPr>
          <w:rFonts w:ascii="Arial" w:cs="Arial" w:eastAsia="Arial" w:hAnsi="Arial"/>
          <w:sz w:val="14"/>
          <w:szCs w:val="14"/>
          <w:b w:val="1"/>
          <w:bCs w:val="1"/>
          <w:color w:val="auto"/>
        </w:rPr>
        <w:t>Administration</w:t>
      </w:r>
      <w:r>
        <w:rPr>
          <w:rFonts w:ascii="Arial" w:cs="Arial" w:eastAsia="Arial" w:hAnsi="Arial"/>
          <w:sz w:val="14"/>
          <w:szCs w:val="14"/>
          <w:color w:val="auto"/>
        </w:rPr>
        <w:t>. The Company is the administrator of the Plan (within the meaning of section 3(16)(A) of ERISA). The Plan will be administered and interpreted by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Administrator (in its sole discretion). The Administrator is the “named fiduciary” of the Plan for purposes of ERISA and will be subject to the fiduciary standards of ERISA when acting in such capacity. Any decision made or other action taken by the Administrator with respect to the Plan, and any interpretation by the Administrator of any term or condition of the Plan, or any related document, will be conclusive and binding on all persons and be given the maximum possible deference allowed by law. In accordance with Section 2.1, the Administrator (a) may, in its sole discretion and on such terms and conditions as it may provide, delegate in writing to one or more officers of the Company all or any portion of its authority or responsibility with respect to the Plan, and (b) has the authority to act for the Company (in a non-fiduciary capacity) as to any matter pertaining to the Plan;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any Plan amendment or termination or any other action that reasonably could be expected to increase materially the cost of the Plan must be approved by the Board.</w:t>
      </w:r>
    </w:p>
    <w:p>
      <w:pPr>
        <w:spacing w:after="0" w:line="143" w:lineRule="exact"/>
        <w:rPr>
          <w:rFonts w:ascii="Arial" w:cs="Arial" w:eastAsia="Arial" w:hAnsi="Arial"/>
          <w:sz w:val="14"/>
          <w:szCs w:val="14"/>
          <w:color w:val="auto"/>
        </w:rPr>
      </w:pPr>
    </w:p>
    <w:p>
      <w:pPr>
        <w:jc w:val="both"/>
        <w:ind w:left="-20" w:firstLine="531"/>
        <w:spacing w:after="0" w:line="250" w:lineRule="auto"/>
        <w:tabs>
          <w:tab w:leader="none" w:pos="999"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Eligibility to Participate</w:t>
      </w:r>
      <w:r>
        <w:rPr>
          <w:rFonts w:ascii="Arial" w:cs="Arial" w:eastAsia="Arial" w:hAnsi="Arial"/>
          <w:sz w:val="15"/>
          <w:szCs w:val="15"/>
          <w:color w:val="auto"/>
        </w:rPr>
        <w:t>. To the extent that the Administrator has delegated administrative authority or responsibility to one or more officers of the Company in accordance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Sections 2.1 and 12, each such officer will not be excluded from participating in the Plan if otherwise eligible, but he or she is not entitled to act upon or make determinations regarding any matters pertaining specifically to his or her own benefit or eligibility under the Plan. The Administrator will act upon and make determinations regarding any matters pertaining specifically to the benefit or eligibility of each such officer under the Plan.</w:t>
      </w:r>
    </w:p>
    <w:p>
      <w:pPr>
        <w:spacing w:after="0" w:line="154" w:lineRule="exact"/>
        <w:rPr>
          <w:rFonts w:ascii="Arial" w:cs="Arial" w:eastAsia="Arial" w:hAnsi="Arial"/>
          <w:sz w:val="15"/>
          <w:szCs w:val="15"/>
          <w:color w:val="auto"/>
        </w:rPr>
      </w:pPr>
    </w:p>
    <w:p>
      <w:pPr>
        <w:jc w:val="both"/>
        <w:ind w:left="-20" w:firstLine="531"/>
        <w:spacing w:after="0" w:line="253" w:lineRule="auto"/>
        <w:tabs>
          <w:tab w:leader="none" w:pos="1010"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Term</w:t>
      </w:r>
      <w:r>
        <w:rPr>
          <w:rFonts w:ascii="Arial" w:cs="Arial" w:eastAsia="Arial" w:hAnsi="Arial"/>
          <w:sz w:val="15"/>
          <w:szCs w:val="15"/>
          <w:color w:val="auto"/>
        </w:rPr>
        <w:t>. This Plan will have a term of three years commencing on the Effective Date (the “</w:t>
      </w:r>
      <w:r>
        <w:rPr>
          <w:rFonts w:ascii="Arial" w:cs="Arial" w:eastAsia="Arial" w:hAnsi="Arial"/>
          <w:sz w:val="15"/>
          <w:szCs w:val="15"/>
          <w:b w:val="1"/>
          <w:bCs w:val="1"/>
          <w:color w:val="auto"/>
        </w:rPr>
        <w:t>Term</w:t>
      </w:r>
      <w:r>
        <w:rPr>
          <w:rFonts w:ascii="Arial" w:cs="Arial" w:eastAsia="Arial" w:hAnsi="Arial"/>
          <w:sz w:val="15"/>
          <w:szCs w:val="15"/>
          <w:color w:val="auto"/>
        </w:rPr>
        <w:t>”). If a Change of Control occurs, the Term will extend automatically through the</w:t>
      </w:r>
      <w:r>
        <w:rPr>
          <w:rFonts w:ascii="Arial" w:cs="Arial" w:eastAsia="Arial" w:hAnsi="Arial"/>
          <w:sz w:val="15"/>
          <w:szCs w:val="15"/>
          <w:b w:val="1"/>
          <w:bCs w:val="1"/>
          <w:color w:val="auto"/>
        </w:rPr>
        <w:t xml:space="preserve"> </w:t>
      </w:r>
      <w:r>
        <w:rPr>
          <w:rFonts w:ascii="Arial" w:cs="Arial" w:eastAsia="Arial" w:hAnsi="Arial"/>
          <w:sz w:val="15"/>
          <w:szCs w:val="15"/>
          <w:color w:val="auto"/>
        </w:rPr>
        <w:t>date that is 12 months following the effective date of the Change of Control. If the Participant becomes entitled to benefits during the term of this Plan, the Plan will not terminate with respect to such Participant until all of the obligations of the Company and such Participant with respect to this Plan have been satisfied.</w:t>
      </w:r>
    </w:p>
    <w:p>
      <w:pPr>
        <w:spacing w:after="0" w:line="153" w:lineRule="exact"/>
        <w:rPr>
          <w:rFonts w:ascii="Arial" w:cs="Arial" w:eastAsia="Arial" w:hAnsi="Arial"/>
          <w:sz w:val="15"/>
          <w:szCs w:val="15"/>
          <w:color w:val="auto"/>
        </w:rPr>
      </w:pPr>
    </w:p>
    <w:p>
      <w:pPr>
        <w:jc w:val="both"/>
        <w:ind w:left="-20" w:firstLine="531"/>
        <w:spacing w:after="0" w:line="247" w:lineRule="auto"/>
        <w:tabs>
          <w:tab w:leader="none" w:pos="1108"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Amendment or Termination</w:t>
      </w:r>
      <w:r>
        <w:rPr>
          <w:rFonts w:ascii="Arial" w:cs="Arial" w:eastAsia="Arial" w:hAnsi="Arial"/>
          <w:sz w:val="15"/>
          <w:szCs w:val="15"/>
          <w:color w:val="auto"/>
        </w:rPr>
        <w:t>. The Company, by action of the Administrator, reserves the right to amend or terminate the Plan at any time, without advance notice to any</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and without regard to the effect of the amendment or termination on any Participant or on any other individual. Any amendment or termination of the Plan will be in writing. In addition, notwithstanding the preceding, during the Term, the Company may not, without a Participant’s written consent, amend or terminate the Plan in any way, nor take any other action, that (i) prevents that Participant from becoming eligible for the Severance Benefits under the Plan, or (ii) reduces or alters to the detriment of the Participant the Severance Benefits payable, or potentially payable, to a Participant under the Plan (including, without limitation, imposing additional conditions). Any action of the Company in amending or terminating the Plan will be taken in a non-fiduciary capacity.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wp:posOffset>
            </wp:positionV>
            <wp:extent cx="727265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40"/>
          </w:cols>
          <w:pgMar w:left="240" w:top="583" w:right="219" w:bottom="1440" w:gutter="0" w:footer="0" w:header="0"/>
        </w:sectPr>
      </w:pPr>
    </w:p>
    <w:bookmarkStart w:id="13" w:name="page14"/>
    <w:bookmarkEnd w:id="13"/>
    <w:p>
      <w:pPr>
        <w:ind w:left="980" w:hanging="469"/>
        <w:spacing w:after="0"/>
        <w:tabs>
          <w:tab w:leader="none" w:pos="98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Claims and Appeals</w:t>
      </w:r>
      <w:r>
        <w:rPr>
          <w:rFonts w:ascii="Arial" w:cs="Arial" w:eastAsia="Arial" w:hAnsi="Arial"/>
          <w:sz w:val="15"/>
          <w:szCs w:val="15"/>
          <w:color w:val="auto"/>
        </w:rPr>
        <w:t>.</w:t>
      </w:r>
    </w:p>
    <w:p>
      <w:pPr>
        <w:spacing w:after="0" w:line="176" w:lineRule="exact"/>
        <w:rPr>
          <w:rFonts w:ascii="Arial" w:cs="Arial" w:eastAsia="Arial" w:hAnsi="Arial"/>
          <w:sz w:val="15"/>
          <w:szCs w:val="15"/>
          <w:color w:val="auto"/>
        </w:rPr>
      </w:pPr>
    </w:p>
    <w:p>
      <w:pPr>
        <w:jc w:val="both"/>
        <w:ind w:left="-20" w:firstLine="1056"/>
        <w:spacing w:after="0" w:line="321" w:lineRule="auto"/>
        <w:tabs>
          <w:tab w:leader="none" w:pos="1550" w:val="left"/>
        </w:tabs>
        <w:numPr>
          <w:ilvl w:val="1"/>
          <w:numId w:val="14"/>
        </w:numPr>
        <w:rPr>
          <w:rFonts w:ascii="Arial" w:cs="Arial" w:eastAsia="Arial" w:hAnsi="Arial"/>
          <w:sz w:val="12"/>
          <w:szCs w:val="12"/>
          <w:color w:val="auto"/>
        </w:rPr>
      </w:pPr>
      <w:r>
        <w:rPr>
          <w:rFonts w:ascii="Arial" w:cs="Arial" w:eastAsia="Arial" w:hAnsi="Arial"/>
          <w:sz w:val="12"/>
          <w:szCs w:val="12"/>
          <w:b w:val="1"/>
          <w:bCs w:val="1"/>
          <w:color w:val="auto"/>
        </w:rPr>
        <w:t>Claims Procedure</w:t>
      </w:r>
      <w:r>
        <w:rPr>
          <w:rFonts w:ascii="Arial" w:cs="Arial" w:eastAsia="Arial" w:hAnsi="Arial"/>
          <w:sz w:val="12"/>
          <w:szCs w:val="12"/>
          <w:color w:val="auto"/>
        </w:rPr>
        <w:t>. Any employee or other person who believes he or she is entitled to any payment under the Plan may submit a claim in writing to the Administrator</w:t>
      </w:r>
      <w:r>
        <w:rPr>
          <w:rFonts w:ascii="Arial" w:cs="Arial" w:eastAsia="Arial" w:hAnsi="Arial"/>
          <w:sz w:val="12"/>
          <w:szCs w:val="12"/>
          <w:b w:val="1"/>
          <w:bCs w:val="1"/>
          <w:color w:val="auto"/>
        </w:rPr>
        <w:t xml:space="preserve"> </w:t>
      </w:r>
      <w:r>
        <w:rPr>
          <w:rFonts w:ascii="Arial" w:cs="Arial" w:eastAsia="Arial" w:hAnsi="Arial"/>
          <w:sz w:val="12"/>
          <w:szCs w:val="12"/>
          <w:color w:val="auto"/>
        </w:rPr>
        <w:t>within 90 days of the earlier of (i) the date the claimant learned the amount of his or her benefits under the Plan or (ii) the date the claimant learned that he or she will not be entitled to any benefits under the Plan. If the claim is denied (in full or in part), the claimant will be provided a written notice explaining the specific reasons for the denial and referring to the provisions of the Plan on which the denial is based. The notice also will describe any additional information needed to support the claim and the Plan’s procedures for appealing the denial. The denial notice will be provided within 90 days after the claim is received. If special circumstances require an extension of time (up to 90 days), written notice of the extension will be given within the initial 90 day period. This notice of extension will indicate the special circumstances requiring the extension of time and the date by which the Administrator expects to render its decision on the claim.</w:t>
      </w:r>
    </w:p>
    <w:p>
      <w:pPr>
        <w:spacing w:after="0" w:line="115" w:lineRule="exact"/>
        <w:rPr>
          <w:rFonts w:ascii="Arial" w:cs="Arial" w:eastAsia="Arial" w:hAnsi="Arial"/>
          <w:sz w:val="12"/>
          <w:szCs w:val="12"/>
          <w:color w:val="auto"/>
        </w:rPr>
      </w:pPr>
    </w:p>
    <w:p>
      <w:pPr>
        <w:jc w:val="both"/>
        <w:ind w:left="-20" w:firstLine="1056"/>
        <w:spacing w:after="0" w:line="316" w:lineRule="auto"/>
        <w:tabs>
          <w:tab w:leader="none" w:pos="1558" w:val="left"/>
        </w:tabs>
        <w:numPr>
          <w:ilvl w:val="1"/>
          <w:numId w:val="14"/>
        </w:numPr>
        <w:rPr>
          <w:rFonts w:ascii="Arial" w:cs="Arial" w:eastAsia="Arial" w:hAnsi="Arial"/>
          <w:sz w:val="12"/>
          <w:szCs w:val="12"/>
          <w:color w:val="auto"/>
        </w:rPr>
      </w:pPr>
      <w:r>
        <w:rPr>
          <w:rFonts w:ascii="Arial" w:cs="Arial" w:eastAsia="Arial" w:hAnsi="Arial"/>
          <w:sz w:val="12"/>
          <w:szCs w:val="12"/>
          <w:b w:val="1"/>
          <w:bCs w:val="1"/>
          <w:color w:val="auto"/>
        </w:rPr>
        <w:t>Appeal Procedure</w:t>
      </w:r>
      <w:r>
        <w:rPr>
          <w:rFonts w:ascii="Arial" w:cs="Arial" w:eastAsia="Arial" w:hAnsi="Arial"/>
          <w:sz w:val="12"/>
          <w:szCs w:val="12"/>
          <w:color w:val="auto"/>
        </w:rPr>
        <w:t>. If the claimant’s claim is denied, the claimant (or his or her authorized representative) may apply in writing to the Administrator for a review of the</w:t>
      </w:r>
      <w:r>
        <w:rPr>
          <w:rFonts w:ascii="Arial" w:cs="Arial" w:eastAsia="Arial" w:hAnsi="Arial"/>
          <w:sz w:val="12"/>
          <w:szCs w:val="12"/>
          <w:b w:val="1"/>
          <w:bCs w:val="1"/>
          <w:color w:val="auto"/>
        </w:rPr>
        <w:t xml:space="preserve"> </w:t>
      </w:r>
      <w:r>
        <w:rPr>
          <w:rFonts w:ascii="Arial" w:cs="Arial" w:eastAsia="Arial" w:hAnsi="Arial"/>
          <w:sz w:val="12"/>
          <w:szCs w:val="12"/>
          <w:color w:val="auto"/>
        </w:rPr>
        <w:t>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Administrator will provide written notice of its decision on review within 60 days after it receives a review request. If additional time (up to 60 days) is needed to review the request, the claimant (or 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Plan on which the denial is based. The notice also will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spacing w:after="0" w:line="118" w:lineRule="exact"/>
        <w:rPr>
          <w:rFonts w:ascii="Arial" w:cs="Arial" w:eastAsia="Arial" w:hAnsi="Arial"/>
          <w:sz w:val="12"/>
          <w:szCs w:val="12"/>
          <w:color w:val="auto"/>
        </w:rPr>
      </w:pPr>
    </w:p>
    <w:p>
      <w:pPr>
        <w:ind w:left="980" w:hanging="469"/>
        <w:spacing w:after="0"/>
        <w:tabs>
          <w:tab w:leader="none" w:pos="98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Attorneys’ Fees</w:t>
      </w:r>
      <w:r>
        <w:rPr>
          <w:rFonts w:ascii="Arial" w:cs="Arial" w:eastAsia="Arial" w:hAnsi="Arial"/>
          <w:sz w:val="15"/>
          <w:szCs w:val="15"/>
          <w:color w:val="auto"/>
        </w:rPr>
        <w:t>. The parties shall each bear their own expenses, legal fees and other fees incurred in connection with this Plan.</w:t>
      </w:r>
    </w:p>
    <w:p>
      <w:pPr>
        <w:spacing w:after="0" w:line="176" w:lineRule="exact"/>
        <w:rPr>
          <w:rFonts w:ascii="Arial" w:cs="Arial" w:eastAsia="Arial" w:hAnsi="Arial"/>
          <w:sz w:val="15"/>
          <w:szCs w:val="15"/>
          <w:color w:val="auto"/>
        </w:rPr>
      </w:pPr>
    </w:p>
    <w:p>
      <w:pPr>
        <w:ind w:left="-20" w:firstLine="531"/>
        <w:spacing w:after="0" w:line="300" w:lineRule="auto"/>
        <w:tabs>
          <w:tab w:leader="none" w:pos="977"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Source of Payments</w:t>
      </w:r>
      <w:r>
        <w:rPr>
          <w:rFonts w:ascii="Arial" w:cs="Arial" w:eastAsia="Arial" w:hAnsi="Arial"/>
          <w:sz w:val="14"/>
          <w:szCs w:val="14"/>
          <w:color w:val="auto"/>
        </w:rPr>
        <w:t>. All payments under the Plan will be paid from the general funds of the Company; no separate fund will be established under the Plan, and the Plan will have</w:t>
      </w:r>
      <w:r>
        <w:rPr>
          <w:rFonts w:ascii="Arial" w:cs="Arial" w:eastAsia="Arial" w:hAnsi="Arial"/>
          <w:sz w:val="14"/>
          <w:szCs w:val="14"/>
          <w:b w:val="1"/>
          <w:bCs w:val="1"/>
          <w:color w:val="auto"/>
        </w:rPr>
        <w:t xml:space="preserve"> </w:t>
      </w:r>
      <w:r>
        <w:rPr>
          <w:rFonts w:ascii="Arial" w:cs="Arial" w:eastAsia="Arial" w:hAnsi="Arial"/>
          <w:sz w:val="14"/>
          <w:szCs w:val="14"/>
          <w:color w:val="auto"/>
        </w:rPr>
        <w:t>no assets. No right of any person to receive any payment under the Plan will be any greater than the right of any other general unsecured creditor of the Company.</w:t>
      </w:r>
    </w:p>
    <w:p>
      <w:pPr>
        <w:spacing w:after="0" w:line="121" w:lineRule="exact"/>
        <w:rPr>
          <w:rFonts w:ascii="Arial" w:cs="Arial" w:eastAsia="Arial" w:hAnsi="Arial"/>
          <w:sz w:val="14"/>
          <w:szCs w:val="14"/>
          <w:color w:val="auto"/>
        </w:rPr>
      </w:pPr>
    </w:p>
    <w:p>
      <w:pPr>
        <w:ind w:left="-20" w:firstLine="531"/>
        <w:spacing w:after="0" w:line="300" w:lineRule="auto"/>
        <w:tabs>
          <w:tab w:leader="none" w:pos="999"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Inalienability</w:t>
      </w:r>
      <w:r>
        <w:rPr>
          <w:rFonts w:ascii="Arial" w:cs="Arial" w:eastAsia="Arial" w:hAnsi="Arial"/>
          <w:sz w:val="14"/>
          <w:szCs w:val="14"/>
          <w:color w:val="auto"/>
        </w:rPr>
        <w:t>. In no event may any current or former employee of the Company or any of its subsidiaries or affiliates sell, transfer, anticipate, assign or otherwise dispose of any</w:t>
      </w:r>
      <w:r>
        <w:rPr>
          <w:rFonts w:ascii="Arial" w:cs="Arial" w:eastAsia="Arial" w:hAnsi="Arial"/>
          <w:sz w:val="14"/>
          <w:szCs w:val="14"/>
          <w:b w:val="1"/>
          <w:bCs w:val="1"/>
          <w:color w:val="auto"/>
        </w:rPr>
        <w:t xml:space="preserve"> </w:t>
      </w:r>
      <w:r>
        <w:rPr>
          <w:rFonts w:ascii="Arial" w:cs="Arial" w:eastAsia="Arial" w:hAnsi="Arial"/>
          <w:sz w:val="14"/>
          <w:szCs w:val="14"/>
          <w:color w:val="auto"/>
        </w:rPr>
        <w:t>right or interest under the Plan. At no time will any such right or interest be subject to the claims of creditors nor liable to attachment, execution or other legal process.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8255</wp:posOffset>
            </wp:positionV>
            <wp:extent cx="727265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40"/>
          </w:cols>
          <w:pgMar w:left="240" w:top="583" w:right="219" w:bottom="1440" w:gutter="0" w:footer="0" w:header="0"/>
        </w:sectPr>
      </w:pPr>
    </w:p>
    <w:bookmarkStart w:id="14" w:name="page15"/>
    <w:bookmarkEnd w:id="14"/>
    <w:p>
      <w:pPr>
        <w:jc w:val="both"/>
        <w:ind w:firstLine="531"/>
        <w:spacing w:after="0" w:line="347" w:lineRule="auto"/>
        <w:tabs>
          <w:tab w:leader="none" w:pos="1128" w:val="left"/>
        </w:tabs>
        <w:numPr>
          <w:ilvl w:val="0"/>
          <w:numId w:val="15"/>
        </w:numPr>
        <w:rPr>
          <w:rFonts w:ascii="Arial" w:cs="Arial" w:eastAsia="Arial" w:hAnsi="Arial"/>
          <w:sz w:val="12"/>
          <w:szCs w:val="12"/>
          <w:color w:val="auto"/>
        </w:rPr>
      </w:pPr>
      <w:r>
        <w:rPr>
          <w:rFonts w:ascii="Arial" w:cs="Arial" w:eastAsia="Arial" w:hAnsi="Arial"/>
          <w:sz w:val="12"/>
          <w:szCs w:val="12"/>
          <w:b w:val="1"/>
          <w:bCs w:val="1"/>
          <w:color w:val="auto"/>
        </w:rPr>
        <w:t>No Enlargement of Employment Rights</w:t>
      </w:r>
      <w:r>
        <w:rPr>
          <w:rFonts w:ascii="Arial" w:cs="Arial" w:eastAsia="Arial" w:hAnsi="Arial"/>
          <w:sz w:val="12"/>
          <w:szCs w:val="12"/>
          <w:color w:val="auto"/>
        </w:rPr>
        <w:t>. Neither the establishment or maintenance or amendment of the Plan, nor the making of any benefit payment hereunder, will be</w:t>
      </w:r>
      <w:r>
        <w:rPr>
          <w:rFonts w:ascii="Arial" w:cs="Arial" w:eastAsia="Arial" w:hAnsi="Arial"/>
          <w:sz w:val="12"/>
          <w:szCs w:val="12"/>
          <w:b w:val="1"/>
          <w:bCs w:val="1"/>
          <w:color w:val="auto"/>
        </w:rPr>
        <w:t xml:space="preserve"> </w:t>
      </w:r>
      <w:r>
        <w:rPr>
          <w:rFonts w:ascii="Arial" w:cs="Arial" w:eastAsia="Arial" w:hAnsi="Arial"/>
          <w:sz w:val="12"/>
          <w:szCs w:val="12"/>
          <w:color w:val="auto"/>
        </w:rPr>
        <w:t>construed to confer upon any individual any right to continue to be an employee of the Company. The Company expressly reserves the right to discharge any of its employees at any time, with or without cause. However, as described in the Plan, a Participant may be entitled to benefits under the Plan depending upon the circumstances of his or her termination of employment.</w:t>
      </w:r>
    </w:p>
    <w:p>
      <w:pPr>
        <w:spacing w:after="0" w:line="100" w:lineRule="exact"/>
        <w:rPr>
          <w:rFonts w:ascii="Arial" w:cs="Arial" w:eastAsia="Arial" w:hAnsi="Arial"/>
          <w:sz w:val="12"/>
          <w:szCs w:val="12"/>
          <w:color w:val="auto"/>
        </w:rPr>
      </w:pPr>
    </w:p>
    <w:p>
      <w:pPr>
        <w:jc w:val="both"/>
        <w:ind w:firstLine="531"/>
        <w:spacing w:after="0" w:line="250" w:lineRule="auto"/>
        <w:tabs>
          <w:tab w:leader="none" w:pos="1117"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Successors</w:t>
      </w:r>
      <w:r>
        <w:rPr>
          <w:rFonts w:ascii="Arial" w:cs="Arial" w:eastAsia="Arial" w:hAnsi="Arial"/>
          <w:sz w:val="15"/>
          <w:szCs w:val="15"/>
          <w:color w:val="auto"/>
        </w:rPr>
        <w:t>. Any successor to the Company of all or substantially all of the Company’s business and/or assets (whether direct or indirect and whether by purchase, merger,</w:t>
      </w:r>
      <w:r>
        <w:rPr>
          <w:rFonts w:ascii="Arial" w:cs="Arial" w:eastAsia="Arial" w:hAnsi="Arial"/>
          <w:sz w:val="15"/>
          <w:szCs w:val="15"/>
          <w:b w:val="1"/>
          <w:bCs w:val="1"/>
          <w:color w:val="auto"/>
        </w:rPr>
        <w:t xml:space="preserve"> </w:t>
      </w:r>
      <w:r>
        <w:rPr>
          <w:rFonts w:ascii="Arial" w:cs="Arial" w:eastAsia="Arial" w:hAnsi="Arial"/>
          <w:sz w:val="15"/>
          <w:szCs w:val="15"/>
          <w:color w:val="auto"/>
        </w:rPr>
        <w:t>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Company’s business and/or assets which become bound by the terms of the Plan by operation of law, or otherwise.</w:t>
      </w:r>
    </w:p>
    <w:p>
      <w:pPr>
        <w:spacing w:after="0" w:line="154" w:lineRule="exact"/>
        <w:rPr>
          <w:rFonts w:ascii="Arial" w:cs="Arial" w:eastAsia="Arial" w:hAnsi="Arial"/>
          <w:sz w:val="15"/>
          <w:szCs w:val="15"/>
          <w:color w:val="auto"/>
        </w:rPr>
      </w:pPr>
    </w:p>
    <w:p>
      <w:pPr>
        <w:ind w:firstLine="531"/>
        <w:spacing w:after="0" w:line="264" w:lineRule="auto"/>
        <w:tabs>
          <w:tab w:leader="none" w:pos="1008"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Applicable Law</w:t>
      </w:r>
      <w:r>
        <w:rPr>
          <w:rFonts w:ascii="Arial" w:cs="Arial" w:eastAsia="Arial" w:hAnsi="Arial"/>
          <w:sz w:val="15"/>
          <w:szCs w:val="15"/>
          <w:color w:val="auto"/>
        </w:rPr>
        <w:t>. The provisions of the Plan will be construed, administered and enforced in accordance with ERISA and, to the extent applicable, the internal substantive laws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state of California (but not its conflict of laws provisions).</w:t>
      </w:r>
    </w:p>
    <w:p>
      <w:pPr>
        <w:spacing w:after="0" w:line="144" w:lineRule="exact"/>
        <w:rPr>
          <w:rFonts w:ascii="Arial" w:cs="Arial" w:eastAsia="Arial" w:hAnsi="Arial"/>
          <w:sz w:val="15"/>
          <w:szCs w:val="15"/>
          <w:color w:val="auto"/>
        </w:rPr>
      </w:pPr>
    </w:p>
    <w:p>
      <w:pPr>
        <w:ind w:firstLine="531"/>
        <w:spacing w:after="0" w:line="264" w:lineRule="auto"/>
        <w:tabs>
          <w:tab w:leader="none" w:pos="1052"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Severability</w:t>
      </w:r>
      <w:r>
        <w:rPr>
          <w:rFonts w:ascii="Arial" w:cs="Arial" w:eastAsia="Arial" w:hAnsi="Arial"/>
          <w:sz w:val="15"/>
          <w:szCs w:val="15"/>
          <w:color w:val="auto"/>
        </w:rPr>
        <w:t>. If any provision of the Plan is held invalid or unenforceable, its invalidity or unenforceability will not affect any other provision of the Plan, and the Plan will be</w:t>
      </w:r>
      <w:r>
        <w:rPr>
          <w:rFonts w:ascii="Arial" w:cs="Arial" w:eastAsia="Arial" w:hAnsi="Arial"/>
          <w:sz w:val="15"/>
          <w:szCs w:val="15"/>
          <w:b w:val="1"/>
          <w:bCs w:val="1"/>
          <w:color w:val="auto"/>
        </w:rPr>
        <w:t xml:space="preserve"> </w:t>
      </w:r>
      <w:r>
        <w:rPr>
          <w:rFonts w:ascii="Arial" w:cs="Arial" w:eastAsia="Arial" w:hAnsi="Arial"/>
          <w:sz w:val="15"/>
          <w:szCs w:val="15"/>
          <w:color w:val="auto"/>
        </w:rPr>
        <w:t>construed and enforced as if such provision had not been included.</w:t>
      </w:r>
    </w:p>
    <w:p>
      <w:pPr>
        <w:spacing w:after="0" w:line="144" w:lineRule="exact"/>
        <w:rPr>
          <w:rFonts w:ascii="Arial" w:cs="Arial" w:eastAsia="Arial" w:hAnsi="Arial"/>
          <w:sz w:val="15"/>
          <w:szCs w:val="15"/>
          <w:color w:val="auto"/>
        </w:rPr>
      </w:pPr>
    </w:p>
    <w:p>
      <w:pPr>
        <w:ind w:left="1000" w:hanging="469"/>
        <w:spacing w:after="0"/>
        <w:tabs>
          <w:tab w:leader="none" w:pos="100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Headings</w:t>
      </w:r>
      <w:r>
        <w:rPr>
          <w:rFonts w:ascii="Arial" w:cs="Arial" w:eastAsia="Arial" w:hAnsi="Arial"/>
          <w:sz w:val="15"/>
          <w:szCs w:val="15"/>
          <w:color w:val="auto"/>
        </w:rPr>
        <w:t>. Headings in this Plan document are for purposes of reference only and will not limit or otherwise affect the meaning hereof.</w:t>
      </w:r>
    </w:p>
    <w:p>
      <w:pPr>
        <w:spacing w:after="0" w:line="176" w:lineRule="exact"/>
        <w:rPr>
          <w:rFonts w:ascii="Arial" w:cs="Arial" w:eastAsia="Arial" w:hAnsi="Arial"/>
          <w:sz w:val="15"/>
          <w:szCs w:val="15"/>
          <w:color w:val="auto"/>
        </w:rPr>
      </w:pPr>
    </w:p>
    <w:p>
      <w:pPr>
        <w:jc w:val="both"/>
        <w:ind w:firstLine="531"/>
        <w:spacing w:after="0" w:line="273" w:lineRule="auto"/>
        <w:tabs>
          <w:tab w:leader="none" w:pos="1008"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Indemnification</w:t>
      </w:r>
      <w:r>
        <w:rPr>
          <w:rFonts w:ascii="Arial" w:cs="Arial" w:eastAsia="Arial" w:hAnsi="Arial"/>
          <w:sz w:val="14"/>
          <w:szCs w:val="14"/>
          <w:color w:val="auto"/>
        </w:rPr>
        <w:t>. The Company hereby agrees to indemnify and hold harmless the officers and employees of the Company, and the members of its Board, from all losses, claims,</w:t>
      </w:r>
      <w:r>
        <w:rPr>
          <w:rFonts w:ascii="Arial" w:cs="Arial" w:eastAsia="Arial" w:hAnsi="Arial"/>
          <w:sz w:val="14"/>
          <w:szCs w:val="14"/>
          <w:b w:val="1"/>
          <w:bCs w:val="1"/>
          <w:color w:val="auto"/>
        </w:rPr>
        <w:t xml:space="preserve"> </w:t>
      </w:r>
      <w:r>
        <w:rPr>
          <w:rFonts w:ascii="Arial" w:cs="Arial" w:eastAsia="Arial" w:hAnsi="Arial"/>
          <w:sz w:val="14"/>
          <w:szCs w:val="14"/>
          <w:color w:val="auto"/>
        </w:rPr>
        <w:t>costs or other liabilities arising from their acts or omissions in connection with the administration, amendment or termination of the Plan, to the maximum extent permitted by applicable law. This indemnity will cover all such liabilities, including judgments, settlements and costs of defense. The Company will provide this indemnity from its own funds to the extent that insurance does not cover such liabilities. This indemnity is in addition to and not in lieu of any other indemnity provided to such person by the Company.</w:t>
      </w:r>
    </w:p>
    <w:p>
      <w:pPr>
        <w:spacing w:after="0" w:line="140" w:lineRule="exact"/>
        <w:rPr>
          <w:rFonts w:ascii="Arial" w:cs="Arial" w:eastAsia="Arial" w:hAnsi="Arial"/>
          <w:sz w:val="14"/>
          <w:szCs w:val="14"/>
          <w:color w:val="auto"/>
        </w:rPr>
      </w:pPr>
    </w:p>
    <w:p>
      <w:pPr>
        <w:ind w:left="1000" w:hanging="469"/>
        <w:spacing w:after="0"/>
        <w:tabs>
          <w:tab w:leader="none" w:pos="1000"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Additional Information</w:t>
      </w:r>
      <w:r>
        <w:rPr>
          <w:rFonts w:ascii="Arial" w:cs="Arial" w:eastAsia="Arial" w:hAnsi="Arial"/>
          <w:sz w:val="15"/>
          <w:szCs w:val="15"/>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40" w:type="dxa"/>
            <w:vAlign w:val="bottom"/>
          </w:tcPr>
          <w:p>
            <w:pPr>
              <w:ind w:left="540"/>
              <w:spacing w:after="0"/>
              <w:rPr>
                <w:sz w:val="20"/>
                <w:szCs w:val="20"/>
                <w:color w:val="auto"/>
              </w:rPr>
            </w:pPr>
            <w:r>
              <w:rPr>
                <w:rFonts w:ascii="Arial" w:cs="Arial" w:eastAsia="Arial" w:hAnsi="Arial"/>
                <w:sz w:val="15"/>
                <w:szCs w:val="15"/>
                <w:b w:val="1"/>
                <w:bCs w:val="1"/>
                <w:color w:val="auto"/>
              </w:rPr>
              <w:t>Plan Name:</w:t>
            </w:r>
          </w:p>
        </w:tc>
        <w:tc>
          <w:tcPr>
            <w:tcW w:w="7920" w:type="dxa"/>
            <w:vAlign w:val="bottom"/>
          </w:tcPr>
          <w:p>
            <w:pPr>
              <w:ind w:left="2300"/>
              <w:spacing w:after="0"/>
              <w:rPr>
                <w:sz w:val="20"/>
                <w:szCs w:val="20"/>
                <w:color w:val="auto"/>
              </w:rPr>
            </w:pPr>
            <w:r>
              <w:rPr>
                <w:rFonts w:ascii="Arial" w:cs="Arial" w:eastAsia="Arial" w:hAnsi="Arial"/>
                <w:sz w:val="15"/>
                <w:szCs w:val="15"/>
                <w:color w:val="auto"/>
              </w:rPr>
              <w:t>Fluidigm Corporation Change of Control and Severance Plan</w:t>
            </w:r>
          </w:p>
        </w:tc>
      </w:tr>
      <w:tr>
        <w:trPr>
          <w:trHeight w:val="362"/>
        </w:trPr>
        <w:tc>
          <w:tcPr>
            <w:tcW w:w="3540" w:type="dxa"/>
            <w:vAlign w:val="bottom"/>
          </w:tcPr>
          <w:p>
            <w:pPr>
              <w:ind w:left="540"/>
              <w:spacing w:after="0"/>
              <w:rPr>
                <w:sz w:val="20"/>
                <w:szCs w:val="20"/>
                <w:color w:val="auto"/>
              </w:rPr>
            </w:pPr>
            <w:r>
              <w:rPr>
                <w:rFonts w:ascii="Arial" w:cs="Arial" w:eastAsia="Arial" w:hAnsi="Arial"/>
                <w:sz w:val="15"/>
                <w:szCs w:val="15"/>
                <w:b w:val="1"/>
                <w:bCs w:val="1"/>
                <w:color w:val="auto"/>
              </w:rPr>
              <w:t>Plan Sponsor:</w:t>
            </w:r>
          </w:p>
        </w:tc>
        <w:tc>
          <w:tcPr>
            <w:tcW w:w="7920" w:type="dxa"/>
            <w:vAlign w:val="bottom"/>
          </w:tcPr>
          <w:p>
            <w:pPr>
              <w:ind w:left="2300"/>
              <w:spacing w:after="0"/>
              <w:rPr>
                <w:sz w:val="20"/>
                <w:szCs w:val="20"/>
                <w:color w:val="auto"/>
              </w:rPr>
            </w:pPr>
            <w:r>
              <w:rPr>
                <w:rFonts w:ascii="Arial" w:cs="Arial" w:eastAsia="Arial" w:hAnsi="Arial"/>
                <w:sz w:val="15"/>
                <w:szCs w:val="15"/>
                <w:color w:val="auto"/>
              </w:rPr>
              <w:t>Fluidigm Corporation</w:t>
            </w:r>
          </w:p>
        </w:tc>
      </w:tr>
      <w:tr>
        <w:trPr>
          <w:trHeight w:val="175"/>
        </w:trPr>
        <w:tc>
          <w:tcPr>
            <w:tcW w:w="3540" w:type="dxa"/>
            <w:vAlign w:val="bottom"/>
          </w:tcPr>
          <w:p>
            <w:pPr>
              <w:spacing w:after="0"/>
              <w:rPr>
                <w:sz w:val="15"/>
                <w:szCs w:val="15"/>
                <w:color w:val="auto"/>
              </w:rPr>
            </w:pPr>
          </w:p>
        </w:tc>
        <w:tc>
          <w:tcPr>
            <w:tcW w:w="7920" w:type="dxa"/>
            <w:vAlign w:val="bottom"/>
          </w:tcPr>
          <w:p>
            <w:pPr>
              <w:ind w:left="2300"/>
              <w:spacing w:after="0"/>
              <w:rPr>
                <w:sz w:val="20"/>
                <w:szCs w:val="20"/>
                <w:color w:val="auto"/>
              </w:rPr>
            </w:pPr>
            <w:r>
              <w:rPr>
                <w:rFonts w:ascii="Arial" w:cs="Arial" w:eastAsia="Arial" w:hAnsi="Arial"/>
                <w:sz w:val="15"/>
                <w:szCs w:val="15"/>
                <w:color w:val="auto"/>
              </w:rPr>
              <w:t>c/o General Counsel</w:t>
            </w:r>
          </w:p>
        </w:tc>
      </w:tr>
      <w:tr>
        <w:trPr>
          <w:trHeight w:val="175"/>
        </w:trPr>
        <w:tc>
          <w:tcPr>
            <w:tcW w:w="3540" w:type="dxa"/>
            <w:vAlign w:val="bottom"/>
          </w:tcPr>
          <w:p>
            <w:pPr>
              <w:spacing w:after="0"/>
              <w:rPr>
                <w:sz w:val="15"/>
                <w:szCs w:val="15"/>
                <w:color w:val="auto"/>
              </w:rPr>
            </w:pPr>
          </w:p>
        </w:tc>
        <w:tc>
          <w:tcPr>
            <w:tcW w:w="7920" w:type="dxa"/>
            <w:vAlign w:val="bottom"/>
          </w:tcPr>
          <w:p>
            <w:pPr>
              <w:ind w:left="2300"/>
              <w:spacing w:after="0"/>
              <w:rPr>
                <w:sz w:val="20"/>
                <w:szCs w:val="20"/>
                <w:color w:val="auto"/>
              </w:rPr>
            </w:pPr>
            <w:r>
              <w:rPr>
                <w:rFonts w:ascii="Arial" w:cs="Arial" w:eastAsia="Arial" w:hAnsi="Arial"/>
                <w:sz w:val="15"/>
                <w:szCs w:val="15"/>
                <w:color w:val="auto"/>
              </w:rPr>
              <w:t>7000 Shoreline Court, Suite 100</w:t>
            </w:r>
          </w:p>
        </w:tc>
      </w:tr>
      <w:tr>
        <w:trPr>
          <w:trHeight w:val="184"/>
        </w:trPr>
        <w:tc>
          <w:tcPr>
            <w:tcW w:w="3540" w:type="dxa"/>
            <w:vAlign w:val="bottom"/>
          </w:tcPr>
          <w:p>
            <w:pPr>
              <w:spacing w:after="0"/>
              <w:rPr>
                <w:sz w:val="15"/>
                <w:szCs w:val="15"/>
                <w:color w:val="auto"/>
              </w:rPr>
            </w:pPr>
          </w:p>
        </w:tc>
        <w:tc>
          <w:tcPr>
            <w:tcW w:w="7920" w:type="dxa"/>
            <w:vAlign w:val="bottom"/>
          </w:tcPr>
          <w:p>
            <w:pPr>
              <w:ind w:left="2300"/>
              <w:spacing w:after="0"/>
              <w:rPr>
                <w:sz w:val="20"/>
                <w:szCs w:val="20"/>
                <w:color w:val="auto"/>
              </w:rPr>
            </w:pPr>
            <w:r>
              <w:rPr>
                <w:rFonts w:ascii="Arial" w:cs="Arial" w:eastAsia="Arial" w:hAnsi="Arial"/>
                <w:sz w:val="15"/>
                <w:szCs w:val="15"/>
                <w:color w:val="auto"/>
              </w:rPr>
              <w:t>South San Francisco, CA 94080</w:t>
            </w:r>
          </w:p>
        </w:tc>
      </w:tr>
      <w:tr>
        <w:trPr>
          <w:trHeight w:val="560"/>
        </w:trPr>
        <w:tc>
          <w:tcPr>
            <w:tcW w:w="3540" w:type="dxa"/>
            <w:vAlign w:val="bottom"/>
            <w:tcBorders>
              <w:bottom w:val="single" w:sz="8" w:color="auto"/>
            </w:tcBorders>
          </w:tcPr>
          <w:p>
            <w:pPr>
              <w:spacing w:after="0"/>
              <w:rPr>
                <w:sz w:val="24"/>
                <w:szCs w:val="24"/>
                <w:color w:val="auto"/>
              </w:rPr>
            </w:pPr>
          </w:p>
        </w:tc>
        <w:tc>
          <w:tcPr>
            <w:tcW w:w="7920" w:type="dxa"/>
            <w:vAlign w:val="bottom"/>
            <w:tcBorders>
              <w:bottom w:val="single" w:sz="8" w:color="auto"/>
            </w:tcBorders>
          </w:tcPr>
          <w:p>
            <w:pPr>
              <w:ind w:left="2120"/>
              <w:spacing w:after="0"/>
              <w:rPr>
                <w:sz w:val="20"/>
                <w:szCs w:val="20"/>
                <w:color w:val="auto"/>
              </w:rPr>
            </w:pPr>
            <w:r>
              <w:rPr>
                <w:rFonts w:ascii="Arial" w:cs="Arial" w:eastAsia="Arial" w:hAnsi="Arial"/>
                <w:sz w:val="15"/>
                <w:szCs w:val="15"/>
                <w:color w:val="auto"/>
              </w:rPr>
              <w:t>10</w:t>
            </w:r>
          </w:p>
        </w:tc>
      </w:tr>
    </w:tbl>
    <w:p>
      <w:pPr>
        <w:sectPr>
          <w:pgSz w:w="11900" w:h="16838" w:orient="portrait"/>
          <w:cols w:equalWidth="0" w:num="1">
            <w:col w:w="11460"/>
          </w:cols>
          <w:pgMar w:left="220" w:top="583" w:right="219" w:bottom="1440" w:gutter="0" w:footer="0" w:header="0"/>
        </w:sectPr>
      </w:pPr>
    </w:p>
    <w:bookmarkStart w:id="15" w:name="page16"/>
    <w:bookmarkEnd w:id="15"/>
    <w:p>
      <w:pPr>
        <w:ind w:left="540"/>
        <w:spacing w:after="0"/>
        <w:rPr>
          <w:sz w:val="20"/>
          <w:szCs w:val="20"/>
          <w:color w:val="auto"/>
        </w:rPr>
      </w:pPr>
      <w:r>
        <w:rPr>
          <w:rFonts w:ascii="Arial" w:cs="Arial" w:eastAsia="Arial" w:hAnsi="Arial"/>
          <w:sz w:val="12"/>
          <w:szCs w:val="12"/>
          <w:b w:val="1"/>
          <w:bCs w:val="1"/>
          <w:color w:val="auto"/>
        </w:rPr>
        <w:t>Identification Numbers: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 xml:space="preserve">EIN: </w:t>
      </w:r>
      <w:r>
        <w:rPr>
          <w:rFonts w:ascii="Arial" w:cs="Arial" w:eastAsia="Arial" w:hAnsi="Arial"/>
          <w:sz w:val="12"/>
          <w:szCs w:val="12"/>
          <w:color w:val="auto"/>
        </w:rPr>
        <w:t>77-0513190</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PLAN: </w:t>
      </w:r>
      <w:r>
        <w:rPr>
          <w:rFonts w:ascii="Arial" w:cs="Arial" w:eastAsia="Arial" w:hAnsi="Arial"/>
          <w:sz w:val="15"/>
          <w:szCs w:val="15"/>
          <w:color w:val="auto"/>
        </w:rPr>
        <w:t>502</w:t>
      </w:r>
    </w:p>
    <w:p>
      <w:pPr>
        <w:spacing w:after="0" w:line="186" w:lineRule="exact"/>
        <w:rPr>
          <w:sz w:val="20"/>
          <w:szCs w:val="20"/>
          <w:color w:val="auto"/>
        </w:rPr>
      </w:pPr>
    </w:p>
    <w:p>
      <w:pPr>
        <w:sectPr>
          <w:pgSz w:w="11900" w:h="16838" w:orient="portrait"/>
          <w:cols w:equalWidth="0" w:num="2">
            <w:col w:w="5120" w:space="720"/>
            <w:col w:w="5620"/>
          </w:cols>
          <w:pgMar w:left="220" w:top="583" w:right="219" w:bottom="1440" w:gutter="0" w:footer="0" w:header="0"/>
        </w:sectPr>
      </w:pPr>
    </w:p>
    <w:p>
      <w:pPr>
        <w:ind w:left="540"/>
        <w:spacing w:after="0"/>
        <w:rPr>
          <w:sz w:val="20"/>
          <w:szCs w:val="20"/>
          <w:color w:val="auto"/>
        </w:rPr>
      </w:pPr>
      <w:r>
        <w:rPr>
          <w:rFonts w:ascii="Arial" w:cs="Arial" w:eastAsia="Arial" w:hAnsi="Arial"/>
          <w:sz w:val="12"/>
          <w:szCs w:val="12"/>
          <w:b w:val="1"/>
          <w:bCs w:val="1"/>
          <w:color w:val="auto"/>
        </w:rPr>
        <w:t>Plan Year:</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Arial" w:cs="Arial" w:eastAsia="Arial" w:hAnsi="Arial"/>
          <w:sz w:val="12"/>
          <w:szCs w:val="12"/>
          <w:color w:val="auto"/>
        </w:rPr>
        <w:t>Company’s fiscal year</w:t>
      </w:r>
    </w:p>
    <w:p>
      <w:pPr>
        <w:spacing w:after="0" w:line="200" w:lineRule="exact"/>
        <w:rPr>
          <w:sz w:val="20"/>
          <w:szCs w:val="20"/>
          <w:color w:val="auto"/>
        </w:rPr>
      </w:pPr>
    </w:p>
    <w:p>
      <w:pPr>
        <w:sectPr>
          <w:pgSz w:w="11900" w:h="16838" w:orient="portrait"/>
          <w:cols w:equalWidth="0" w:num="2">
            <w:col w:w="5120" w:space="720"/>
            <w:col w:w="5620"/>
          </w:cols>
          <w:pgMar w:left="220" w:top="583" w:right="219" w:bottom="1440" w:gutter="0" w:footer="0" w:header="0"/>
          <w:type w:val="continuous"/>
        </w:sectPr>
      </w:pPr>
    </w:p>
    <w:p>
      <w:pPr>
        <w:spacing w:after="0" w:line="2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Plan Administrator: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Fluidigm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Attention: </w:t>
      </w:r>
      <w:r>
        <w:rPr>
          <w:rFonts w:ascii="Arial" w:cs="Arial" w:eastAsia="Arial" w:hAnsi="Arial"/>
          <w:sz w:val="15"/>
          <w:szCs w:val="15"/>
          <w:color w:val="auto"/>
        </w:rPr>
        <w:t>Administrator of the Fluidigm</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Corporation Change of Control and Severance Plan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7000 Shoreline Court, Suite 100</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South San Francisco, CA 94080</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650-266-6000</w:t>
      </w:r>
    </w:p>
    <w:p>
      <w:pPr>
        <w:spacing w:after="0" w:line="186" w:lineRule="exact"/>
        <w:rPr>
          <w:sz w:val="20"/>
          <w:szCs w:val="20"/>
          <w:color w:val="auto"/>
        </w:rPr>
      </w:pPr>
    </w:p>
    <w:p>
      <w:pPr>
        <w:sectPr>
          <w:pgSz w:w="11900" w:h="16838" w:orient="portrait"/>
          <w:cols w:equalWidth="0" w:num="2">
            <w:col w:w="5120" w:space="720"/>
            <w:col w:w="5620"/>
          </w:cols>
          <w:pgMar w:left="220" w:top="583" w:right="219" w:bottom="1440" w:gutter="0" w:footer="0" w:header="0"/>
          <w:type w:val="continuous"/>
        </w:sectPr>
      </w:pPr>
    </w:p>
    <w:p>
      <w:pPr>
        <w:ind w:left="540"/>
        <w:spacing w:after="0"/>
        <w:rPr>
          <w:sz w:val="20"/>
          <w:szCs w:val="20"/>
          <w:color w:val="auto"/>
        </w:rPr>
      </w:pPr>
      <w:r>
        <w:rPr>
          <w:rFonts w:ascii="Arial" w:cs="Arial" w:eastAsia="Arial" w:hAnsi="Arial"/>
          <w:sz w:val="12"/>
          <w:szCs w:val="12"/>
          <w:b w:val="1"/>
          <w:bCs w:val="1"/>
          <w:color w:val="auto"/>
        </w:rPr>
        <w:t>Agent for Service of</w:t>
      </w:r>
    </w:p>
    <w:p>
      <w:pPr>
        <w:spacing w:after="0" w:line="50" w:lineRule="exact"/>
        <w:rPr>
          <w:sz w:val="20"/>
          <w:szCs w:val="20"/>
          <w:color w:val="auto"/>
        </w:rPr>
      </w:pPr>
    </w:p>
    <w:p>
      <w:pPr>
        <w:ind w:left="540"/>
        <w:spacing w:after="0"/>
        <w:rPr>
          <w:sz w:val="20"/>
          <w:szCs w:val="20"/>
          <w:color w:val="auto"/>
        </w:rPr>
      </w:pPr>
      <w:r>
        <w:rPr>
          <w:rFonts w:ascii="Arial" w:cs="Arial" w:eastAsia="Arial" w:hAnsi="Arial"/>
          <w:sz w:val="15"/>
          <w:szCs w:val="15"/>
          <w:b w:val="1"/>
          <w:bCs w:val="1"/>
          <w:color w:val="auto"/>
        </w:rPr>
        <w:t>Legal Process: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Fluidigm Corporation</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Attention: </w:t>
      </w:r>
      <w:r>
        <w:rPr>
          <w:rFonts w:ascii="Arial" w:cs="Arial" w:eastAsia="Arial" w:hAnsi="Arial"/>
          <w:sz w:val="15"/>
          <w:szCs w:val="15"/>
          <w:color w:val="auto"/>
        </w:rPr>
        <w:t>General Counsel</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Change of Control and Severance Plan</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7000 Shoreline Court, Suite 100</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South San Francisco, CA 94080</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650-266-6000</w:t>
      </w:r>
    </w:p>
    <w:p>
      <w:pPr>
        <w:spacing w:after="0" w:line="190" w:lineRule="exact"/>
        <w:rPr>
          <w:sz w:val="20"/>
          <w:szCs w:val="20"/>
          <w:color w:val="auto"/>
        </w:rPr>
      </w:pPr>
    </w:p>
    <w:p>
      <w:pPr>
        <w:sectPr>
          <w:pgSz w:w="11900" w:h="16838" w:orient="portrait"/>
          <w:cols w:equalWidth="0" w:num="2">
            <w:col w:w="5120" w:space="720"/>
            <w:col w:w="5620"/>
          </w:cols>
          <w:pgMar w:left="220" w:top="583" w:right="219" w:bottom="1440" w:gutter="0" w:footer="0" w:header="0"/>
          <w:type w:val="continuous"/>
        </w:sectPr>
      </w:pPr>
    </w:p>
    <w:p>
      <w:pPr>
        <w:ind w:left="5840"/>
        <w:spacing w:after="0"/>
        <w:rPr>
          <w:sz w:val="20"/>
          <w:szCs w:val="20"/>
          <w:color w:val="auto"/>
        </w:rPr>
      </w:pPr>
      <w:r>
        <w:rPr>
          <w:rFonts w:ascii="Arial" w:cs="Arial" w:eastAsia="Arial" w:hAnsi="Arial"/>
          <w:sz w:val="12"/>
          <w:szCs w:val="12"/>
          <w:color w:val="auto"/>
        </w:rPr>
        <w:t>Service of process also may be made upon the Administrator.</w:t>
      </w:r>
    </w:p>
    <w:p>
      <w:pPr>
        <w:sectPr>
          <w:pgSz w:w="11900" w:h="16838" w:orient="portrait"/>
          <w:cols w:equalWidth="0" w:num="1">
            <w:col w:w="11460"/>
          </w:cols>
          <w:pgMar w:left="220" w:top="583" w:right="219" w:bottom="1440" w:gutter="0" w:footer="0" w:header="0"/>
          <w:type w:val="continuous"/>
        </w:sectPr>
      </w:pPr>
    </w:p>
    <w:p>
      <w:pPr>
        <w:spacing w:after="0" w:line="22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Type of Plan</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Severance Plan/Employee Welfare Benefit Plan</w:t>
      </w:r>
    </w:p>
    <w:p>
      <w:pPr>
        <w:spacing w:after="0" w:line="200" w:lineRule="exact"/>
        <w:rPr>
          <w:sz w:val="20"/>
          <w:szCs w:val="20"/>
          <w:color w:val="auto"/>
        </w:rPr>
      </w:pPr>
    </w:p>
    <w:p>
      <w:pPr>
        <w:sectPr>
          <w:pgSz w:w="11900" w:h="16838" w:orient="portrait"/>
          <w:cols w:equalWidth="0" w:num="2">
            <w:col w:w="5120" w:space="720"/>
            <w:col w:w="5620"/>
          </w:cols>
          <w:pgMar w:left="220" w:top="583" w:right="219" w:bottom="1440" w:gutter="0" w:footer="0" w:header="0"/>
          <w:type w:val="continuous"/>
        </w:sectPr>
      </w:pPr>
    </w:p>
    <w:p>
      <w:pPr>
        <w:spacing w:after="0" w:line="2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Plan Costs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The cost of the Plan is paid by the Employer.</w:t>
      </w:r>
    </w:p>
    <w:p>
      <w:pPr>
        <w:spacing w:after="0" w:line="200" w:lineRule="exact"/>
        <w:rPr>
          <w:sz w:val="20"/>
          <w:szCs w:val="20"/>
          <w:color w:val="auto"/>
        </w:rPr>
      </w:pPr>
    </w:p>
    <w:p>
      <w:pPr>
        <w:sectPr>
          <w:pgSz w:w="11900" w:h="16838" w:orient="portrait"/>
          <w:cols w:equalWidth="0" w:num="2">
            <w:col w:w="5120" w:space="720"/>
            <w:col w:w="5620"/>
          </w:cols>
          <w:pgMar w:left="220" w:top="583" w:right="219" w:bottom="1440" w:gutter="0" w:footer="0" w:header="0"/>
          <w:type w:val="continuous"/>
        </w:sectPr>
      </w:pPr>
    </w:p>
    <w:p>
      <w:pPr>
        <w:spacing w:after="0" w:line="7" w:lineRule="exact"/>
        <w:rPr>
          <w:sz w:val="20"/>
          <w:szCs w:val="20"/>
          <w:color w:val="auto"/>
        </w:rPr>
      </w:pPr>
    </w:p>
    <w:p>
      <w:pPr>
        <w:ind w:left="1000" w:hanging="469"/>
        <w:spacing w:after="0"/>
        <w:tabs>
          <w:tab w:leader="none" w:pos="1000" w:val="left"/>
        </w:tabs>
        <w:numPr>
          <w:ilvl w:val="0"/>
          <w:numId w:val="16"/>
        </w:numPr>
        <w:rPr>
          <w:rFonts w:ascii="Arial" w:cs="Arial" w:eastAsia="Arial" w:hAnsi="Arial"/>
          <w:sz w:val="15"/>
          <w:szCs w:val="15"/>
          <w:color w:val="auto"/>
        </w:rPr>
      </w:pPr>
      <w:r>
        <w:rPr>
          <w:rFonts w:ascii="Arial" w:cs="Arial" w:eastAsia="Arial" w:hAnsi="Arial"/>
          <w:sz w:val="15"/>
          <w:szCs w:val="15"/>
          <w:b w:val="1"/>
          <w:bCs w:val="1"/>
          <w:color w:val="auto"/>
        </w:rPr>
        <w:t>Statement of ERISA Rights</w:t>
      </w:r>
      <w:r>
        <w:rPr>
          <w:rFonts w:ascii="Arial" w:cs="Arial" w:eastAsia="Arial" w:hAnsi="Arial"/>
          <w:sz w:val="15"/>
          <w:szCs w:val="15"/>
          <w:color w:val="auto"/>
        </w:rPr>
        <w:t>.</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a Participant under the Plan, you have certain rights and protections under ERISA:</w:t>
      </w:r>
    </w:p>
    <w:p>
      <w:pPr>
        <w:spacing w:after="0" w:line="177" w:lineRule="exact"/>
        <w:rPr>
          <w:sz w:val="20"/>
          <w:szCs w:val="20"/>
          <w:color w:val="auto"/>
        </w:rPr>
      </w:pPr>
    </w:p>
    <w:p>
      <w:pPr>
        <w:ind w:left="540" w:firstLine="516"/>
        <w:spacing w:after="0" w:line="258" w:lineRule="auto"/>
        <w:tabs>
          <w:tab w:leader="none" w:pos="1726" w:val="left"/>
        </w:tabs>
        <w:numPr>
          <w:ilvl w:val="0"/>
          <w:numId w:val="17"/>
        </w:numPr>
        <w:rPr>
          <w:rFonts w:ascii="Arial" w:cs="Arial" w:eastAsia="Arial" w:hAnsi="Arial"/>
          <w:sz w:val="15"/>
          <w:szCs w:val="15"/>
          <w:color w:val="auto"/>
        </w:rPr>
      </w:pPr>
      <w:r>
        <w:rPr>
          <w:rFonts w:ascii="Arial" w:cs="Arial" w:eastAsia="Arial" w:hAnsi="Arial"/>
          <w:sz w:val="15"/>
          <w:szCs w:val="15"/>
          <w:color w:val="auto"/>
        </w:rPr>
        <w:t>You may examine (without charge) all Plan documents, including any amendments and copies of all documents filed with the U.S. Department of Labor. These documents are available for your review in the Company’s Human Resources Department.</w:t>
      </w:r>
    </w:p>
    <w:p>
      <w:pPr>
        <w:spacing w:after="0" w:line="153" w:lineRule="exact"/>
        <w:rPr>
          <w:rFonts w:ascii="Arial" w:cs="Arial" w:eastAsia="Arial" w:hAnsi="Arial"/>
          <w:sz w:val="15"/>
          <w:szCs w:val="15"/>
          <w:color w:val="auto"/>
        </w:rPr>
      </w:pPr>
    </w:p>
    <w:p>
      <w:pPr>
        <w:ind w:left="1540" w:hanging="484"/>
        <w:spacing w:after="0"/>
        <w:tabs>
          <w:tab w:leader="none" w:pos="15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You may obtain copies of all Plan documents and other Plan information upon written request to the Administrator. A reasonable charge may be made for such copies.</w:t>
      </w:r>
    </w:p>
    <w:p>
      <w:pPr>
        <w:spacing w:after="0" w:line="211" w:lineRule="exact"/>
        <w:rPr>
          <w:sz w:val="20"/>
          <w:szCs w:val="20"/>
          <w:color w:val="auto"/>
        </w:rPr>
      </w:pPr>
    </w:p>
    <w:p>
      <w:pPr>
        <w:jc w:val="both"/>
        <w:ind w:firstLine="524"/>
        <w:spacing w:after="0" w:line="246" w:lineRule="auto"/>
        <w:rPr>
          <w:sz w:val="20"/>
          <w:szCs w:val="20"/>
          <w:color w:val="auto"/>
        </w:rPr>
      </w:pPr>
      <w:r>
        <w:rPr>
          <w:rFonts w:ascii="Arial" w:cs="Arial" w:eastAsia="Arial" w:hAnsi="Arial"/>
          <w:sz w:val="15"/>
          <w:szCs w:val="15"/>
          <w:color w:val="auto"/>
        </w:rPr>
        <w:t>In addition to creating rights for Participants, ERISA imposes duties upon the people who are responsible for the operation of the Plan. The people who operate the Plan (called “fiduciaries”) have a duty to do so prudently and in the interests of you and the other Participants. No one, including the Company or any other person, may fire you or otherwise discriminate against you in any way to prevent you from obtaining a benefit under the Plan or exercising your rights under ERISA. If your claim for payments or benefits under the Plan is denied, in whole or in part, you must receive a written explanation of the reason for the denial. You have the right to have the denial of your claim reviewed. (The claim review procedure is explained in Section 16 above.)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3" w:right="219" w:bottom="1440" w:gutter="0" w:footer="0" w:header="0"/>
          <w:type w:val="continuous"/>
        </w:sectPr>
      </w:pPr>
    </w:p>
    <w:bookmarkStart w:id="16" w:name="page17"/>
    <w:bookmarkEnd w:id="16"/>
    <w:p>
      <w:pPr>
        <w:jc w:val="both"/>
        <w:ind w:firstLine="524"/>
        <w:spacing w:after="0" w:line="271" w:lineRule="auto"/>
        <w:rPr>
          <w:sz w:val="20"/>
          <w:szCs w:val="20"/>
          <w:color w:val="auto"/>
        </w:rPr>
      </w:pPr>
      <w:r>
        <w:rPr>
          <w:rFonts w:ascii="Arial" w:cs="Arial" w:eastAsia="Arial" w:hAnsi="Arial"/>
          <w:sz w:val="14"/>
          <w:szCs w:val="14"/>
          <w:color w:val="auto"/>
        </w:rPr>
        <w:t>Under ERISA, there are steps you can take to enforce the above rights. For example, if you request materials and do not receive them within 30 days, you may file suit in a federal court. In such a case, the court may require the Administrator to provide the materials and to pay you up to $110 a day until you receive the materials, unless the materials were not sent due to reasons beyond the control of the Administrator. If you have a claim which is denied or ignored, in whole or in part, you may file suit in a federal court. If it should happen that you are discriminated against for asserting your rights, you may seek assistance from the U.S. Department of Labor, or you may file suit in a federal court.</w:t>
      </w:r>
    </w:p>
    <w:p>
      <w:pPr>
        <w:spacing w:after="0" w:line="146" w:lineRule="exact"/>
        <w:rPr>
          <w:sz w:val="20"/>
          <w:szCs w:val="20"/>
          <w:color w:val="auto"/>
        </w:rPr>
      </w:pPr>
    </w:p>
    <w:p>
      <w:pPr>
        <w:jc w:val="both"/>
        <w:ind w:firstLine="524"/>
        <w:spacing w:after="0" w:line="258" w:lineRule="auto"/>
        <w:rPr>
          <w:sz w:val="20"/>
          <w:szCs w:val="20"/>
          <w:color w:val="auto"/>
        </w:rPr>
      </w:pPr>
      <w:r>
        <w:rPr>
          <w:rFonts w:ascii="Arial" w:cs="Arial" w:eastAsia="Arial" w:hAnsi="Arial"/>
          <w:sz w:val="15"/>
          <w:szCs w:val="15"/>
          <w:color w:val="auto"/>
        </w:rPr>
        <w:t>In any case, the court will decide who will pay court costs and legal fees. If you are successful, the court may order the person you have sued to pay these costs and fees. If you lose, the court may order you to pay these costs and fees, for example, if it finds that your claim is frivolous.</w:t>
      </w:r>
    </w:p>
    <w:p>
      <w:pPr>
        <w:spacing w:after="0" w:line="153" w:lineRule="exact"/>
        <w:rPr>
          <w:sz w:val="20"/>
          <w:szCs w:val="20"/>
          <w:color w:val="auto"/>
        </w:rPr>
      </w:pPr>
    </w:p>
    <w:p>
      <w:pPr>
        <w:jc w:val="both"/>
        <w:ind w:firstLine="524"/>
        <w:spacing w:after="0" w:line="330" w:lineRule="auto"/>
        <w:rPr>
          <w:sz w:val="20"/>
          <w:szCs w:val="20"/>
          <w:color w:val="auto"/>
        </w:rPr>
      </w:pPr>
      <w:r>
        <w:rPr>
          <w:rFonts w:ascii="Arial" w:cs="Arial" w:eastAsia="Arial" w:hAnsi="Arial"/>
          <w:sz w:val="12"/>
          <w:szCs w:val="12"/>
          <w:color w:val="auto"/>
        </w:rPr>
        <w:t>If you have any questions regarding the Plan, please contact the Administrator. If you have any questions about this statement or about your rights under ERISA, you may contact the nearest area office of the Employee Benefits Security Administration (formerly the Pension and Welfare Benefits Administration), U.S. Department of Labor, listed in your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7" w:right="219" w:bottom="1440" w:gutter="0" w:footer="0" w:header="0"/>
        </w:sectPr>
      </w:pPr>
    </w:p>
    <w:bookmarkStart w:id="17" w:name="page18"/>
    <w:bookmarkEnd w:id="17"/>
    <w:p>
      <w:pPr>
        <w:jc w:val="right"/>
        <w:spacing w:after="0"/>
        <w:rPr>
          <w:sz w:val="20"/>
          <w:szCs w:val="20"/>
          <w:color w:val="auto"/>
        </w:rPr>
      </w:pPr>
      <w:r>
        <w:rPr>
          <w:rFonts w:ascii="Arial" w:cs="Arial" w:eastAsia="Arial" w:hAnsi="Arial"/>
          <w:sz w:val="15"/>
          <w:szCs w:val="15"/>
          <w:b w:val="1"/>
          <w:bCs w:val="1"/>
          <w:color w:val="auto"/>
        </w:rPr>
        <w:t>Sample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Appendix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Fluidigm Corporation Change of Control and Severance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Participation Agreement</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Fluidigm Corporation (the “</w:t>
      </w:r>
      <w:r>
        <w:rPr>
          <w:rFonts w:ascii="Arial" w:cs="Arial" w:eastAsia="Arial" w:hAnsi="Arial"/>
          <w:sz w:val="15"/>
          <w:szCs w:val="15"/>
          <w:b w:val="1"/>
          <w:bCs w:val="1"/>
          <w:color w:val="auto"/>
        </w:rPr>
        <w:t>Company</w:t>
      </w:r>
      <w:r>
        <w:rPr>
          <w:rFonts w:ascii="Arial" w:cs="Arial" w:eastAsia="Arial" w:hAnsi="Arial"/>
          <w:sz w:val="15"/>
          <w:szCs w:val="15"/>
          <w:color w:val="auto"/>
        </w:rPr>
        <w:t>”) is pleased to inform you, Chris Linthwaite, that you have been selected to participate in the Company’s Change of Control and Severance Plan (the “</w:t>
      </w:r>
      <w:r>
        <w:rPr>
          <w:rFonts w:ascii="Arial" w:cs="Arial" w:eastAsia="Arial" w:hAnsi="Arial"/>
          <w:sz w:val="15"/>
          <w:szCs w:val="15"/>
          <w:b w:val="1"/>
          <w:bCs w:val="1"/>
          <w:color w:val="auto"/>
        </w:rPr>
        <w:t>Plan</w:t>
      </w:r>
      <w:r>
        <w:rPr>
          <w:rFonts w:ascii="Arial" w:cs="Arial" w:eastAsia="Arial" w:hAnsi="Arial"/>
          <w:sz w:val="15"/>
          <w:szCs w:val="15"/>
          <w:color w:val="auto"/>
        </w:rPr>
        <w:t>”) as a Participant.</w:t>
      </w:r>
    </w:p>
    <w:p>
      <w:pPr>
        <w:spacing w:after="0" w:line="149"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A copy of the Plan was delivered to you with this Participation Agreement. Your participation in the Plan is subject to all of the terms and conditions of the Plan. The capitalized terms used but not defined herein will have the meanings ascribed to them in the Plan.</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In order to actually become a participant in the Plan, you must complete and sign this Participation Agreement.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Definition of “Good Reason”</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color w:val="auto"/>
        </w:rPr>
        <w:t xml:space="preserve">“Good Reason” </w:t>
      </w:r>
      <w:r>
        <w:rPr>
          <w:rFonts w:ascii="Arial" w:cs="Arial" w:eastAsia="Arial" w:hAnsi="Arial"/>
          <w:sz w:val="14"/>
          <w:szCs w:val="14"/>
          <w:color w:val="auto"/>
        </w:rPr>
        <w:t>means the occurrence of one or more of the following events effected without your prior consent, provided you terminate your employment with the Company within one (1) year</w:t>
      </w:r>
      <w:r>
        <w:rPr>
          <w:rFonts w:ascii="Arial" w:cs="Arial" w:eastAsia="Arial" w:hAnsi="Arial"/>
          <w:sz w:val="14"/>
          <w:szCs w:val="14"/>
          <w:b w:val="1"/>
          <w:bCs w:val="1"/>
          <w:color w:val="auto"/>
        </w:rPr>
        <w:t xml:space="preserve"> </w:t>
      </w:r>
      <w:r>
        <w:rPr>
          <w:rFonts w:ascii="Arial" w:cs="Arial" w:eastAsia="Arial" w:hAnsi="Arial"/>
          <w:sz w:val="14"/>
          <w:szCs w:val="14"/>
          <w:color w:val="auto"/>
        </w:rPr>
        <w:t>following the initial existence of the “Good Reason” condition (discussed below): (i) the assignment to you of any duties or the reduction of your then-current duties, either of which results in a material diminution in your then-current position or responsibilities with the Company; (ii) a material reduction by the Company in your then-current base salary; (iii) a material change in the geographic location at which you must perform services (for purposes of this Participation Agreement, your relocation to a facility or a location less than 25 miles from your then-present location shall not be considered a material change in geographic location); or (iv) any material breach by the Company of any material provision of this Participation Agreement. You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Non-COC Involuntary 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If, outside of the Change of Control Period, you incur a Non-COC Involuntary Termination, then subject to the terms and conditions of the Plan, you will receive:</w:t>
      </w:r>
    </w:p>
    <w:p>
      <w:pPr>
        <w:spacing w:after="0" w:line="173" w:lineRule="exact"/>
        <w:rPr>
          <w:sz w:val="20"/>
          <w:szCs w:val="20"/>
          <w:color w:val="auto"/>
        </w:rPr>
      </w:pPr>
    </w:p>
    <w:p>
      <w:pPr>
        <w:ind w:firstLine="531"/>
        <w:spacing w:after="0" w:line="264" w:lineRule="auto"/>
        <w:tabs>
          <w:tab w:leader="none" w:pos="1044"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Cash Severance Benefits</w:t>
      </w:r>
      <w:r>
        <w:rPr>
          <w:rFonts w:ascii="Arial" w:cs="Arial" w:eastAsia="Arial" w:hAnsi="Arial"/>
          <w:sz w:val="15"/>
          <w:szCs w:val="15"/>
          <w:color w:val="auto"/>
        </w:rPr>
        <w:t>. Continued payments of [___]% of your base salary in effect as of the date of your Non-COC Involuntary Termination paid in equal installments over a</w:t>
      </w:r>
      <w:r>
        <w:rPr>
          <w:rFonts w:ascii="Arial" w:cs="Arial" w:eastAsia="Arial" w:hAnsi="Arial"/>
          <w:sz w:val="15"/>
          <w:szCs w:val="15"/>
          <w:b w:val="1"/>
          <w:bCs w:val="1"/>
          <w:color w:val="auto"/>
        </w:rPr>
        <w:t xml:space="preserve"> </w:t>
      </w:r>
      <w:r>
        <w:rPr>
          <w:rFonts w:ascii="Arial" w:cs="Arial" w:eastAsia="Arial" w:hAnsi="Arial"/>
          <w:sz w:val="15"/>
          <w:szCs w:val="15"/>
          <w:color w:val="auto"/>
        </w:rPr>
        <w:t>period of [___] months following your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336550</wp:posOffset>
            </wp:positionV>
            <wp:extent cx="727265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3" w:right="219" w:bottom="1440" w:gutter="0" w:footer="0" w:header="0"/>
        </w:sectPr>
      </w:pPr>
    </w:p>
    <w:bookmarkStart w:id="18" w:name="page19"/>
    <w:bookmarkEnd w:id="18"/>
    <w:p>
      <w:pPr>
        <w:ind w:left="1200" w:hanging="669"/>
        <w:spacing w:after="0"/>
        <w:tabs>
          <w:tab w:leader="none" w:pos="1200" w:val="left"/>
        </w:tabs>
        <w:numPr>
          <w:ilvl w:val="0"/>
          <w:numId w:val="19"/>
        </w:numPr>
        <w:rPr>
          <w:rFonts w:ascii="Arial" w:cs="Arial" w:eastAsia="Arial" w:hAnsi="Arial"/>
          <w:sz w:val="12"/>
          <w:szCs w:val="12"/>
          <w:color w:val="auto"/>
        </w:rPr>
      </w:pPr>
      <w:r>
        <w:rPr>
          <w:rFonts w:ascii="Arial" w:cs="Arial" w:eastAsia="Arial" w:hAnsi="Arial"/>
          <w:sz w:val="12"/>
          <w:szCs w:val="12"/>
          <w:b w:val="1"/>
          <w:bCs w:val="1"/>
          <w:color w:val="auto"/>
        </w:rPr>
        <w:t>Continued Medical Benefits</w:t>
      </w:r>
      <w:r>
        <w:rPr>
          <w:rFonts w:ascii="Arial" w:cs="Arial" w:eastAsia="Arial" w:hAnsi="Arial"/>
          <w:sz w:val="12"/>
          <w:szCs w:val="12"/>
          <w:color w:val="auto"/>
        </w:rPr>
        <w:t>. Your reimbursement of continued health coverage under COBRA will be provided for a period of 12 months following your termination of</w:t>
      </w:r>
    </w:p>
    <w:p>
      <w:pPr>
        <w:spacing w:after="0" w:line="49"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employment.</w:t>
      </w:r>
    </w:p>
    <w:p>
      <w:pPr>
        <w:spacing w:after="0" w:line="163" w:lineRule="exact"/>
        <w:rPr>
          <w:rFonts w:ascii="Arial" w:cs="Arial" w:eastAsia="Arial" w:hAnsi="Arial"/>
          <w:sz w:val="12"/>
          <w:szCs w:val="12"/>
          <w:color w:val="auto"/>
        </w:rPr>
      </w:pPr>
    </w:p>
    <w:p>
      <w:pPr>
        <w:ind w:left="1040" w:hanging="509"/>
        <w:spacing w:after="0"/>
        <w:tabs>
          <w:tab w:leader="none" w:pos="1040" w:val="left"/>
        </w:tabs>
        <w:numPr>
          <w:ilvl w:val="0"/>
          <w:numId w:val="19"/>
        </w:numPr>
        <w:rPr>
          <w:rFonts w:ascii="Arial" w:cs="Arial" w:eastAsia="Arial" w:hAnsi="Arial"/>
          <w:sz w:val="15"/>
          <w:szCs w:val="15"/>
          <w:color w:val="auto"/>
        </w:rPr>
      </w:pPr>
      <w:r>
        <w:rPr>
          <w:rFonts w:ascii="Arial" w:cs="Arial" w:eastAsia="Arial" w:hAnsi="Arial"/>
          <w:sz w:val="15"/>
          <w:szCs w:val="15"/>
          <w:b w:val="1"/>
          <w:bCs w:val="1"/>
          <w:color w:val="auto"/>
        </w:rPr>
        <w:t>Outplacement Services</w:t>
      </w:r>
      <w:r>
        <w:rPr>
          <w:rFonts w:ascii="Arial" w:cs="Arial" w:eastAsia="Arial" w:hAnsi="Arial"/>
          <w:sz w:val="15"/>
          <w:szCs w:val="15"/>
          <w:color w:val="auto"/>
        </w:rPr>
        <w:t>. Outplacement services as described in Section 4.3 of the Plan.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COC Involuntary Termination</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If, during the Change of Control Period, you incur a COC Involuntary Termination, then subject to the terms and conditions of the Plan, you will receive:</w:t>
      </w:r>
    </w:p>
    <w:p>
      <w:pPr>
        <w:spacing w:after="0" w:line="173" w:lineRule="exact"/>
        <w:rPr>
          <w:sz w:val="20"/>
          <w:szCs w:val="20"/>
          <w:color w:val="auto"/>
        </w:rPr>
      </w:pPr>
    </w:p>
    <w:p>
      <w:pPr>
        <w:jc w:val="both"/>
        <w:ind w:firstLine="531"/>
        <w:spacing w:after="0" w:line="270" w:lineRule="auto"/>
        <w:tabs>
          <w:tab w:leader="none" w:pos="1033" w:val="left"/>
        </w:tabs>
        <w:numPr>
          <w:ilvl w:val="0"/>
          <w:numId w:val="20"/>
        </w:numPr>
        <w:rPr>
          <w:rFonts w:ascii="Arial" w:cs="Arial" w:eastAsia="Arial" w:hAnsi="Arial"/>
          <w:sz w:val="14"/>
          <w:szCs w:val="14"/>
          <w:color w:val="auto"/>
        </w:rPr>
      </w:pPr>
      <w:r>
        <w:rPr>
          <w:rFonts w:ascii="Arial" w:cs="Arial" w:eastAsia="Arial" w:hAnsi="Arial"/>
          <w:sz w:val="14"/>
          <w:szCs w:val="14"/>
          <w:b w:val="1"/>
          <w:bCs w:val="1"/>
          <w:color w:val="auto"/>
        </w:rPr>
        <w:t>Cash Severance Benefits</w:t>
      </w:r>
      <w:r>
        <w:rPr>
          <w:rFonts w:ascii="Arial" w:cs="Arial" w:eastAsia="Arial" w:hAnsi="Arial"/>
          <w:sz w:val="14"/>
          <w:szCs w:val="14"/>
          <w:color w:val="auto"/>
        </w:rPr>
        <w:t>. A lump-sum payment equal to [____]% of the sum of (x) your annual base salary (as in effect immediately prior to the Change of Control or your COC</w:t>
      </w:r>
      <w:r>
        <w:rPr>
          <w:rFonts w:ascii="Arial" w:cs="Arial" w:eastAsia="Arial" w:hAnsi="Arial"/>
          <w:sz w:val="14"/>
          <w:szCs w:val="14"/>
          <w:b w:val="1"/>
          <w:bCs w:val="1"/>
          <w:color w:val="auto"/>
        </w:rPr>
        <w:t xml:space="preserve"> </w:t>
      </w:r>
      <w:r>
        <w:rPr>
          <w:rFonts w:ascii="Arial" w:cs="Arial" w:eastAsia="Arial" w:hAnsi="Arial"/>
          <w:sz w:val="14"/>
          <w:szCs w:val="14"/>
          <w:color w:val="auto"/>
        </w:rPr>
        <w:t>Involuntary Termination, whichever is greater), plus (y) the greater of (A) your annual target bonus (as in effect immediately prior to the Change of Control or your COC Involuntary Termination, whichever is greater) or (B) the average of the annual bonuses actually paid to you for the 3 fiscal years preceding the year in which your COC Involuntary Termination occurs. For the avoidance of doubt, if you incurred a termination prior to a Change of Control that qualifies as a COC Involuntary Termination, then you will be entitled to a lump-sum payment of the amount calculated under the preceding sentence, less amounts already paid as cash Severance Benefits for a Non-COC Involuntary Termination.</w:t>
      </w:r>
    </w:p>
    <w:p>
      <w:pPr>
        <w:spacing w:after="0" w:line="142" w:lineRule="exact"/>
        <w:rPr>
          <w:rFonts w:ascii="Arial" w:cs="Arial" w:eastAsia="Arial" w:hAnsi="Arial"/>
          <w:sz w:val="14"/>
          <w:szCs w:val="14"/>
          <w:color w:val="auto"/>
        </w:rPr>
      </w:pPr>
    </w:p>
    <w:p>
      <w:pPr>
        <w:ind w:left="1140" w:hanging="609"/>
        <w:spacing w:after="0"/>
        <w:tabs>
          <w:tab w:leader="none" w:pos="1140" w:val="left"/>
        </w:tabs>
        <w:numPr>
          <w:ilvl w:val="0"/>
          <w:numId w:val="20"/>
        </w:numPr>
        <w:rPr>
          <w:rFonts w:ascii="Arial" w:cs="Arial" w:eastAsia="Arial" w:hAnsi="Arial"/>
          <w:sz w:val="12"/>
          <w:szCs w:val="12"/>
          <w:color w:val="auto"/>
        </w:rPr>
      </w:pPr>
      <w:r>
        <w:rPr>
          <w:rFonts w:ascii="Arial" w:cs="Arial" w:eastAsia="Arial" w:hAnsi="Arial"/>
          <w:sz w:val="12"/>
          <w:szCs w:val="12"/>
          <w:b w:val="1"/>
          <w:bCs w:val="1"/>
          <w:color w:val="auto"/>
        </w:rPr>
        <w:t>Continued Medical Benefits</w:t>
      </w:r>
      <w:r>
        <w:rPr>
          <w:rFonts w:ascii="Arial" w:cs="Arial" w:eastAsia="Arial" w:hAnsi="Arial"/>
          <w:sz w:val="12"/>
          <w:szCs w:val="12"/>
          <w:color w:val="auto"/>
        </w:rPr>
        <w:t>. Your reimbursement of continued health coverage under COBRA will be provided for a period of [___] months following your termination of</w:t>
      </w:r>
    </w:p>
    <w:p>
      <w:pPr>
        <w:spacing w:after="0" w:line="49"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5"/>
          <w:szCs w:val="15"/>
          <w:color w:val="auto"/>
        </w:rPr>
        <w:t>employment.</w:t>
      </w:r>
    </w:p>
    <w:p>
      <w:pPr>
        <w:spacing w:after="0" w:line="163" w:lineRule="exact"/>
        <w:rPr>
          <w:rFonts w:ascii="Arial" w:cs="Arial" w:eastAsia="Arial" w:hAnsi="Arial"/>
          <w:sz w:val="12"/>
          <w:szCs w:val="12"/>
          <w:color w:val="auto"/>
        </w:rPr>
      </w:pPr>
    </w:p>
    <w:p>
      <w:pPr>
        <w:jc w:val="both"/>
        <w:ind w:firstLine="531"/>
        <w:spacing w:after="0" w:line="347" w:lineRule="auto"/>
        <w:tabs>
          <w:tab w:leader="none" w:pos="1099" w:val="left"/>
        </w:tabs>
        <w:numPr>
          <w:ilvl w:val="0"/>
          <w:numId w:val="20"/>
        </w:numPr>
        <w:rPr>
          <w:rFonts w:ascii="Arial" w:cs="Arial" w:eastAsia="Arial" w:hAnsi="Arial"/>
          <w:sz w:val="12"/>
          <w:szCs w:val="12"/>
          <w:color w:val="auto"/>
        </w:rPr>
      </w:pPr>
      <w:r>
        <w:rPr>
          <w:rFonts w:ascii="Arial" w:cs="Arial" w:eastAsia="Arial" w:hAnsi="Arial"/>
          <w:sz w:val="12"/>
          <w:szCs w:val="12"/>
          <w:b w:val="1"/>
          <w:bCs w:val="1"/>
          <w:color w:val="auto"/>
        </w:rPr>
        <w:t>Equity Award Vesting Acceleration</w:t>
      </w:r>
      <w:r>
        <w:rPr>
          <w:rFonts w:ascii="Arial" w:cs="Arial" w:eastAsia="Arial" w:hAnsi="Arial"/>
          <w:sz w:val="12"/>
          <w:szCs w:val="12"/>
          <w:color w:val="auto"/>
        </w:rPr>
        <w:t>. [___]% of your then-outstanding and unvested Equity Awards will become vested in full. If, however, an outstanding Equity Award is to</w:t>
      </w:r>
      <w:r>
        <w:rPr>
          <w:rFonts w:ascii="Arial" w:cs="Arial" w:eastAsia="Arial" w:hAnsi="Arial"/>
          <w:sz w:val="12"/>
          <w:szCs w:val="12"/>
          <w:b w:val="1"/>
          <w:bCs w:val="1"/>
          <w:color w:val="auto"/>
        </w:rPr>
        <w:t xml:space="preserve"> </w:t>
      </w:r>
      <w:r>
        <w:rPr>
          <w:rFonts w:ascii="Arial" w:cs="Arial" w:eastAsia="Arial" w:hAnsi="Arial"/>
          <w:sz w:val="12"/>
          <w:szCs w:val="12"/>
          <w:color w:val="auto"/>
        </w:rPr>
        <w:t>vest and/or the amount of the award to vest is to be determined based on the achievement of performance criteria, then, unless otherwise provided in the applicable Equity Award agreement, the Equity Award will vest as to 100% of the amount of the Equity Award assuming the performance criteria had been achieved at target levels for the relevant performance period(s).</w:t>
      </w:r>
    </w:p>
    <w:p>
      <w:pPr>
        <w:spacing w:after="0" w:line="100" w:lineRule="exact"/>
        <w:rPr>
          <w:rFonts w:ascii="Arial" w:cs="Arial" w:eastAsia="Arial" w:hAnsi="Arial"/>
          <w:sz w:val="12"/>
          <w:szCs w:val="12"/>
          <w:color w:val="auto"/>
        </w:rPr>
      </w:pPr>
    </w:p>
    <w:p>
      <w:pPr>
        <w:ind w:left="1040" w:hanging="509"/>
        <w:spacing w:after="0"/>
        <w:tabs>
          <w:tab w:leader="none" w:pos="1040" w:val="left"/>
        </w:tabs>
        <w:numPr>
          <w:ilvl w:val="0"/>
          <w:numId w:val="20"/>
        </w:numPr>
        <w:rPr>
          <w:rFonts w:ascii="Arial" w:cs="Arial" w:eastAsia="Arial" w:hAnsi="Arial"/>
          <w:sz w:val="15"/>
          <w:szCs w:val="15"/>
          <w:color w:val="auto"/>
        </w:rPr>
      </w:pPr>
      <w:r>
        <w:rPr>
          <w:rFonts w:ascii="Arial" w:cs="Arial" w:eastAsia="Arial" w:hAnsi="Arial"/>
          <w:sz w:val="15"/>
          <w:szCs w:val="15"/>
          <w:b w:val="1"/>
          <w:bCs w:val="1"/>
          <w:color w:val="auto"/>
        </w:rPr>
        <w:t>Outplacement Services</w:t>
      </w:r>
      <w:r>
        <w:rPr>
          <w:rFonts w:ascii="Arial" w:cs="Arial" w:eastAsia="Arial" w:hAnsi="Arial"/>
          <w:sz w:val="15"/>
          <w:szCs w:val="15"/>
          <w:color w:val="auto"/>
        </w:rPr>
        <w:t>. Outplacement services as described in Section 5.4 of the Plan.</w:t>
      </w:r>
    </w:p>
    <w:p>
      <w:pPr>
        <w:spacing w:after="0" w:line="181" w:lineRule="exact"/>
        <w:rPr>
          <w:sz w:val="20"/>
          <w:szCs w:val="20"/>
          <w:color w:val="auto"/>
        </w:rPr>
      </w:pPr>
    </w:p>
    <w:p>
      <w:pPr>
        <w:ind w:firstLine="524"/>
        <w:spacing w:after="0" w:line="258" w:lineRule="auto"/>
        <w:rPr>
          <w:sz w:val="20"/>
          <w:szCs w:val="20"/>
          <w:color w:val="auto"/>
        </w:rPr>
      </w:pPr>
      <w:r>
        <w:rPr>
          <w:rFonts w:ascii="Arial" w:cs="Arial" w:eastAsia="Arial" w:hAnsi="Arial"/>
          <w:sz w:val="15"/>
          <w:szCs w:val="15"/>
          <w:color w:val="auto"/>
        </w:rPr>
        <w:t>In order to receive any Severance Benefits for which you otherwise become eligible under the Plan, you must sign and deliver to the Company the Release, which must have become effective and irrevocable within the requisite period set forth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339725</wp:posOffset>
            </wp:positionV>
            <wp:extent cx="7272655" cy="34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34925"/>
                    </a:xfrm>
                    <a:prstGeom prst="rect">
                      <a:avLst/>
                    </a:prstGeom>
                    <a:noFill/>
                  </pic:spPr>
                </pic:pic>
              </a:graphicData>
            </a:graphic>
          </wp:anchor>
        </w:drawing>
      </w:r>
    </w:p>
    <w:p>
      <w:pPr>
        <w:sectPr>
          <w:pgSz w:w="11900" w:h="16838" w:orient="portrait"/>
          <w:cols w:equalWidth="0" w:num="1">
            <w:col w:w="11460"/>
          </w:cols>
          <w:pgMar w:left="220" w:top="583" w:right="219" w:bottom="1440" w:gutter="0" w:footer="0" w:header="0"/>
        </w:sectPr>
      </w:pPr>
    </w:p>
    <w:bookmarkStart w:id="19" w:name="page20"/>
    <w:bookmarkEnd w:id="19"/>
    <w:p>
      <w:pPr>
        <w:jc w:val="both"/>
        <w:ind w:firstLine="524"/>
        <w:spacing w:after="0" w:line="246" w:lineRule="auto"/>
        <w:rPr>
          <w:sz w:val="20"/>
          <w:szCs w:val="20"/>
          <w:color w:val="auto"/>
        </w:rPr>
      </w:pPr>
      <w:r>
        <w:rPr>
          <w:rFonts w:ascii="Arial" w:cs="Arial" w:eastAsia="Arial" w:hAnsi="Arial"/>
          <w:sz w:val="15"/>
          <w:szCs w:val="15"/>
          <w:color w:val="auto"/>
        </w:rPr>
        <w:t>By your signature below, you and the Company agree that your participation in the Plan is governed by this Participation Agreement and the provisions of the Plan. Your signature below confirms that: (1) you have received a copy of the Change of Control and Severance Plan and Summary Plan Description; (2) you have carefully read this Participation Agreement and the Change of Control and Severance Plan and Summary Plan Description; (3) decisions and determinations by the Administrator under the Plan will be final and binding on you and your successors; and (4) participation in the Plan and this Participation Agreement replaces in its entirety any severance and/or change of control provisions set forth in any offer letter, employment agreement and/or Equity Award agreement.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20"/>
                <w:szCs w:val="20"/>
                <w:color w:val="auto"/>
              </w:rPr>
            </w:pPr>
            <w:r>
              <w:rPr>
                <w:rFonts w:ascii="Arial" w:cs="Arial" w:eastAsia="Arial" w:hAnsi="Arial"/>
                <w:sz w:val="15"/>
                <w:szCs w:val="15"/>
                <w:b w:val="1"/>
                <w:bCs w:val="1"/>
                <w:color w:val="auto"/>
              </w:rPr>
              <w:t>FLUIDIGM CORPORATION</w:t>
            </w: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w w:val="95"/>
              </w:rPr>
              <w:t>PARTICIPANT</w:t>
            </w:r>
          </w:p>
        </w:tc>
        <w:tc>
          <w:tcPr>
            <w:tcW w:w="0" w:type="dxa"/>
            <w:vAlign w:val="bottom"/>
          </w:tcPr>
          <w:p>
            <w:pPr>
              <w:spacing w:after="0"/>
              <w:rPr>
                <w:sz w:val="1"/>
                <w:szCs w:val="1"/>
                <w:color w:val="auto"/>
              </w:rPr>
            </w:pPr>
          </w:p>
        </w:tc>
      </w:tr>
      <w:tr>
        <w:trPr>
          <w:trHeight w:val="395"/>
        </w:trPr>
        <w:tc>
          <w:tcPr>
            <w:tcW w:w="7080" w:type="dxa"/>
            <w:vAlign w:val="bottom"/>
            <w:tcBorders>
              <w:bottom w:val="single" w:sz="8" w:color="auto"/>
            </w:tcBorders>
          </w:tcPr>
          <w:p>
            <w:pPr>
              <w:spacing w:after="0"/>
              <w:rPr>
                <w:sz w:val="24"/>
                <w:szCs w:val="24"/>
                <w:color w:val="auto"/>
              </w:rPr>
            </w:pPr>
          </w:p>
        </w:tc>
        <w:tc>
          <w:tcPr>
            <w:tcW w:w="1060" w:type="dxa"/>
            <w:vAlign w:val="bottom"/>
            <w:vMerge w:val="restart"/>
          </w:tcPr>
          <w:p>
            <w:pPr>
              <w:ind w:left="80"/>
              <w:spacing w:after="0"/>
              <w:rPr>
                <w:sz w:val="20"/>
                <w:szCs w:val="20"/>
                <w:color w:val="auto"/>
              </w:rPr>
            </w:pPr>
            <w:r>
              <w:rPr>
                <w:rFonts w:ascii="Arial" w:cs="Arial" w:eastAsia="Arial" w:hAnsi="Arial"/>
                <w:sz w:val="15"/>
                <w:szCs w:val="15"/>
                <w:color w:val="auto"/>
              </w:rPr>
              <w:t>Signature</w:t>
            </w:r>
          </w:p>
        </w:tc>
        <w:tc>
          <w:tcPr>
            <w:tcW w:w="0" w:type="dxa"/>
            <w:vAlign w:val="bottom"/>
          </w:tcPr>
          <w:p>
            <w:pPr>
              <w:spacing w:after="0"/>
              <w:rPr>
                <w:sz w:val="1"/>
                <w:szCs w:val="1"/>
                <w:color w:val="auto"/>
              </w:rPr>
            </w:pPr>
          </w:p>
        </w:tc>
      </w:tr>
      <w:tr>
        <w:trPr>
          <w:trHeight w:val="175"/>
        </w:trPr>
        <w:tc>
          <w:tcPr>
            <w:tcW w:w="7080" w:type="dxa"/>
            <w:vAlign w:val="bottom"/>
          </w:tcPr>
          <w:p>
            <w:pPr>
              <w:spacing w:after="0"/>
              <w:rPr>
                <w:sz w:val="20"/>
                <w:szCs w:val="20"/>
                <w:color w:val="auto"/>
              </w:rPr>
            </w:pPr>
            <w:r>
              <w:rPr>
                <w:rFonts w:ascii="Arial" w:cs="Arial" w:eastAsia="Arial" w:hAnsi="Arial"/>
                <w:sz w:val="15"/>
                <w:szCs w:val="15"/>
                <w:color w:val="auto"/>
              </w:rPr>
              <w:t>Signature</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7080" w:type="dxa"/>
            <w:vAlign w:val="bottom"/>
            <w:tcBorders>
              <w:bottom w:val="single" w:sz="8" w:color="auto"/>
            </w:tcBorders>
          </w:tcPr>
          <w:p>
            <w:pPr>
              <w:spacing w:after="0"/>
              <w:rPr>
                <w:sz w:val="24"/>
                <w:szCs w:val="24"/>
                <w:color w:val="auto"/>
              </w:rPr>
            </w:pPr>
          </w:p>
        </w:tc>
        <w:tc>
          <w:tcPr>
            <w:tcW w:w="1060" w:type="dxa"/>
            <w:vAlign w:val="bottom"/>
            <w:vMerge w:val="restart"/>
          </w:tcPr>
          <w:p>
            <w:pPr>
              <w:ind w:left="80"/>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75"/>
        </w:trPr>
        <w:tc>
          <w:tcPr>
            <w:tcW w:w="7080" w:type="dxa"/>
            <w:vAlign w:val="bottom"/>
          </w:tcPr>
          <w:p>
            <w:pPr>
              <w:spacing w:after="0"/>
              <w:rPr>
                <w:sz w:val="20"/>
                <w:szCs w:val="20"/>
                <w:color w:val="auto"/>
              </w:rPr>
            </w:pPr>
            <w:r>
              <w:rPr>
                <w:rFonts w:ascii="Arial" w:cs="Arial" w:eastAsia="Arial" w:hAnsi="Arial"/>
                <w:sz w:val="15"/>
                <w:szCs w:val="15"/>
                <w:color w:val="auto"/>
              </w:rPr>
              <w:t>Name</w:t>
            </w: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708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080" w:type="dxa"/>
            <w:vAlign w:val="bottom"/>
          </w:tcPr>
          <w:p>
            <w:pPr>
              <w:spacing w:after="0"/>
              <w:rPr>
                <w:sz w:val="20"/>
                <w:szCs w:val="20"/>
                <w:color w:val="auto"/>
              </w:rPr>
            </w:pPr>
            <w:r>
              <w:rPr>
                <w:rFonts w:ascii="Arial" w:cs="Arial" w:eastAsia="Arial" w:hAnsi="Arial"/>
                <w:sz w:val="15"/>
                <w:szCs w:val="15"/>
                <w:color w:val="auto"/>
              </w:rPr>
              <w:t>Title</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9"/>
        </w:trPr>
        <w:tc>
          <w:tcPr>
            <w:tcW w:w="7080" w:type="dxa"/>
            <w:vAlign w:val="bottom"/>
          </w:tcPr>
          <w:p>
            <w:pPr>
              <w:spacing w:after="0"/>
              <w:rPr>
                <w:sz w:val="20"/>
                <w:szCs w:val="20"/>
                <w:color w:val="auto"/>
              </w:rPr>
            </w:pPr>
            <w:r>
              <w:rPr>
                <w:rFonts w:ascii="Arial" w:cs="Arial" w:eastAsia="Arial" w:hAnsi="Arial"/>
                <w:sz w:val="15"/>
                <w:szCs w:val="15"/>
                <w:color w:val="auto"/>
              </w:rPr>
              <w:t>Attachment: Fluidigm Corporation Change of Control and Severance Plan and Summary Plan Description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[Signature Page to the Participation Agreement]</w:t>
      </w:r>
    </w:p>
    <w:sectPr>
      <w:pgSz w:w="11900" w:h="16838" w:orient="portrait"/>
      <w:cols w:equalWidth="0" w:num="1">
        <w:col w:w="11460"/>
      </w:cols>
      <w:pgMar w:left="220" w:top="58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4"/>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Roman"/>
      <w:start w:val="5"/>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lowerLetter"/>
      <w:start w:val="3"/>
    </w:lvl>
  </w:abstractNum>
  <w:abstractNum w:abstractNumId="7">
    <w:nsid w:val="DED7263"/>
    <w:multiLevelType w:val="hybridMultilevel"/>
    <w:lvl w:ilvl="0">
      <w:lvlJc w:val="left"/>
      <w:lvlText w:val="%1."/>
      <w:numFmt w:val="decimal"/>
      <w:start w:val="3"/>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1."/>
      <w:numFmt w:val="decimal"/>
      <w:start w:val="6"/>
    </w:lvl>
    <w:lvl w:ilvl="1">
      <w:lvlJc w:val="left"/>
      <w:lvlText w:val="(%2)"/>
      <w:numFmt w:val="lowerLetter"/>
      <w:start w:val="1"/>
    </w:lvl>
  </w:abstractNum>
  <w:abstractNum w:abstractNumId="10">
    <w:nsid w:val="41A7C4C9"/>
    <w:multiLevelType w:val="hybridMultilevel"/>
    <w:lvl w:ilvl="0">
      <w:lvlJc w:val="left"/>
      <w:lvlText w:val="%1."/>
      <w:numFmt w:val="decimal"/>
      <w:start w:val="7"/>
    </w:lvl>
  </w:abstractNum>
  <w:abstractNum w:abstractNumId="11">
    <w:nsid w:val="6B68079A"/>
    <w:multiLevelType w:val="hybridMultilevel"/>
    <w:lvl w:ilvl="0">
      <w:lvlJc w:val="left"/>
      <w:lvlText w:val="%1."/>
      <w:numFmt w:val="decimal"/>
      <w:start w:val="8"/>
    </w:lvl>
  </w:abstractNum>
  <w:abstractNum w:abstractNumId="12">
    <w:nsid w:val="4E6AFB66"/>
    <w:multiLevelType w:val="hybridMultilevel"/>
    <w:lvl w:ilvl="0">
      <w:lvlJc w:val="left"/>
      <w:lvlText w:val="%1."/>
      <w:numFmt w:val="decimal"/>
      <w:start w:val="11"/>
    </w:lvl>
  </w:abstractNum>
  <w:abstractNum w:abstractNumId="13">
    <w:nsid w:val="25E45D32"/>
    <w:multiLevelType w:val="hybridMultilevel"/>
    <w:lvl w:ilvl="0">
      <w:lvlJc w:val="left"/>
      <w:lvlText w:val="%1."/>
      <w:numFmt w:val="decimal"/>
      <w:start w:val="16"/>
    </w:lvl>
    <w:lvl w:ilvl="1">
      <w:lvlJc w:val="left"/>
      <w:lvlText w:val="(%2)"/>
      <w:numFmt w:val="lowerLetter"/>
      <w:start w:val="1"/>
    </w:lvl>
  </w:abstractNum>
  <w:abstractNum w:abstractNumId="14">
    <w:nsid w:val="519B500D"/>
    <w:multiLevelType w:val="hybridMultilevel"/>
    <w:lvl w:ilvl="0">
      <w:lvlJc w:val="left"/>
      <w:lvlText w:val="%1."/>
      <w:numFmt w:val="decimal"/>
      <w:start w:val="20"/>
    </w:lvl>
  </w:abstractNum>
  <w:abstractNum w:abstractNumId="15">
    <w:nsid w:val="431BD7B7"/>
    <w:multiLevelType w:val="hybridMultilevel"/>
    <w:lvl w:ilvl="0">
      <w:lvlJc w:val="left"/>
      <w:lvlText w:val="%1."/>
      <w:numFmt w:val="decimal"/>
      <w:start w:val="27"/>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2"/>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2019-12-06T17:34:41Z</dcterms:created>
  <dcterms:modified xsi:type="dcterms:W3CDTF">2019-12-06T17:34:41Z</dcterms:modified>
</cp:coreProperties>
</file>