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6" w:lineRule="exact"/>
        <w:rPr>
          <w:sz w:val="24"/>
          <w:szCs w:val="24"/>
          <w:color w:val="auto"/>
        </w:rPr>
      </w:pPr>
    </w:p>
    <w:p>
      <w:pPr>
        <w:jc w:val="right"/>
        <w:ind w:left="5500" w:right="20"/>
        <w:spacing w:after="0" w:line="282" w:lineRule="auto"/>
        <w:rPr>
          <w:sz w:val="20"/>
          <w:szCs w:val="20"/>
          <w:color w:val="auto"/>
        </w:rPr>
      </w:pPr>
      <w:r>
        <w:rPr>
          <w:rFonts w:ascii="Arial" w:cs="Arial" w:eastAsia="Arial" w:hAnsi="Arial"/>
          <w:sz w:val="18"/>
          <w:szCs w:val="18"/>
          <w:b w:val="1"/>
          <w:bCs w:val="1"/>
          <w:color w:val="auto"/>
        </w:rPr>
        <w:t>As filed with the Securities and Exchange Commission on February 27, 2020 Registration No. 333-230383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Post-Effective Amendment No. 2</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to</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S-3</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FLUIDIGM CORPORATION</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193675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tbl>
      <w:tblPr>
        <w:tblLayout w:type="fixed"/>
        <w:tblInd w:w="1720" w:type="dxa"/>
        <w:tblCellMar>
          <w:top w:w="0" w:type="dxa"/>
          <w:left w:w="0" w:type="dxa"/>
          <w:bottom w:w="0" w:type="dxa"/>
          <w:right w:w="0" w:type="dxa"/>
        </w:tblCellMar>
      </w:tblPr>
      <w:tr>
        <w:trPr>
          <w:trHeight w:val="220"/>
        </w:trPr>
        <w:tc>
          <w:tcPr>
            <w:tcW w:w="4120" w:type="dxa"/>
            <w:vAlign w:val="bottom"/>
          </w:tcPr>
          <w:p>
            <w:pPr>
              <w:jc w:val="center"/>
              <w:ind w:right="1850"/>
              <w:spacing w:after="0"/>
              <w:rPr>
                <w:sz w:val="20"/>
                <w:szCs w:val="20"/>
                <w:color w:val="auto"/>
              </w:rPr>
            </w:pPr>
            <w:r>
              <w:rPr>
                <w:rFonts w:ascii="Arial" w:cs="Arial" w:eastAsia="Arial" w:hAnsi="Arial"/>
                <w:sz w:val="18"/>
                <w:szCs w:val="18"/>
                <w:b w:val="1"/>
                <w:bCs w:val="1"/>
                <w:color w:val="auto"/>
                <w:w w:val="93"/>
              </w:rPr>
              <w:t>Delaware</w:t>
            </w:r>
          </w:p>
        </w:tc>
        <w:tc>
          <w:tcPr>
            <w:tcW w:w="3620" w:type="dxa"/>
            <w:vAlign w:val="bottom"/>
          </w:tcPr>
          <w:p>
            <w:pPr>
              <w:jc w:val="center"/>
              <w:ind w:left="1850"/>
              <w:spacing w:after="0"/>
              <w:rPr>
                <w:sz w:val="20"/>
                <w:szCs w:val="20"/>
                <w:color w:val="auto"/>
              </w:rPr>
            </w:pPr>
            <w:r>
              <w:rPr>
                <w:rFonts w:ascii="Arial" w:cs="Arial" w:eastAsia="Arial" w:hAnsi="Arial"/>
                <w:sz w:val="18"/>
                <w:szCs w:val="18"/>
                <w:b w:val="1"/>
                <w:bCs w:val="1"/>
                <w:color w:val="auto"/>
                <w:w w:val="91"/>
              </w:rPr>
              <w:t>77-0513190</w:t>
            </w:r>
          </w:p>
        </w:tc>
      </w:tr>
      <w:tr>
        <w:trPr>
          <w:trHeight w:val="216"/>
        </w:trPr>
        <w:tc>
          <w:tcPr>
            <w:tcW w:w="4120" w:type="dxa"/>
            <w:vAlign w:val="bottom"/>
          </w:tcPr>
          <w:p>
            <w:pPr>
              <w:jc w:val="center"/>
              <w:ind w:right="1850"/>
              <w:spacing w:after="0"/>
              <w:rPr>
                <w:sz w:val="20"/>
                <w:szCs w:val="20"/>
                <w:color w:val="auto"/>
              </w:rPr>
            </w:pPr>
            <w:r>
              <w:rPr>
                <w:rFonts w:ascii="Arial" w:cs="Arial" w:eastAsia="Arial" w:hAnsi="Arial"/>
                <w:sz w:val="18"/>
                <w:szCs w:val="18"/>
                <w:color w:val="auto"/>
                <w:w w:val="93"/>
              </w:rPr>
              <w:t>(State or other jurisdiction of</w:t>
            </w:r>
          </w:p>
        </w:tc>
        <w:tc>
          <w:tcPr>
            <w:tcW w:w="3620" w:type="dxa"/>
            <w:vAlign w:val="bottom"/>
          </w:tcPr>
          <w:p>
            <w:pPr>
              <w:jc w:val="center"/>
              <w:ind w:left="1850"/>
              <w:spacing w:after="0"/>
              <w:rPr>
                <w:sz w:val="20"/>
                <w:szCs w:val="20"/>
                <w:color w:val="auto"/>
              </w:rPr>
            </w:pPr>
            <w:r>
              <w:rPr>
                <w:rFonts w:ascii="Arial" w:cs="Arial" w:eastAsia="Arial" w:hAnsi="Arial"/>
                <w:sz w:val="18"/>
                <w:szCs w:val="18"/>
                <w:color w:val="auto"/>
                <w:w w:val="93"/>
              </w:rPr>
              <w:t>(I.R.S. Employer</w:t>
            </w:r>
          </w:p>
        </w:tc>
      </w:tr>
      <w:tr>
        <w:trPr>
          <w:trHeight w:val="230"/>
        </w:trPr>
        <w:tc>
          <w:tcPr>
            <w:tcW w:w="4120" w:type="dxa"/>
            <w:vAlign w:val="bottom"/>
          </w:tcPr>
          <w:p>
            <w:pPr>
              <w:jc w:val="center"/>
              <w:ind w:right="1850"/>
              <w:spacing w:after="0"/>
              <w:rPr>
                <w:sz w:val="20"/>
                <w:szCs w:val="20"/>
                <w:color w:val="auto"/>
              </w:rPr>
            </w:pPr>
            <w:r>
              <w:rPr>
                <w:rFonts w:ascii="Arial" w:cs="Arial" w:eastAsia="Arial" w:hAnsi="Arial"/>
                <w:sz w:val="18"/>
                <w:szCs w:val="18"/>
                <w:color w:val="auto"/>
                <w:w w:val="93"/>
              </w:rPr>
              <w:t>incorporation or organization)</w:t>
            </w:r>
          </w:p>
        </w:tc>
        <w:tc>
          <w:tcPr>
            <w:tcW w:w="3620" w:type="dxa"/>
            <w:vAlign w:val="bottom"/>
          </w:tcPr>
          <w:p>
            <w:pPr>
              <w:jc w:val="center"/>
              <w:ind w:left="1870"/>
              <w:spacing w:after="0"/>
              <w:rPr>
                <w:sz w:val="20"/>
                <w:szCs w:val="20"/>
                <w:color w:val="auto"/>
              </w:rPr>
            </w:pPr>
            <w:r>
              <w:rPr>
                <w:rFonts w:ascii="Arial" w:cs="Arial" w:eastAsia="Arial" w:hAnsi="Arial"/>
                <w:sz w:val="18"/>
                <w:szCs w:val="18"/>
                <w:color w:val="auto"/>
                <w:w w:val="94"/>
              </w:rPr>
              <w:t>Identification Number)</w:t>
            </w:r>
          </w:p>
        </w:tc>
      </w:tr>
    </w:tbl>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7000 Shoreline Court, Suite 100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(650) 266-6000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Stephen Christopher Linthwaite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266-6000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194310</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tbl>
      <w:tblPr>
        <w:tblLayout w:type="fixed"/>
        <w:tblInd w:w="114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p>
        </w:tc>
        <w:tc>
          <w:tcPr>
            <w:tcW w:w="5960" w:type="dxa"/>
            <w:vAlign w:val="bottom"/>
            <w:gridSpan w:val="2"/>
          </w:tcPr>
          <w:p>
            <w:pPr>
              <w:ind w:left="1060"/>
              <w:spacing w:after="0"/>
              <w:rPr>
                <w:sz w:val="20"/>
                <w:szCs w:val="20"/>
                <w:color w:val="auto"/>
              </w:rPr>
            </w:pPr>
            <w:r>
              <w:rPr>
                <w:rFonts w:ascii="Arial" w:cs="Arial" w:eastAsia="Arial" w:hAnsi="Arial"/>
                <w:sz w:val="18"/>
                <w:szCs w:val="18"/>
                <w:b w:val="1"/>
                <w:bCs w:val="1"/>
                <w:i w:val="1"/>
                <w:iCs w:val="1"/>
                <w:color w:val="auto"/>
              </w:rPr>
              <w:t>Copies to:</w:t>
            </w:r>
          </w:p>
        </w:tc>
      </w:tr>
      <w:tr>
        <w:trPr>
          <w:trHeight w:val="441"/>
        </w:trPr>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90"/>
              </w:rPr>
              <w:t>Nicholas Khadder</w:t>
            </w:r>
          </w:p>
        </w:tc>
        <w:tc>
          <w:tcPr>
            <w:tcW w:w="2860" w:type="dxa"/>
            <w:vAlign w:val="bottom"/>
          </w:tcPr>
          <w:p>
            <w:pPr>
              <w:spacing w:after="0"/>
              <w:rPr>
                <w:sz w:val="24"/>
                <w:szCs w:val="24"/>
                <w:color w:val="auto"/>
              </w:rPr>
            </w:pPr>
          </w:p>
        </w:tc>
        <w:tc>
          <w:tcPr>
            <w:tcW w:w="3100" w:type="dxa"/>
            <w:vAlign w:val="bottom"/>
          </w:tcPr>
          <w:p>
            <w:pPr>
              <w:jc w:val="center"/>
              <w:ind w:left="370"/>
              <w:spacing w:after="0"/>
              <w:rPr>
                <w:sz w:val="20"/>
                <w:szCs w:val="20"/>
                <w:color w:val="auto"/>
              </w:rPr>
            </w:pPr>
            <w:r>
              <w:rPr>
                <w:rFonts w:ascii="Arial" w:cs="Arial" w:eastAsia="Arial" w:hAnsi="Arial"/>
                <w:sz w:val="18"/>
                <w:szCs w:val="18"/>
                <w:b w:val="1"/>
                <w:bCs w:val="1"/>
                <w:color w:val="auto"/>
                <w:w w:val="90"/>
              </w:rPr>
              <w:t>Robert F. Kornegay</w:t>
            </w:r>
          </w:p>
        </w:tc>
      </w:tr>
      <w:tr>
        <w:trPr>
          <w:trHeight w:val="216"/>
        </w:trPr>
        <w:tc>
          <w:tcPr>
            <w:tcW w:w="31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Senior Vice President, General Counsel</w:t>
            </w:r>
          </w:p>
        </w:tc>
        <w:tc>
          <w:tcPr>
            <w:tcW w:w="2860" w:type="dxa"/>
            <w:vAlign w:val="bottom"/>
          </w:tcPr>
          <w:p>
            <w:pPr>
              <w:spacing w:after="0"/>
              <w:rPr>
                <w:sz w:val="18"/>
                <w:szCs w:val="18"/>
                <w:color w:val="auto"/>
              </w:rPr>
            </w:pPr>
          </w:p>
        </w:tc>
        <w:tc>
          <w:tcPr>
            <w:tcW w:w="3100" w:type="dxa"/>
            <w:vAlign w:val="bottom"/>
          </w:tcPr>
          <w:p>
            <w:pPr>
              <w:jc w:val="center"/>
              <w:ind w:left="410"/>
              <w:spacing w:after="0"/>
              <w:rPr>
                <w:sz w:val="20"/>
                <w:szCs w:val="20"/>
                <w:color w:val="auto"/>
              </w:rPr>
            </w:pPr>
            <w:r>
              <w:rPr>
                <w:rFonts w:ascii="Arial" w:cs="Arial" w:eastAsia="Arial" w:hAnsi="Arial"/>
                <w:sz w:val="18"/>
                <w:szCs w:val="18"/>
                <w:b w:val="1"/>
                <w:bCs w:val="1"/>
                <w:color w:val="auto"/>
                <w:w w:val="93"/>
              </w:rPr>
              <w:t>Zachary B. Myers</w:t>
            </w:r>
          </w:p>
        </w:tc>
      </w:tr>
      <w:tr>
        <w:trPr>
          <w:trHeight w:val="216"/>
        </w:trPr>
        <w:tc>
          <w:tcPr>
            <w:tcW w:w="31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7000 Shoreline Court, Suite 100</w:t>
            </w:r>
          </w:p>
        </w:tc>
        <w:tc>
          <w:tcPr>
            <w:tcW w:w="2860" w:type="dxa"/>
            <w:vAlign w:val="bottom"/>
          </w:tcPr>
          <w:p>
            <w:pPr>
              <w:spacing w:after="0"/>
              <w:rPr>
                <w:sz w:val="18"/>
                <w:szCs w:val="18"/>
                <w:color w:val="auto"/>
              </w:rPr>
            </w:pPr>
          </w:p>
        </w:tc>
        <w:tc>
          <w:tcPr>
            <w:tcW w:w="3100" w:type="dxa"/>
            <w:vAlign w:val="bottom"/>
          </w:tcPr>
          <w:p>
            <w:pPr>
              <w:jc w:val="center"/>
              <w:ind w:left="370"/>
              <w:spacing w:after="0"/>
              <w:rPr>
                <w:sz w:val="20"/>
                <w:szCs w:val="20"/>
                <w:color w:val="auto"/>
              </w:rPr>
            </w:pPr>
            <w:r>
              <w:rPr>
                <w:rFonts w:ascii="Arial" w:cs="Arial" w:eastAsia="Arial" w:hAnsi="Arial"/>
                <w:sz w:val="18"/>
                <w:szCs w:val="18"/>
                <w:b w:val="1"/>
                <w:bCs w:val="1"/>
                <w:color w:val="auto"/>
                <w:w w:val="90"/>
              </w:rPr>
              <w:t>Wilson Sonsini Goodrich &amp; Rosati</w:t>
            </w:r>
          </w:p>
        </w:tc>
      </w:tr>
      <w:tr>
        <w:trPr>
          <w:trHeight w:val="216"/>
        </w:trPr>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89"/>
              </w:rPr>
              <w:t>South San Francisco, CA 94080</w:t>
            </w:r>
          </w:p>
        </w:tc>
        <w:tc>
          <w:tcPr>
            <w:tcW w:w="2860" w:type="dxa"/>
            <w:vAlign w:val="bottom"/>
          </w:tcPr>
          <w:p>
            <w:pPr>
              <w:spacing w:after="0"/>
              <w:rPr>
                <w:sz w:val="18"/>
                <w:szCs w:val="18"/>
                <w:color w:val="auto"/>
              </w:rPr>
            </w:pPr>
          </w:p>
        </w:tc>
        <w:tc>
          <w:tcPr>
            <w:tcW w:w="3100" w:type="dxa"/>
            <w:vAlign w:val="bottom"/>
          </w:tcPr>
          <w:p>
            <w:pPr>
              <w:jc w:val="center"/>
              <w:ind w:left="390"/>
              <w:spacing w:after="0"/>
              <w:rPr>
                <w:sz w:val="20"/>
                <w:szCs w:val="20"/>
                <w:color w:val="auto"/>
              </w:rPr>
            </w:pPr>
            <w:r>
              <w:rPr>
                <w:rFonts w:ascii="Arial" w:cs="Arial" w:eastAsia="Arial" w:hAnsi="Arial"/>
                <w:sz w:val="18"/>
                <w:szCs w:val="18"/>
                <w:b w:val="1"/>
                <w:bCs w:val="1"/>
                <w:color w:val="auto"/>
                <w:w w:val="89"/>
              </w:rPr>
              <w:t>Professional Corporation</w:t>
            </w:r>
          </w:p>
        </w:tc>
      </w:tr>
      <w:tr>
        <w:trPr>
          <w:trHeight w:val="216"/>
        </w:trPr>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90"/>
              </w:rPr>
              <w:t>Telephone: (650) 266-6000</w:t>
            </w:r>
          </w:p>
        </w:tc>
        <w:tc>
          <w:tcPr>
            <w:tcW w:w="2860" w:type="dxa"/>
            <w:vAlign w:val="bottom"/>
          </w:tcPr>
          <w:p>
            <w:pPr>
              <w:spacing w:after="0"/>
              <w:rPr>
                <w:sz w:val="18"/>
                <w:szCs w:val="18"/>
                <w:color w:val="auto"/>
              </w:rPr>
            </w:pPr>
          </w:p>
        </w:tc>
        <w:tc>
          <w:tcPr>
            <w:tcW w:w="3100" w:type="dxa"/>
            <w:vAlign w:val="bottom"/>
          </w:tcPr>
          <w:p>
            <w:pPr>
              <w:jc w:val="center"/>
              <w:ind w:left="370"/>
              <w:spacing w:after="0"/>
              <w:rPr>
                <w:sz w:val="20"/>
                <w:szCs w:val="20"/>
                <w:color w:val="auto"/>
              </w:rPr>
            </w:pPr>
            <w:r>
              <w:rPr>
                <w:rFonts w:ascii="Arial" w:cs="Arial" w:eastAsia="Arial" w:hAnsi="Arial"/>
                <w:sz w:val="18"/>
                <w:szCs w:val="18"/>
                <w:b w:val="1"/>
                <w:bCs w:val="1"/>
                <w:color w:val="auto"/>
                <w:w w:val="93"/>
              </w:rPr>
              <w:t>650 Page Mill Road</w:t>
            </w:r>
          </w:p>
        </w:tc>
      </w:tr>
      <w:tr>
        <w:trPr>
          <w:trHeight w:val="216"/>
        </w:trPr>
        <w:tc>
          <w:tcPr>
            <w:tcW w:w="3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100" w:type="dxa"/>
            <w:vAlign w:val="bottom"/>
          </w:tcPr>
          <w:p>
            <w:pPr>
              <w:jc w:val="center"/>
              <w:ind w:left="410"/>
              <w:spacing w:after="0"/>
              <w:rPr>
                <w:sz w:val="20"/>
                <w:szCs w:val="20"/>
                <w:color w:val="auto"/>
              </w:rPr>
            </w:pPr>
            <w:r>
              <w:rPr>
                <w:rFonts w:ascii="Arial" w:cs="Arial" w:eastAsia="Arial" w:hAnsi="Arial"/>
                <w:sz w:val="18"/>
                <w:szCs w:val="18"/>
                <w:b w:val="1"/>
                <w:bCs w:val="1"/>
                <w:color w:val="auto"/>
                <w:w w:val="92"/>
              </w:rPr>
              <w:t>Palo Alto, CA 94304</w:t>
            </w:r>
          </w:p>
        </w:tc>
      </w:tr>
      <w:tr>
        <w:trPr>
          <w:trHeight w:val="234"/>
        </w:trPr>
        <w:tc>
          <w:tcPr>
            <w:tcW w:w="3140" w:type="dxa"/>
            <w:vAlign w:val="bottom"/>
          </w:tcPr>
          <w:p>
            <w:pPr>
              <w:spacing w:after="0"/>
              <w:rPr>
                <w:sz w:val="20"/>
                <w:szCs w:val="20"/>
                <w:color w:val="auto"/>
              </w:rPr>
            </w:pPr>
          </w:p>
        </w:tc>
        <w:tc>
          <w:tcPr>
            <w:tcW w:w="5960" w:type="dxa"/>
            <w:vAlign w:val="bottom"/>
            <w:gridSpan w:val="2"/>
          </w:tcPr>
          <w:p>
            <w:pPr>
              <w:jc w:val="center"/>
              <w:ind w:left="3270"/>
              <w:spacing w:after="0"/>
              <w:rPr>
                <w:sz w:val="20"/>
                <w:szCs w:val="20"/>
                <w:color w:val="auto"/>
              </w:rPr>
            </w:pPr>
            <w:r>
              <w:rPr>
                <w:rFonts w:ascii="Arial" w:cs="Arial" w:eastAsia="Arial" w:hAnsi="Arial"/>
                <w:sz w:val="18"/>
                <w:szCs w:val="18"/>
                <w:b w:val="1"/>
                <w:bCs w:val="1"/>
                <w:color w:val="auto"/>
                <w:w w:val="90"/>
              </w:rPr>
              <w:t>(650) 493-9300</w:t>
            </w:r>
          </w:p>
        </w:tc>
      </w:tr>
      <w:tr>
        <w:trPr>
          <w:trHeight w:val="297"/>
        </w:trPr>
        <w:tc>
          <w:tcPr>
            <w:tcW w:w="314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100" w:type="dxa"/>
            <w:vAlign w:val="bottom"/>
          </w:tcPr>
          <w:p>
            <w:pPr>
              <w:spacing w:after="0"/>
              <w:rPr>
                <w:sz w:val="24"/>
                <w:szCs w:val="24"/>
                <w:color w:val="auto"/>
              </w:rPr>
            </w:pPr>
          </w:p>
        </w:tc>
      </w:tr>
    </w:tbl>
    <w:p>
      <w:pPr>
        <w:spacing w:after="0" w:line="319" w:lineRule="exact"/>
        <w:rPr>
          <w:sz w:val="24"/>
          <w:szCs w:val="24"/>
          <w:color w:val="auto"/>
        </w:rPr>
      </w:pPr>
    </w:p>
    <w:p>
      <w:pPr>
        <w:ind w:left="340"/>
        <w:spacing w:after="0"/>
        <w:rPr>
          <w:sz w:val="20"/>
          <w:szCs w:val="20"/>
          <w:color w:val="auto"/>
        </w:rPr>
      </w:pPr>
      <w:r>
        <w:rPr>
          <w:rFonts w:ascii="Arial" w:cs="Arial" w:eastAsia="Arial" w:hAnsi="Arial"/>
          <w:sz w:val="16"/>
          <w:szCs w:val="16"/>
          <w:b w:val="1"/>
          <w:bCs w:val="1"/>
          <w:color w:val="auto"/>
        </w:rPr>
        <w:t>Approximate date of commencement of proposed sale to the public: From time to time after the effective date of this registration statement.</w:t>
      </w:r>
    </w:p>
    <w:p>
      <w:pPr>
        <w:spacing w:after="0" w:line="90"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w:t>
      </w:r>
    </w:p>
    <w:p>
      <w:pPr>
        <w:spacing w:after="0" w:line="41"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1" w:lineRule="exact"/>
        <w:rPr>
          <w:sz w:val="24"/>
          <w:szCs w:val="24"/>
          <w:color w:val="auto"/>
        </w:rPr>
      </w:pPr>
    </w:p>
    <w:p>
      <w:pPr>
        <w:ind w:right="140" w:firstLine="324"/>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20" w:lineRule="exact"/>
        <w:rPr>
          <w:sz w:val="24"/>
          <w:szCs w:val="24"/>
          <w:color w:val="auto"/>
        </w:rPr>
      </w:pPr>
    </w:p>
    <w:p>
      <w:pPr>
        <w:ind w:right="120" w:firstLine="324"/>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 w:lineRule="exact"/>
        <w:rPr>
          <w:sz w:val="24"/>
          <w:szCs w:val="24"/>
          <w:color w:val="auto"/>
        </w:rPr>
      </w:pPr>
    </w:p>
    <w:p>
      <w:pPr>
        <w:ind w:right="34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 w:lineRule="exact"/>
        <w:rPr>
          <w:sz w:val="24"/>
          <w:szCs w:val="24"/>
          <w:color w:val="auto"/>
        </w:rPr>
      </w:pPr>
    </w:p>
    <w:p>
      <w:pPr>
        <w:ind w:right="80" w:firstLine="324"/>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20" w:lineRule="exact"/>
        <w:rPr>
          <w:sz w:val="24"/>
          <w:szCs w:val="24"/>
          <w:color w:val="auto"/>
        </w:rPr>
      </w:pPr>
    </w:p>
    <w:p>
      <w:pPr>
        <w:ind w:right="26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20"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w:t>
      </w:r>
    </w:p>
    <w:p>
      <w:pPr>
        <w:sectPr>
          <w:pgSz w:w="11900" w:h="16935" w:orient="portrait"/>
          <w:cols w:equalWidth="0" w:num="1">
            <w:col w:w="11380"/>
          </w:cols>
          <w:pgMar w:left="240" w:top="472" w:right="27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in Rule 12b-2 of the Exchange Act. (Check one):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290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4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290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320" w:type="dxa"/>
            <w:vAlign w:val="bottom"/>
          </w:tcPr>
          <w:p>
            <w:pPr>
              <w:ind w:left="290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9" w:lineRule="exact"/>
        <w:rPr>
          <w:sz w:val="20"/>
          <w:szCs w:val="20"/>
          <w:color w:val="auto"/>
        </w:rPr>
      </w:pPr>
    </w:p>
    <w:p>
      <w:pPr>
        <w:jc w:val="both"/>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CALCULATION OF REGISTRATION FEE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Borders>
              <w:top w:val="single" w:sz="8" w:color="auto"/>
              <w:right w:val="single" w:sz="8" w:color="auto"/>
            </w:tcBorders>
            <w:vMerge w:val="restart"/>
          </w:tcPr>
          <w:p>
            <w:pPr>
              <w:ind w:left="260"/>
              <w:spacing w:after="0"/>
              <w:rPr>
                <w:sz w:val="20"/>
                <w:szCs w:val="20"/>
                <w:color w:val="auto"/>
              </w:rPr>
            </w:pPr>
            <w:r>
              <w:rPr>
                <w:rFonts w:ascii="Arial" w:cs="Arial" w:eastAsia="Arial" w:hAnsi="Arial"/>
                <w:sz w:val="18"/>
                <w:szCs w:val="18"/>
                <w:b w:val="1"/>
                <w:bCs w:val="1"/>
                <w:color w:val="auto"/>
              </w:rPr>
              <w:t>Title of Each Class of</w:t>
            </w:r>
          </w:p>
        </w:tc>
        <w:tc>
          <w:tcPr>
            <w:tcW w:w="320" w:type="dxa"/>
            <w:vAlign w:val="bottom"/>
            <w:tcBorders>
              <w:top w:val="single" w:sz="8" w:color="auto"/>
            </w:tcBorders>
          </w:tcPr>
          <w:p>
            <w:pPr>
              <w:spacing w:after="0"/>
              <w:rPr>
                <w:sz w:val="20"/>
                <w:szCs w:val="20"/>
                <w:color w:val="auto"/>
              </w:rPr>
            </w:pPr>
          </w:p>
        </w:tc>
        <w:tc>
          <w:tcPr>
            <w:tcW w:w="1340" w:type="dxa"/>
            <w:vAlign w:val="bottom"/>
            <w:tcBorders>
              <w:top w:val="single" w:sz="8" w:color="auto"/>
              <w:right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1"/>
              </w:rPr>
              <w:t>Amount</w:t>
            </w:r>
          </w:p>
        </w:tc>
        <w:tc>
          <w:tcPr>
            <w:tcW w:w="1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Proposed Maximum</w:t>
            </w:r>
          </w:p>
        </w:tc>
        <w:tc>
          <w:tcPr>
            <w:tcW w:w="176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Proposed Maximum</w:t>
            </w: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440" w:type="dxa"/>
            <w:vAlign w:val="bottom"/>
            <w:tcBorders>
              <w:right w:val="single" w:sz="8" w:color="auto"/>
            </w:tcBorders>
            <w:vMerge w:val="continue"/>
          </w:tcPr>
          <w:p>
            <w:pPr>
              <w:spacing w:after="0"/>
              <w:rPr>
                <w:sz w:val="9"/>
                <w:szCs w:val="9"/>
                <w:color w:val="auto"/>
              </w:rPr>
            </w:pPr>
          </w:p>
        </w:tc>
        <w:tc>
          <w:tcPr>
            <w:tcW w:w="320" w:type="dxa"/>
            <w:vAlign w:val="bottom"/>
          </w:tcPr>
          <w:p>
            <w:pPr>
              <w:spacing w:after="0"/>
              <w:rPr>
                <w:sz w:val="9"/>
                <w:szCs w:val="9"/>
                <w:color w:val="auto"/>
              </w:rPr>
            </w:pPr>
          </w:p>
        </w:tc>
        <w:tc>
          <w:tcPr>
            <w:tcW w:w="1340" w:type="dxa"/>
            <w:vAlign w:val="bottom"/>
            <w:tcBorders>
              <w:right w:val="single" w:sz="8" w:color="auto"/>
            </w:tcBorders>
            <w:vMerge w:val="restart"/>
          </w:tcPr>
          <w:p>
            <w:pPr>
              <w:jc w:val="center"/>
              <w:ind w:right="270"/>
              <w:spacing w:after="0"/>
              <w:rPr>
                <w:sz w:val="20"/>
                <w:szCs w:val="20"/>
                <w:color w:val="auto"/>
              </w:rPr>
            </w:pPr>
            <w:r>
              <w:rPr>
                <w:rFonts w:ascii="Arial" w:cs="Arial" w:eastAsia="Arial" w:hAnsi="Arial"/>
                <w:sz w:val="18"/>
                <w:szCs w:val="18"/>
                <w:b w:val="1"/>
                <w:bCs w:val="1"/>
                <w:color w:val="auto"/>
                <w:w w:val="88"/>
              </w:rPr>
              <w:t>to be</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17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1"/>
              </w:rPr>
              <w:t>Aggregate Offering</w:t>
            </w:r>
          </w:p>
        </w:tc>
        <w:tc>
          <w:tcPr>
            <w:tcW w:w="300" w:type="dxa"/>
            <w:vAlign w:val="bottom"/>
          </w:tcPr>
          <w:p>
            <w:pPr>
              <w:spacing w:after="0"/>
              <w:rPr>
                <w:sz w:val="9"/>
                <w:szCs w:val="9"/>
                <w:color w:val="auto"/>
              </w:rPr>
            </w:pPr>
          </w:p>
        </w:tc>
        <w:tc>
          <w:tcPr>
            <w:tcW w:w="152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Amount of</w:t>
            </w:r>
          </w:p>
        </w:tc>
        <w:tc>
          <w:tcPr>
            <w:tcW w:w="0" w:type="dxa"/>
            <w:vAlign w:val="bottom"/>
          </w:tcPr>
          <w:p>
            <w:pPr>
              <w:spacing w:after="0"/>
              <w:rPr>
                <w:sz w:val="1"/>
                <w:szCs w:val="1"/>
                <w:color w:val="auto"/>
              </w:rPr>
            </w:pPr>
          </w:p>
        </w:tc>
      </w:tr>
      <w:tr>
        <w:trPr>
          <w:trHeight w:val="108"/>
        </w:trPr>
        <w:tc>
          <w:tcPr>
            <w:tcW w:w="444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b w:val="1"/>
                <w:bCs w:val="1"/>
                <w:color w:val="auto"/>
              </w:rPr>
              <w:t>Securities to be Registered</w:t>
            </w:r>
          </w:p>
        </w:tc>
        <w:tc>
          <w:tcPr>
            <w:tcW w:w="320" w:type="dxa"/>
            <w:vAlign w:val="bottom"/>
          </w:tcPr>
          <w:p>
            <w:pPr>
              <w:spacing w:after="0"/>
              <w:rPr>
                <w:sz w:val="9"/>
                <w:szCs w:val="9"/>
                <w:color w:val="auto"/>
              </w:rPr>
            </w:pPr>
          </w:p>
        </w:tc>
        <w:tc>
          <w:tcPr>
            <w:tcW w:w="134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440" w:type="dxa"/>
            <w:vAlign w:val="bottom"/>
            <w:tcBorders>
              <w:right w:val="single" w:sz="8" w:color="auto"/>
            </w:tcBorders>
            <w:vMerge w:val="continue"/>
          </w:tcPr>
          <w:p>
            <w:pPr>
              <w:spacing w:after="0"/>
              <w:rPr>
                <w:sz w:val="10"/>
                <w:szCs w:val="10"/>
                <w:color w:val="auto"/>
              </w:rPr>
            </w:pPr>
          </w:p>
        </w:tc>
        <w:tc>
          <w:tcPr>
            <w:tcW w:w="16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1"/>
              </w:rPr>
              <w:t>Registered (1)(2)(3)</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Per Unit (1)(2)(3)</w:t>
            </w:r>
          </w:p>
        </w:tc>
        <w:tc>
          <w:tcPr>
            <w:tcW w:w="260" w:type="dxa"/>
            <w:vAlign w:val="bottom"/>
          </w:tcPr>
          <w:p>
            <w:pPr>
              <w:spacing w:after="0"/>
              <w:rPr>
                <w:sz w:val="10"/>
                <w:szCs w:val="10"/>
                <w:color w:val="auto"/>
              </w:rPr>
            </w:pPr>
          </w:p>
        </w:tc>
        <w:tc>
          <w:tcPr>
            <w:tcW w:w="1500" w:type="dxa"/>
            <w:vAlign w:val="bottom"/>
            <w:tcBorders>
              <w:right w:val="single" w:sz="8" w:color="auto"/>
            </w:tcBorders>
            <w:vMerge w:val="restart"/>
          </w:tcPr>
          <w:p>
            <w:pPr>
              <w:jc w:val="center"/>
              <w:ind w:right="190"/>
              <w:spacing w:after="0"/>
              <w:rPr>
                <w:sz w:val="20"/>
                <w:szCs w:val="20"/>
                <w:color w:val="auto"/>
              </w:rPr>
            </w:pPr>
            <w:r>
              <w:rPr>
                <w:rFonts w:ascii="Arial" w:cs="Arial" w:eastAsia="Arial" w:hAnsi="Arial"/>
                <w:sz w:val="18"/>
                <w:szCs w:val="18"/>
                <w:b w:val="1"/>
                <w:bCs w:val="1"/>
                <w:color w:val="auto"/>
                <w:w w:val="92"/>
              </w:rPr>
              <w:t>Price (1)(2)(3)</w:t>
            </w:r>
          </w:p>
        </w:tc>
        <w:tc>
          <w:tcPr>
            <w:tcW w:w="18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Registration Fee (3)</w:t>
            </w:r>
          </w:p>
        </w:tc>
        <w:tc>
          <w:tcPr>
            <w:tcW w:w="0" w:type="dxa"/>
            <w:vAlign w:val="bottom"/>
          </w:tcPr>
          <w:p>
            <w:pPr>
              <w:spacing w:after="0"/>
              <w:rPr>
                <w:sz w:val="1"/>
                <w:szCs w:val="1"/>
                <w:color w:val="auto"/>
              </w:rPr>
            </w:pPr>
          </w:p>
        </w:tc>
      </w:tr>
      <w:tr>
        <w:trPr>
          <w:trHeight w:val="108"/>
        </w:trPr>
        <w:tc>
          <w:tcPr>
            <w:tcW w:w="4440" w:type="dxa"/>
            <w:vAlign w:val="bottom"/>
            <w:tcBorders>
              <w:bottom w:val="single" w:sz="8" w:color="auto"/>
              <w:right w:val="single" w:sz="8" w:color="auto"/>
            </w:tcBorders>
          </w:tcPr>
          <w:p>
            <w:pPr>
              <w:spacing w:after="0"/>
              <w:rPr>
                <w:sz w:val="9"/>
                <w:szCs w:val="9"/>
                <w:color w:val="auto"/>
              </w:rPr>
            </w:pPr>
          </w:p>
        </w:tc>
        <w:tc>
          <w:tcPr>
            <w:tcW w:w="1660" w:type="dxa"/>
            <w:vAlign w:val="bottom"/>
            <w:tcBorders>
              <w:bottom w:val="single" w:sz="8" w:color="auto"/>
              <w:right w:val="single" w:sz="8" w:color="auto"/>
            </w:tcBorders>
            <w:gridSpan w:val="2"/>
            <w:vMerge w:val="continue"/>
          </w:tcPr>
          <w:p>
            <w:pPr>
              <w:spacing w:after="0"/>
              <w:rPr>
                <w:sz w:val="9"/>
                <w:szCs w:val="9"/>
                <w:color w:val="auto"/>
              </w:rPr>
            </w:pPr>
          </w:p>
        </w:tc>
        <w:tc>
          <w:tcPr>
            <w:tcW w:w="1740" w:type="dxa"/>
            <w:vAlign w:val="bottom"/>
            <w:tcBorders>
              <w:bottom w:val="single" w:sz="8" w:color="auto"/>
              <w:right w:val="single" w:sz="8" w:color="auto"/>
            </w:tcBorders>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vMerge w:val="continue"/>
          </w:tcPr>
          <w:p>
            <w:pPr>
              <w:spacing w:after="0"/>
              <w:rPr>
                <w:sz w:val="9"/>
                <w:szCs w:val="9"/>
                <w:color w:val="auto"/>
              </w:rPr>
            </w:pPr>
          </w:p>
        </w:tc>
        <w:tc>
          <w:tcPr>
            <w:tcW w:w="1820" w:type="dxa"/>
            <w:vAlign w:val="bottom"/>
            <w:tcBorders>
              <w:bottom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4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Common Stock par value $0.001 per share</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Preferred Stock par value $0.001 per share</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Debt Securities</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Warrants</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Units(4)</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Total Registration Fee (5)</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125,000,000</w:t>
            </w:r>
          </w:p>
        </w:tc>
        <w:tc>
          <w:tcPr>
            <w:tcW w:w="174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125,000,000</w:t>
            </w: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16,225.00(6)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809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57" w:lineRule="exact"/>
        <w:rPr>
          <w:sz w:val="20"/>
          <w:szCs w:val="20"/>
          <w:color w:val="auto"/>
        </w:rPr>
      </w:pPr>
    </w:p>
    <w:p>
      <w:pPr>
        <w:ind w:left="400" w:right="400" w:hanging="327"/>
        <w:spacing w:after="0" w:line="254" w:lineRule="auto"/>
        <w:tabs>
          <w:tab w:leader="none" w:pos="366" w:val="left"/>
        </w:tabs>
        <w:numPr>
          <w:ilvl w:val="1"/>
          <w:numId w:val="1"/>
        </w:numPr>
        <w:rPr>
          <w:rFonts w:ascii="Arial" w:cs="Arial" w:eastAsia="Arial" w:hAnsi="Arial"/>
          <w:sz w:val="18"/>
          <w:szCs w:val="18"/>
          <w:color w:val="auto"/>
        </w:rPr>
      </w:pPr>
      <w:r>
        <w:rPr>
          <w:rFonts w:ascii="Arial" w:cs="Arial" w:eastAsia="Arial" w:hAnsi="Arial"/>
          <w:sz w:val="18"/>
          <w:szCs w:val="18"/>
          <w:color w:val="auto"/>
        </w:rPr>
        <w:t>An indeterminate amount or number of the securities of each identified class is being registered as may from time to time be issued at indeterminate prices in U.S. Dollars. Subject to Rule 462(b) under the Securities Act of 1933, as amended (the “Securities Act”), in no event will the aggregate maximum offering price of all securities sold pursuant to this registration statement exceed $125,000,000 or the equivalent thereof in one or more foreign currencies, foreign currency units or composite currencies.</w:t>
      </w:r>
    </w:p>
    <w:p>
      <w:pPr>
        <w:spacing w:after="0" w:line="2" w:lineRule="exact"/>
        <w:rPr>
          <w:rFonts w:ascii="Arial" w:cs="Arial" w:eastAsia="Arial" w:hAnsi="Arial"/>
          <w:sz w:val="18"/>
          <w:szCs w:val="18"/>
          <w:color w:val="auto"/>
        </w:rPr>
      </w:pPr>
    </w:p>
    <w:p>
      <w:pPr>
        <w:ind w:left="340" w:right="340" w:hanging="332"/>
        <w:spacing w:after="0" w:line="250" w:lineRule="auto"/>
        <w:tabs>
          <w:tab w:leader="none" w:pos="357"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proposed maximum aggregate offering price has been estimated solely for the purpose of calculating the registration fee pursuant to Rule 457(o) under the Securities Act of 1933, as amended.</w:t>
      </w:r>
    </w:p>
    <w:p>
      <w:pPr>
        <w:ind w:left="340" w:right="20" w:hanging="332"/>
        <w:spacing w:after="0" w:line="250" w:lineRule="auto"/>
        <w:tabs>
          <w:tab w:leader="none" w:pos="361"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Pursuant to Rule 416 under the Securities Act, this registration statement shall also cover such indeterminate number of shares of common stock, number of shares of preferred stock, warrants to purchase shares of common stock, warrants to purchase shares of preferred stock, shares issuable upon exercise of such warrants, debt securities and such shares of common stock or preferred stock as may be issuable with respect to the shares being registered hereunder as a result of stock splits, stock dividends or similar transactions.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securities registered hereunder may be sold separately or as units with other securities registered hereunder.</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Fluidigm Corporation will determine the proposed maximum aggregate offering price per unit when it issues the above listed securities.</w:t>
      </w:r>
    </w:p>
    <w:p>
      <w:pPr>
        <w:spacing w:after="0" w:line="9" w:lineRule="exact"/>
        <w:rPr>
          <w:rFonts w:ascii="Arial" w:cs="Arial" w:eastAsia="Arial" w:hAnsi="Arial"/>
          <w:sz w:val="18"/>
          <w:szCs w:val="18"/>
          <w:color w:val="auto"/>
        </w:rPr>
      </w:pPr>
    </w:p>
    <w:p>
      <w:pPr>
        <w:jc w:val="both"/>
        <w:ind w:left="340" w:right="160" w:hanging="332"/>
        <w:spacing w:after="0" w:line="281" w:lineRule="auto"/>
        <w:tabs>
          <w:tab w:leader="none" w:pos="357"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registration fee has been paid previously. A registration fee of $3,678.16 was previously paid by the registrant with respect to the unsold portion of the securities that were previously registered pursuant to Registration Statement No. 333-216542 (filed by the registrant on March 8, 2017, amended on April 28, 2017 and declared effective on May 2, 2017). Pursuant to Rule 457(p) under the Securities Act, the unused amount of the registration fee paid with respect to Registration Statement No. 333-216542 was carried over to Post-Effective Amendment No. 1 to this Registration Statement (File No.</w:t>
      </w:r>
    </w:p>
    <w:p>
      <w:pPr>
        <w:spacing w:after="0" w:line="2" w:lineRule="exact"/>
        <w:rPr>
          <w:rFonts w:ascii="Arial" w:cs="Arial" w:eastAsia="Arial" w:hAnsi="Arial"/>
          <w:sz w:val="16"/>
          <w:szCs w:val="16"/>
          <w:color w:val="auto"/>
        </w:rPr>
      </w:pPr>
    </w:p>
    <w:p>
      <w:pPr>
        <w:ind w:left="340" w:right="900"/>
        <w:spacing w:after="0" w:line="261" w:lineRule="auto"/>
        <w:rPr>
          <w:rFonts w:ascii="Arial" w:cs="Arial" w:eastAsia="Arial" w:hAnsi="Arial"/>
          <w:sz w:val="16"/>
          <w:szCs w:val="16"/>
          <w:color w:val="auto"/>
        </w:rPr>
      </w:pPr>
      <w:r>
        <w:rPr>
          <w:rFonts w:ascii="Arial" w:cs="Arial" w:eastAsia="Arial" w:hAnsi="Arial"/>
          <w:sz w:val="18"/>
          <w:szCs w:val="18"/>
          <w:color w:val="auto"/>
        </w:rPr>
        <w:t>333-230383). Accordingly, the registrant previously paid $12,546.84 in connection with the filing of Post-Effective Amendment No. 1 to this Registration Statement and the registrant is not paying any additional filing fee in connection with this filing.</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shall file a further amendment which specifically states that this registration statement shall thereafter become effective in accordance with Section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8(a) of the Securities Act of 1933 or until the registration statement shall become effective on such date as the SEC, acting pursuant to said Section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820420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ind w:left="5080"/>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Post-Effective Amendment No. 1 to the Registration Statement on Form S-3 (File No. 333-230383) (the “Registration Statement”) of Fluidigm Corporation (the “Registrant”) was filed on February 14, 2020 because the Registrant expected that it would cease to be a well-known seasoned issuer (as such term is defined in Rule 405 under the Securities Act) upon the filing of its Annual Report on Form 10-K for the year ended December 31, 2019. Accordingly, the Registrant filed Post-Effective Amendment No. 1 for the purpose of including disclosure required for a registrant other than a well-known seasoned issuer.</w:t>
      </w:r>
    </w:p>
    <w:p>
      <w:pPr>
        <w:spacing w:after="0" w:line="15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Post-Effective Amendment No. 2 to the Registration Statement is being filed because the Registrant is no longer a well-known seasoned issuer. Accordingly, the Registrant is filing this Post-Effective Amendment No. 2 for the purpose of amending the Registration Statement to convert it from a Form S-3ASR (automatic shelf registration statement) to a Form S-3 (non-automatic shelf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31" w:right="399" w:bottom="1440" w:gutter="0" w:footer="0" w:header="0"/>
        </w:sectPr>
      </w:pPr>
    </w:p>
    <w:bookmarkStart w:id="3" w:name="page4"/>
    <w:bookmarkEnd w:id="3"/>
    <w:p>
      <w:pPr>
        <w:ind w:right="20"/>
        <w:spacing w:after="0" w:line="266" w:lineRule="auto"/>
        <w:rPr>
          <w:sz w:val="20"/>
          <w:szCs w:val="20"/>
          <w:color w:val="auto"/>
        </w:rPr>
      </w:pPr>
      <w:r>
        <w:rPr>
          <w:rFonts w:ascii="Arial" w:cs="Arial" w:eastAsia="Arial" w:hAnsi="Arial"/>
          <w:sz w:val="18"/>
          <w:szCs w:val="18"/>
          <w:b w:val="1"/>
          <w:bCs w:val="1"/>
          <w:color w:val="FF0000"/>
        </w:rPr>
        <w:t>The information in this prospectus is not complete and may be changed. We may not sell these securities until the U.S. Securities and Exchange Commission declares our registration statement effective. This prospectus is not an offer to sell these securities and we are not soliciting offers to buy these securities in any jurisdiction where the offer or sale is not permitted.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0000"/>
        </w:rPr>
        <w:t>SUBJECT TO COMPLETION, DATED FEBRUARY 27,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$125,000,000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1801495</wp:posOffset>
            </wp:positionV>
            <wp:extent cx="18097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154940</wp:posOffset>
            </wp:positionV>
            <wp:extent cx="4313555" cy="14408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13555" cy="144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 may offer, from time to time,</w:t>
      </w:r>
    </w:p>
    <w:p>
      <w:pPr>
        <w:sectPr>
          <w:pgSz w:w="11900" w:h="16838" w:orient="portrait"/>
          <w:cols w:equalWidth="0" w:num="1">
            <w:col w:w="11420"/>
          </w:cols>
          <w:pgMar w:left="240" w:top="904" w:right="239" w:bottom="1440" w:gutter="0" w:footer="0" w:header="0"/>
        </w:sectPr>
      </w:pP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warrants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preferred stock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debt securities</w:t>
      </w:r>
    </w:p>
    <w:p>
      <w:pPr>
        <w:spacing w:after="0" w:line="222" w:lineRule="exact"/>
        <w:rPr>
          <w:sz w:val="20"/>
          <w:szCs w:val="20"/>
          <w:color w:val="auto"/>
        </w:rPr>
      </w:pPr>
    </w:p>
    <w:p>
      <w:pPr>
        <w:sectPr>
          <w:pgSz w:w="11900" w:h="16838" w:orient="portrait"/>
          <w:cols w:equalWidth="0" w:num="4">
            <w:col w:w="3020" w:space="300"/>
            <w:col w:w="1780" w:space="720"/>
            <w:col w:w="40" w:space="320"/>
            <w:col w:w="5240"/>
          </w:cols>
          <w:pgMar w:left="240" w:top="904" w:right="239" w:bottom="1440" w:gutter="0" w:footer="0" w:header="0"/>
          <w:type w:val="continuous"/>
        </w:sectPr>
      </w:pPr>
    </w:p>
    <w:p>
      <w:pPr>
        <w:spacing w:after="0" w:line="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securities listed above may be sold separately or as units with other securities.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We may from time to time in one or more offerings offer and sell common stock, preferred stock, debt securities, warrants to purchase common stock or preferred stock or debt securities, or any combination of the foregoing, either individually or as units comprised of one or more of the other securities.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aggregate offering price of the securities sold pursuant to this prospectus will not exceed $125,000,000.</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This prospectus may not be used to sell securities unless accompanied by a prospectus supplement, which will describe the method and the terms of the offering. We will provide you with the specific amount, price and terms of the applicable offered securities in one or more supplements to this prospectus. You should read this prospectus and any supplement carefully before you purchase any of our securities.</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“FLDM.” On February 26, 2020, the last reported sale price on the Nasdaq Global Select Market was $3.35 per share. There is currently no market for the other securities we may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151765</wp:posOffset>
            </wp:positionV>
            <wp:extent cx="18097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Investing in our securities involves risks. Please carefully read the information under the headings “Risk Factors” beginning on page 5 of this prospectus and “Item 1A—Risk Factors” of our most recent report on Form 10-K or 10-Q which is incorporated by reference in this prospectus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157480</wp:posOffset>
            </wp:positionV>
            <wp:extent cx="18097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b w:val="1"/>
          <w:bCs w:val="1"/>
          <w:color w:val="auto"/>
        </w:rPr>
        <w:t>WE MAY AMEND OR SUPPLEMENT THIS PROSPECTUS FROM TIME TO TIME BY FILING AMENDMENTS OR SUPPLEMENTS AS REQUIRED. WE URGE YOU TO READ THE ENTIRE PROSPECTUS, ANY AMENDMENTS OR SUPPLEMENTS, ANY FREE WRITING PROSPECTUSES, AND ANY DOCUMENTS INCORPORATED BY REFERENCE CAREFULLY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4" w:name="page5"/>
    <w:bookmarkEnd w:id="4"/>
    <w:p>
      <w:pPr>
        <w:ind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8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These securities may be offered and sold to or through one or more underwriters, dealers and agents, or directly to purchasers, on a continuous or delayed basis. If underwriters, dealers, or agents are used to sell the securities, we will name them and describe their compensation in a prospectus supplement. In addition, the underwriters may overallot a portion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124460</wp:posOffset>
            </wp:positionV>
            <wp:extent cx="12522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52220" cy="17145"/>
                    </a:xfrm>
                    <a:prstGeom prst="rect">
                      <a:avLst/>
                    </a:prstGeom>
                    <a:noFill/>
                  </pic:spPr>
                </pic:pic>
              </a:graphicData>
            </a:graphic>
          </wp:anchor>
        </w:drawing>
      </w:r>
    </w:p>
    <w:p>
      <w:pPr>
        <w:spacing w:after="0" w:line="400" w:lineRule="exact"/>
        <w:rPr>
          <w:sz w:val="20"/>
          <w:szCs w:val="20"/>
          <w:color w:val="auto"/>
        </w:rPr>
      </w:pPr>
    </w:p>
    <w:tbl>
      <w:tblPr>
        <w:tblLayout w:type="fixed"/>
        <w:tblInd w:w="400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 2020.</w:t>
            </w:r>
          </w:p>
        </w:tc>
      </w:tr>
    </w:tbl>
    <w:p>
      <w:pPr>
        <w:spacing w:after="0" w:line="200" w:lineRule="exact"/>
        <w:rPr>
          <w:sz w:val="20"/>
          <w:szCs w:val="20"/>
          <w:color w:val="auto"/>
        </w:rPr>
      </w:pPr>
    </w:p>
    <w:p>
      <w:pPr>
        <w:spacing w:after="0" w:line="2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904" w:right="4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20" w:type="dxa"/>
            <w:vAlign w:val="bottom"/>
            <w:gridSpan w:val="5"/>
          </w:tcPr>
          <w:p>
            <w:pPr>
              <w:ind w:left="94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20" w:type="dxa"/>
            <w:vAlign w:val="bottom"/>
            <w:gridSpan w:val="5"/>
          </w:tcPr>
          <w:p>
            <w:pPr>
              <w:ind w:left="724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0" w:type="dxa"/>
            <w:vAlign w:val="bottom"/>
            <w:gridSpan w:val="14"/>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About This Prospectus</w:t>
              </w:r>
            </w:hyperlink>
          </w:p>
        </w:tc>
        <w:tc>
          <w:tcPr>
            <w:tcW w:w="76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7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20" w:type="dxa"/>
            <w:vAlign w:val="bottom"/>
            <w:gridSpan w:val="7"/>
          </w:tcPr>
          <w:p>
            <w:pPr>
              <w:spacing w:after="0" w:line="17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Prospectus Summary</w:t>
              </w:r>
            </w:hyperlink>
          </w:p>
        </w:tc>
        <w:tc>
          <w:tcPr>
            <w:tcW w:w="2180" w:type="dxa"/>
            <w:vAlign w:val="bottom"/>
            <w:gridSpan w:val="7"/>
          </w:tcPr>
          <w:p>
            <w:pPr>
              <w:spacing w:after="0"/>
              <w:rPr>
                <w:sz w:val="15"/>
                <w:szCs w:val="15"/>
                <w:color w:val="auto"/>
              </w:rPr>
            </w:pPr>
          </w:p>
        </w:tc>
        <w:tc>
          <w:tcPr>
            <w:tcW w:w="7600" w:type="dxa"/>
            <w:vAlign w:val="bottom"/>
            <w:gridSpan w:val="4"/>
          </w:tcPr>
          <w:p>
            <w:pPr>
              <w:jc w:val="right"/>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2"/>
            <w:shd w:val="clear" w:color="auto" w:fill="CCEEFF"/>
          </w:tcPr>
          <w:p>
            <w:pPr>
              <w:spacing w:after="0" w:line="17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Risk Factors</w:t>
              </w:r>
            </w:hyperlink>
          </w:p>
        </w:tc>
        <w:tc>
          <w:tcPr>
            <w:tcW w:w="2900" w:type="dxa"/>
            <w:vAlign w:val="bottom"/>
            <w:gridSpan w:val="12"/>
            <w:shd w:val="clear" w:color="auto" w:fill="CCEEFF"/>
          </w:tcPr>
          <w:p>
            <w:pPr>
              <w:spacing w:after="0"/>
              <w:rPr>
                <w:sz w:val="15"/>
                <w:szCs w:val="15"/>
                <w:color w:val="auto"/>
              </w:rPr>
            </w:pPr>
          </w:p>
        </w:tc>
        <w:tc>
          <w:tcPr>
            <w:tcW w:w="76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7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0" w:type="dxa"/>
            <w:vAlign w:val="bottom"/>
            <w:gridSpan w:val="14"/>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Forward-Looking Statements</w:t>
              </w:r>
            </w:hyperlink>
          </w:p>
        </w:tc>
        <w:tc>
          <w:tcPr>
            <w:tcW w:w="7600" w:type="dxa"/>
            <w:vAlign w:val="bottom"/>
            <w:gridSpan w:val="4"/>
          </w:tcPr>
          <w:p>
            <w:pPr>
              <w:jc w:val="right"/>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gridSpan w:val="4"/>
            <w:shd w:val="clear" w:color="auto" w:fill="CCEEFF"/>
          </w:tcPr>
          <w:p>
            <w:pPr>
              <w:spacing w:after="0" w:line="176" w:lineRule="exact"/>
              <w:rPr>
                <w:rFonts w:ascii="Arial" w:cs="Arial" w:eastAsia="Arial" w:hAnsi="Arial"/>
                <w:sz w:val="18"/>
                <w:szCs w:val="18"/>
                <w:color w:val="0000EE"/>
                <w:w w:val="85"/>
              </w:rPr>
            </w:pPr>
            <w:hyperlink w:anchor="page12">
              <w:r>
                <w:rPr>
                  <w:rFonts w:ascii="Arial" w:cs="Arial" w:eastAsia="Arial" w:hAnsi="Arial"/>
                  <w:sz w:val="18"/>
                  <w:szCs w:val="18"/>
                  <w:color w:val="0000EE"/>
                  <w:w w:val="85"/>
                </w:rPr>
                <w:t>Use of Proceeds</w:t>
              </w:r>
            </w:hyperlink>
          </w:p>
        </w:tc>
        <w:tc>
          <w:tcPr>
            <w:tcW w:w="2640" w:type="dxa"/>
            <w:vAlign w:val="bottom"/>
            <w:gridSpan w:val="10"/>
            <w:shd w:val="clear" w:color="auto" w:fill="CCEEFF"/>
          </w:tcPr>
          <w:p>
            <w:pPr>
              <w:spacing w:after="0"/>
              <w:rPr>
                <w:sz w:val="15"/>
                <w:szCs w:val="15"/>
                <w:color w:val="auto"/>
              </w:rPr>
            </w:pPr>
          </w:p>
        </w:tc>
        <w:tc>
          <w:tcPr>
            <w:tcW w:w="76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7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0" w:type="dxa"/>
            <w:vAlign w:val="bottom"/>
            <w:gridSpan w:val="14"/>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Dividend Policy</w:t>
              </w:r>
            </w:hyperlink>
          </w:p>
        </w:tc>
        <w:tc>
          <w:tcPr>
            <w:tcW w:w="7600" w:type="dxa"/>
            <w:vAlign w:val="bottom"/>
            <w:gridSpan w:val="4"/>
          </w:tcPr>
          <w:p>
            <w:pPr>
              <w:jc w:val="right"/>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0" w:type="dxa"/>
            <w:vAlign w:val="bottom"/>
            <w:gridSpan w:val="14"/>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Description of Our Capital Stock</w:t>
              </w:r>
            </w:hyperlink>
          </w:p>
        </w:tc>
        <w:tc>
          <w:tcPr>
            <w:tcW w:w="76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7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0" w:type="dxa"/>
            <w:vAlign w:val="bottom"/>
            <w:gridSpan w:val="14"/>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Description of the Debt Securities</w:t>
              </w:r>
            </w:hyperlink>
          </w:p>
        </w:tc>
        <w:tc>
          <w:tcPr>
            <w:tcW w:w="7600" w:type="dxa"/>
            <w:vAlign w:val="bottom"/>
            <w:gridSpan w:val="4"/>
          </w:tcPr>
          <w:p>
            <w:pPr>
              <w:jc w:val="right"/>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11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98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Description of the Warrants</w:t>
              </w:r>
            </w:hyperlink>
          </w:p>
        </w:tc>
        <w:tc>
          <w:tcPr>
            <w:tcW w:w="1820" w:type="dxa"/>
            <w:vAlign w:val="bottom"/>
            <w:tcBorders>
              <w:bottom w:val="single" w:sz="8" w:color="CCEEFF"/>
            </w:tcBorders>
            <w:gridSpan w:val="6"/>
            <w:shd w:val="clear" w:color="auto" w:fill="CCEEFF"/>
          </w:tcPr>
          <w:p>
            <w:pPr>
              <w:spacing w:after="0"/>
              <w:rPr>
                <w:sz w:val="17"/>
                <w:szCs w:val="17"/>
                <w:color w:val="auto"/>
              </w:rPr>
            </w:pPr>
          </w:p>
        </w:tc>
        <w:tc>
          <w:tcPr>
            <w:tcW w:w="742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gridSpan w:val="14"/>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Plan of Distribution</w:t>
              </w:r>
            </w:hyperlink>
          </w:p>
        </w:tc>
        <w:tc>
          <w:tcPr>
            <w:tcW w:w="7600" w:type="dxa"/>
            <w:vAlign w:val="bottom"/>
            <w:gridSpan w:val="4"/>
          </w:tcPr>
          <w:p>
            <w:pPr>
              <w:jc w:val="right"/>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22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Legal Matters</w:t>
              </w:r>
            </w:hyperlink>
          </w:p>
        </w:tc>
        <w:tc>
          <w:tcPr>
            <w:tcW w:w="2800" w:type="dxa"/>
            <w:vAlign w:val="bottom"/>
            <w:tcBorders>
              <w:bottom w:val="single" w:sz="8" w:color="CCEEFF"/>
            </w:tcBorders>
            <w:gridSpan w:val="11"/>
            <w:shd w:val="clear" w:color="auto" w:fill="CCEEFF"/>
          </w:tcPr>
          <w:p>
            <w:pPr>
              <w:spacing w:after="0"/>
              <w:rPr>
                <w:sz w:val="17"/>
                <w:szCs w:val="17"/>
                <w:color w:val="auto"/>
              </w:rPr>
            </w:pPr>
          </w:p>
        </w:tc>
        <w:tc>
          <w:tcPr>
            <w:tcW w:w="742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gridSpan w:val="14"/>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Experts</w:t>
              </w:r>
            </w:hyperlink>
          </w:p>
        </w:tc>
        <w:tc>
          <w:tcPr>
            <w:tcW w:w="7600" w:type="dxa"/>
            <w:vAlign w:val="bottom"/>
            <w:gridSpan w:val="4"/>
          </w:tcPr>
          <w:p>
            <w:pPr>
              <w:jc w:val="right"/>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25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Where You Can Find More Information</w:t>
              </w:r>
            </w:hyperlink>
          </w:p>
        </w:tc>
        <w:tc>
          <w:tcPr>
            <w:tcW w:w="940" w:type="dxa"/>
            <w:vAlign w:val="bottom"/>
            <w:tcBorders>
              <w:bottom w:val="single" w:sz="8" w:color="CCEEFF"/>
            </w:tcBorders>
            <w:shd w:val="clear" w:color="auto" w:fill="CCEEFF"/>
          </w:tcPr>
          <w:p>
            <w:pPr>
              <w:spacing w:after="0"/>
              <w:rPr>
                <w:sz w:val="17"/>
                <w:szCs w:val="17"/>
                <w:color w:val="auto"/>
              </w:rPr>
            </w:pPr>
          </w:p>
        </w:tc>
        <w:tc>
          <w:tcPr>
            <w:tcW w:w="742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2820" w:type="dxa"/>
            <w:vAlign w:val="bottom"/>
            <w:tcBorders>
              <w:bottom w:val="single" w:sz="8" w:color="0000EE"/>
            </w:tcBorders>
            <w:gridSpan w:val="12"/>
          </w:tcPr>
          <w:p>
            <w:pPr>
              <w:spacing w:after="0" w:line="17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Information Incorporated by Reference</w:t>
              </w:r>
            </w:hyperlink>
          </w:p>
        </w:tc>
        <w:tc>
          <w:tcPr>
            <w:tcW w:w="980" w:type="dxa"/>
            <w:vAlign w:val="bottom"/>
            <w:gridSpan w:val="2"/>
          </w:tcPr>
          <w:p>
            <w:pPr>
              <w:spacing w:after="0"/>
              <w:rPr>
                <w:sz w:val="15"/>
                <w:szCs w:val="15"/>
                <w:color w:val="auto"/>
              </w:rPr>
            </w:pPr>
          </w:p>
        </w:tc>
        <w:tc>
          <w:tcPr>
            <w:tcW w:w="7420" w:type="dxa"/>
            <w:vAlign w:val="bottom"/>
            <w:gridSpan w:val="2"/>
          </w:tcPr>
          <w:p>
            <w:pPr>
              <w:spacing w:after="0"/>
              <w:rPr>
                <w:sz w:val="15"/>
                <w:szCs w:val="15"/>
                <w:color w:val="auto"/>
              </w:rPr>
            </w:pPr>
          </w:p>
        </w:tc>
        <w:tc>
          <w:tcPr>
            <w:tcW w:w="180" w:type="dxa"/>
            <w:vAlign w:val="bottom"/>
            <w:tcBorders>
              <w:bottom w:val="single" w:sz="8" w:color="0000EE"/>
            </w:tcBorders>
            <w:gridSpan w:val="2"/>
          </w:tcPr>
          <w:p>
            <w:pPr>
              <w:jc w:val="right"/>
              <w:spacing w:after="0" w:line="17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or the SEC, using a “shelf” registration process. Under this shelf registration process, we may, from time to time, offer or sell any combination of the securities described in this prospectus in one or more offerings up to a total amount of $125,000,000.</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This prospectus provides you with a general description of the securities we may offer. Each time we sell securities, we will provide a prospectus supplement that will contain specific information about the terms of that offering. The prospectus supplement may also add to, update or change information contained in this prospectus and, accordingly, to the extent inconsistent, information in this prospectus is superseded by the information in the prospectus supplement.</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No person has been authorized to give any information or make any representations in connection with this offering other than those contained or incorporated by reference in this prospectus, any accompanying prospectus supplement and any related free writing prospectus in connection with the offering described herein and therein. Neither this prospectus nor any prospectus supplement nor any related issuer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w:t>
      </w:r>
    </w:p>
    <w:p>
      <w:pPr>
        <w:spacing w:after="0" w:line="178"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You should read the entire prospectus and any prospectus supplement and any related issuer free writing prospectus, as well as the documents incorporated by reference into this prospectus or any prospectus supplement or any related issuer free writing prospectus, before making an investment decision. Neither the delivery of this prospectus or any prospectus supplement or any issuer free writing prospectus nor any sale made hereunder shall under any circumstances imply that the information contained or incorporated by reference herein or in any prospectus supplement or issuer free writing prospectus is correct as of any date subsequent to the date hereof or of such prospectus supplement or issuer free writing prospectus, as applicable. You should assume that the information appearing in this prospectus, any prospectus supplement or any document incorporated by reference is accurate only as of the date of the applicable documents, regardless of the time of delivery of this prospectus or any sale of securities. Our business, financial condition, results of operations and prospects may have changed since that date.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584200</wp:posOffset>
            </wp:positionV>
            <wp:extent cx="7250430" cy="5509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5509895"/>
                    </a:xfrm>
                    <a:prstGeom prst="rect">
                      <a:avLst/>
                    </a:prstGeom>
                    <a:noFill/>
                  </pic:spPr>
                </pic:pic>
              </a:graphicData>
            </a:graphic>
          </wp:anchor>
        </w:drawing>
        <w:t>PROSPECTUS SUMMARY</w:t>
      </w:r>
    </w:p>
    <w:p>
      <w:pPr>
        <w:spacing w:after="0" w:line="2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i w:val="1"/>
          <w:iCs w:val="1"/>
          <w:color w:val="auto"/>
        </w:rPr>
        <w:t>This summary highlights information contained elsewhere in this prospectus or incorporated herein by reference. This summary is not complete and does not contain all of the information that you should consider before deciding to invest in our securities. We urge you to read this entire prospectus and the information incorporated by reference in this prospectus carefully, including the “Risk Factors” section. In this prospectus, unless the context indicates otherwise, the terms “company,” “Fluidigm”, “we,” “us,” and “our” refer to Fluidigm Corporation and its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Fluidigm is a global company that improves life through comprehensive health insight. Our innovative patented technologies and multi-omic tools are used by researchers to reveal meaningful insights into health and disease, identify biomarkers to inform decisions, and accelerate the development of more effective therapies. We create, manufacture, and market a range of products and services, including instruments, reagents and software that are used by researchers worldwide.</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focus is on the most pressing needs in translational and clinical research, including cancer, immunology and immunotherapy. We use proprietary CyTOF® and microfluidics technologies to develop innovative end-to-end solutions that have the flexibility required to meet the needs of translational research and the robustness to support high-impact clinical research studies.</w:t>
      </w:r>
    </w:p>
    <w:p>
      <w:pPr>
        <w:spacing w:after="0" w:line="18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mass cytometry Helios™ system deeply profiles cell phenotype and function. Referenced by hundreds of peer-reviewed publications around the world, mass cytometry is setting a new standard in human immune profiling. Transforming biological imaging, our Hyperion™ Imaging System enables highly multiplexed protein biomarker detection in tissues and tumors while still preserving tissue architecture and cellular morphology information using Imaging Mass Cytometry™ (IMC™). Our microfluidic systems complement our mass cytometry offerings by providing highly scalable and automated workflows for quantitative polymerase chain reaction (PCR), gene expression, copy number variation analysis, and next-generation sequencing library preparation. Used to detect somatic and genomic variations from a range of different sample types, these automated systems provide the cost efficiencies, flexibility and proven analytical performance that customers need to meet the increasing demands of molecular biomarker analysis.</w:t>
      </w:r>
    </w:p>
    <w:p>
      <w:pPr>
        <w:spacing w:after="0" w:line="16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are a trusted partner of leading academic, government, pharmaceutical, biotechnology, contract research organizations, and plant and animal research laboratories worldwide and we strive to increase the quality of life for 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were incorporated in California in May 1999 as Mycometrix Corporation, changed our name to Fluidigm Corporation in April 2001 and reincorporated in Delaware in July 2007. Our principal executive offices are located at 7000 Shoreline Court, Suite 100, South San Francisco, California 94080 until March 13, 2020, and thereafter will be located at Two Tower Place, South San Francisco, California 94080. Our telephone number is (650) 266-6000. We maintain an Internet website at www.fluidigm.com. We have not incorporated the information on our website by reference into this prospectus, and you should not consider it to be a part of this prospectus.</w:t>
      </w: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1134" w:right="259" w:bottom="1440" w:gutter="0" w:footer="0" w:header="0"/>
        </w:sectPr>
      </w:pPr>
    </w:p>
    <w:bookmarkStart w:id="8" w:name="page9"/>
    <w:bookmarkEnd w:id="8"/>
    <w:p>
      <w:pPr>
        <w:ind w:firstLine="648"/>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447040</wp:posOffset>
            </wp:positionV>
            <wp:extent cx="7250430" cy="5372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5372735"/>
                    </a:xfrm>
                    <a:prstGeom prst="rect">
                      <a:avLst/>
                    </a:prstGeom>
                    <a:noFill/>
                  </pic:spPr>
                </pic:pic>
              </a:graphicData>
            </a:graphic>
          </wp:anchor>
        </w:drawing>
        <w:t>Fluidigm®, the Fluidigm logo, 48.Atlas™, Acculift™, Access Array™, Advanta™, Biomark™, Bringing new insights to life™, C1™, Callisto™, Cell-ID™, CyTOF®, D3™, Delta Gene™, Direct™, Digital Array™, Dynamic Array™, EP1™, EQ™, FC1™, Flex Six™, Helios™, High-Precision 96.96 Genotyping™, Hyperion™, IMC™, Imaging Mass Cytometry™, Immune Profiling Assay™, Juno™, Maxpar®, MCD™, MSL®, Nanoflex™, Open App™, Pathsetter™, Polaris™, qdPCR 37K™, Script Builder™, Script Hub™, Singular™, SNP Trace™, and SNP Type™ are trademarks or registered trademarks of Fluidigm Corporation. Other service marks, trademarks and trade names appearing in or incorporated by reference into this prospectus are the property of their respective owners.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may offer or sell common stock, preferred stock, debt securities and warrants in one or more offerings and in any combination either individually or as units comprised of one or more of the other securities. The aggregate offering price of the securities sold pursuant to this prospectus will not exceed $125,000,000. Each time we offer securities with this prospectus, we will provide a prospectus supplement that will describe the specific amounts, prices and terms of the securities being offered.</w:t>
      </w:r>
    </w:p>
    <w:p>
      <w:pPr>
        <w:spacing w:after="0" w:line="187" w:lineRule="exact"/>
        <w:rPr>
          <w:sz w:val="20"/>
          <w:szCs w:val="20"/>
          <w:color w:val="auto"/>
        </w:rPr>
      </w:pPr>
    </w:p>
    <w:p>
      <w:pPr>
        <w:ind w:right="480" w:firstLine="648"/>
        <w:spacing w:after="0" w:line="302" w:lineRule="auto"/>
        <w:rPr>
          <w:sz w:val="20"/>
          <w:szCs w:val="20"/>
          <w:color w:val="auto"/>
        </w:rPr>
      </w:pPr>
      <w:r>
        <w:rPr>
          <w:rFonts w:ascii="Arial" w:cs="Arial" w:eastAsia="Arial" w:hAnsi="Arial"/>
          <w:sz w:val="16"/>
          <w:szCs w:val="16"/>
          <w:color w:val="auto"/>
        </w:rPr>
        <w:t>We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may offer shares of our common stock, par value $0.001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Currently, we do not pay a cash dividend. Each holder of common stock is entitled to one vote per share. The holders of common stock have no preemptive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may issue preferred stock in one or more series. Our board of directors or a committee designated by the board will determine the dividend, voting and conversion rights and other provisions at the time of sale. Each series of preferred stock will be more fully described in the particular prospectus supplement that will accompany this prospectus, including redemption provisions, rights in the event of liquidation, dissolution or the winding up of Fluidigm Corporation, voting rights and rights to convert into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may issue warrants for the purchase of common stock, preferred stock or debt securities. We may issue warrants independently or together with other securities.</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922"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447040</wp:posOffset>
            </wp:positionV>
            <wp:extent cx="7250430" cy="26282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628265"/>
                    </a:xfrm>
                    <a:prstGeom prst="rect">
                      <a:avLst/>
                    </a:prstGeom>
                    <a:noFill/>
                  </pic:spPr>
                </pic:pic>
              </a:graphicData>
            </a:graphic>
          </wp:anchor>
        </w:drawing>
        <w:t>Debt Securities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may offer secured or unsecured obligations in the form of one or more series of debt securities, which may be senior, senior subordinated or subordinated obligations. Any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18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debt securities will be issued under an indenture, as supplemented by a resolution of our board of directors, an officer’s certificate or a supplemental indenture, between us and a trustee. We have summarized the general features of the debt securities to be governed by the indenture. The indenture has been filed as an exhibit to the registration statement of which this prospectus forms a part. We encourage you to read the indenture. Instructions on how you can get copies of this document are provided under the heading “Where You Can Find More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may issue units comprised of one or more of the other classes of securities issued by us as described in this prospectus in any combination. Each unit will be issued so that the holder of the unit is also the holder of each security included in the unit.</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60" w:top="918" w:right="27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or “Part II—Item 1A—Risk Factors” in our Quarterly Reports on Form 10-Q which are incorporated herein by reference, and may be amended, supplemented or superseded from time to time by other reports we file with the SEC in the future and any prospectus supplement related to a particular offering. The risks and uncertainties we have described are not the only ones we face. Additional risks and uncertainties not presently known to us or that we currently deem immaterial may also affect our operations.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This prospectus includes and incorporates by reference forward-looking statements within the meaning of Section 27A of the Securities Act of 1933, as amended, or Securities Act, and Section 21E of the Securities Exchange Act of 1934, as amended, or Exchange Act, that are based on our management’s beliefs and assumptions and on information currently available to our management. Forward-looking statements include information concerning our possible or assumed future results of operations, business strategies, financing plans, competitive position, industry environment, potential growth opportunities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 Although we believe that we have a reasonable basis for each forward-looking statement contained and incorporated by reference included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this prospectus entitled “Risk Factors,” in “Part I—Item 1A—Risk Factors” of our most recent report on Form 10-K or “Part II—Item 1A—Risk Factors” in our Quarterly Reports on Form 10-Q which is incorporated by reference in this prospectus as well as other disclosures included in this prospectus or the supplement hereto, discuss some of the factors that could contribute to these differences.</w:t>
      </w:r>
    </w:p>
    <w:p>
      <w:pPr>
        <w:spacing w:after="0" w:line="16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Other unknown or unpredictable factors also could harm our results. Consequently, actual results or developments anticipated by us may not be realized or, even if substantially realized, may not have the expected consequences to, or effects on, us. Given these uncertainties, prospective investors are cautioned not to place undue reliance on such forward-looking statements. Except as required by law, we undertake no obligation to update or revise publicly any of the forward-looking statements after the date of this prospectus.</w:t>
      </w:r>
    </w:p>
    <w:p>
      <w:pPr>
        <w:spacing w:after="0" w:line="187"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This prospectus and the documents incorporated by reference in this prospectus contain market data that we obtained from industry sources, including independent industry publications. In presenting this information, we have also made assumptions based on such data and other similar sources and on our knowledge of, and our experience to date in, the markets for our products. This data involves a number of assumptions and limitations, and you are cautioned not to give undue weight to such estimates. While we believe the market data included in this prospectus is generally reliable, such information is inherently imprecise. In addition, projections, assumptions and estimates of our future performance and the future performance of the industry in which we operate are necessarily subject to a high degree of uncertainty and risk due to a variety of factors, including those described under the heading “Risk Factors” in this prospectus and “Item 1A—Risk Factors” of our most recent report on Form 10-K or 10-Q which is incorporated by reference in this prospectus. These and other factors could cause results to differ materially from those expressed in the estimates made by the independent parties and by us.</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Unless we state otherwise in the applicable prospectus supplement, we expect to use the net proceeds that we will receive from the sale of the securities for general corporate purposes, including working capital, capital expenditures, and continued research and development with respect to products and technologies. We may also use a portion of the net proceeds to fund possible investments in or acquisitions of complementary businesses, products, or technologies. As of the date of this prospectus, we have no agreements or commitments to complete any such transaction. Pending these uses, we may invest our net proceeds from this offering primarily in investment-grade, interest-bearing instruments.</w:t>
      </w:r>
    </w:p>
    <w:p>
      <w:pPr>
        <w:spacing w:after="0" w:line="1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specific allocations of the proceeds we receive from the sale of our securities will be described in the applicable prospectus supplement.</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We have never declared or paid any cash dividends on our capital stock. We currently intend to retain all future earnings for the operation and expansion of our business and, therefore, we do not anticipate declaring or paying cash dividends in the foreseeable future. In addition, we are subject to covenants under debt arrangements that place restrictions on our ability to pay dividends. The payment of dividends will be at the discretion of our board of directors and will depend on our results of operations, capital requirements, financial condition, prospects, contractual arrangements, any limitations on payment of dividends present in our current and future debt agreements, and other factors that our board of directors may deem relevant.</w:t>
      </w: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04" w:right="35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The following is a summary of the material provisions of the common stock and the preferred stock contained in our certificate of incorporation and bylaws. For more detailed definition, please refer to our certificate of incorporation and bylaws, each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authorized capital stock consists of 210,000,000 shares, all with a par value of $0.001 per share, of which:</w:t>
      </w:r>
    </w:p>
    <w:p>
      <w:pPr>
        <w:spacing w:after="0" w:line="225"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200,000,000 shares are designated as common stock;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10,000,000 shares are designated as preferred stock.</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As of January 31, 2020, we had outstanding 70,445,622 shares of common stock held of record by 87 stockholders. In addition, as of January 31, 2020, 5,130,377 shares of our common stock were subject to outstanding awards under our equity incentive plans, of which 1,997,517 shares of common stock were issuable upon exercise of options outstanding as of January 31, 2020, at a weighted average exercise price of $7.81 per share and 3,132,860 shares of common stock were issuable upon the vesting of restricted stock units and performance-based restricted stock units outstanding as of January 31, 2020.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holders of our common stock are entitled to one vote per share on all matters to be voted on by our stockholders. Subject to preferences that may be applicable to any outstanding shares of preferred stock, holders of common stock are entitled to receive ratably such dividends as may be declared by our board of directors out of funds legally available for that purpose. In the event of our liquidation, dissolution or winding up, the holders of common stock are entitled to share ratably in all assets remaining after the payment of liabilities, subject to the prior distribution rights of preferred stock then outstanding. Holders of common stock have no preemptive, conversion or subscription rights. There are no redemption or sinking fund provisions applicable to the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No shares of preferred stock are outstanding. Our board of directors has the authority, without further action by our stockholders, to designate and issue up to 10,000,000 shares of preferred stock in one or more series. Our board of directors may also designate the rights, preferences and privileges of each such series of preferred stock, any or all of which may be greater than or senior to those of the common stock. The actual effect of any such issuance on the rights of the holders of common stock will not be known until our board of directors determines the specific rights of the holders of preferred stock; however, the potential effects of such an issuance include:</w:t>
      </w:r>
    </w:p>
    <w:p>
      <w:pPr>
        <w:spacing w:after="0" w:line="188"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diluting the voting power of the holders of common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reducing the likelihood that holders of common stock will receive dividend payments;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reducing the likelihood that holders of common stock will receive payments in the event of our liquidation, dissolution, or winding up; and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delaying, deterring or preventing a change-in-control or other corporate takeover.</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Under the provisions of our certificate of incorporation, holders of our common stock are entitled to one vote for each share of common stock held by such holder on any matter submitted to a vote at a meeting of stockholders. In addition, our certificate of incorporation provides that certain corporate actions require the approval of our stockholders. These actions, and the vote required, are as follows:</w:t>
      </w:r>
    </w:p>
    <w:p>
      <w:pPr>
        <w:spacing w:after="0" w:line="181" w:lineRule="exact"/>
        <w:rPr>
          <w:sz w:val="20"/>
          <w:szCs w:val="20"/>
          <w:color w:val="auto"/>
        </w:rPr>
      </w:pPr>
    </w:p>
    <w:p>
      <w:pPr>
        <w:ind w:left="980" w:right="26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removal of a director requires the vote of a majority of the voting power of our issued and outstanding capital stock entitled to vote in the election of directors; and</w:t>
      </w:r>
    </w:p>
    <w:p>
      <w:pPr>
        <w:spacing w:after="0" w:line="170" w:lineRule="exact"/>
        <w:rPr>
          <w:rFonts w:ascii="Arial" w:cs="Arial" w:eastAsia="Arial" w:hAnsi="Arial"/>
          <w:sz w:val="18"/>
          <w:szCs w:val="18"/>
          <w:color w:val="auto"/>
        </w:rPr>
      </w:pPr>
    </w:p>
    <w:p>
      <w:pPr>
        <w:ind w:left="980" w:right="120" w:hanging="324"/>
        <w:spacing w:after="0" w:line="31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amendment of provisions of our certificate of incorporation relating to blank check preferred stock, the classification of our directors, the removal of directors, the filling of vacancies on our board of directors, cumulative voting, annual and special meetings of our stockholders and the amendment provision in our certificate of incorporation require the vote of 66 2/3% of our then outstanding voting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 Takeover Effects of Delaware Law and Our Certificate of Incorporation and Bylaws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Certain provisions of Delaware law and our certificate of incorporation and bylaws contain provisions that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anyone seeking to acquire control of us to first negotiate with our board of directors.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certificate of incorporation and bylaws include provisions that:</w:t>
      </w:r>
    </w:p>
    <w:p>
      <w:pPr>
        <w:spacing w:after="0" w:line="225"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10,000,000 shares of undesignated preferred stock;</w:t>
      </w:r>
    </w:p>
    <w:p>
      <w:pPr>
        <w:spacing w:after="0" w:line="275" w:lineRule="exact"/>
        <w:rPr>
          <w:rFonts w:ascii="Arial" w:cs="Arial" w:eastAsia="Arial" w:hAnsi="Arial"/>
          <w:sz w:val="16"/>
          <w:szCs w:val="16"/>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6" w:lineRule="exact"/>
        <w:rPr>
          <w:rFonts w:ascii="Arial" w:cs="Arial" w:eastAsia="Arial" w:hAnsi="Arial"/>
          <w:sz w:val="17"/>
          <w:szCs w:val="17"/>
          <w:color w:val="auto"/>
        </w:rPr>
      </w:pPr>
    </w:p>
    <w:p>
      <w:pPr>
        <w:ind w:left="980" w:right="32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that directors may be removed only for cause;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4" w:name="page15"/>
    <w:bookmarkEnd w:id="14"/>
    <w:p>
      <w:pPr>
        <w:ind w:left="980" w:hanging="324"/>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275" w:lineRule="exact"/>
        <w:rPr>
          <w:rFonts w:ascii="Arial" w:cs="Arial" w:eastAsia="Arial" w:hAnsi="Arial"/>
          <w:sz w:val="16"/>
          <w:szCs w:val="16"/>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63" w:lineRule="exact"/>
        <w:rPr>
          <w:rFonts w:ascii="Arial" w:cs="Arial" w:eastAsia="Arial" w:hAnsi="Arial"/>
          <w:sz w:val="17"/>
          <w:szCs w:val="17"/>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the board of directors;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a super majority of votes to amend certain of the above-mentioned provisions.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225"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We are subject to the provisions of Section 203 of the Delaware General Corporation Law regulating corporate takeovers. In general, Section 203 prohibits a publicly-held Delaware corporation from engaging, under certain circumstances, in a business combination with an interested stockholder for a period of three years following the date the person became an interested stockholder unless:</w:t>
      </w:r>
    </w:p>
    <w:p>
      <w:pPr>
        <w:spacing w:after="0" w:line="181" w:lineRule="exact"/>
        <w:rPr>
          <w:sz w:val="20"/>
          <w:szCs w:val="20"/>
          <w:color w:val="auto"/>
        </w:rPr>
      </w:pPr>
    </w:p>
    <w:p>
      <w:pPr>
        <w:ind w:left="980" w:right="16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197" w:lineRule="exact"/>
        <w:rPr>
          <w:rFonts w:ascii="Arial" w:cs="Arial" w:eastAsia="Arial" w:hAnsi="Arial"/>
          <w:sz w:val="18"/>
          <w:szCs w:val="18"/>
          <w:color w:val="auto"/>
        </w:rPr>
      </w:pPr>
    </w:p>
    <w:p>
      <w:pPr>
        <w:ind w:left="980" w:hanging="324"/>
        <w:spacing w:after="0" w:line="297"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85" w:lineRule="exact"/>
        <w:rPr>
          <w:rFonts w:ascii="Arial" w:cs="Arial" w:eastAsia="Arial" w:hAnsi="Arial"/>
          <w:sz w:val="16"/>
          <w:szCs w:val="16"/>
          <w:color w:val="auto"/>
        </w:rPr>
      </w:pPr>
    </w:p>
    <w:p>
      <w:pPr>
        <w:jc w:val="both"/>
        <w:ind w:left="980" w:right="20" w:hanging="324"/>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which is not owned by the interested stockholder.</w:t>
      </w:r>
    </w:p>
    <w:p>
      <w:pPr>
        <w:spacing w:after="0" w:line="208"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discourage business combinations or other attempts that might result in a premium over the market price for the shares of common stock held by our stockholders.</w:t>
      </w:r>
    </w:p>
    <w:p>
      <w:pPr>
        <w:spacing w:after="0" w:line="15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provisions of Delaware law and our certificate of incorporation and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agent’s address is 462 South 4th Street, Suite 1600, Louisville, KY 40202, and its telephone number is (800) 662-7232 or (781) 575-2879.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Select Market 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Global Select Market under the symbol “FLDM.”</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904" w:right="41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DESCRIPTION OF THE DEBT SECURITIES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7"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6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debt securities will be issued under an indenture between us and a trustee to be named in a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47"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166"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225"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ind w:left="446" w:right="180" w:hanging="446"/>
        <w:spacing w:after="0" w:line="264" w:lineRule="auto"/>
        <w:tabs>
          <w:tab w:leader="none" w:pos="44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81" w:lineRule="exact"/>
        <w:rPr>
          <w:rFonts w:ascii="Arial" w:cs="Arial" w:eastAsia="Arial" w:hAnsi="Arial"/>
          <w:sz w:val="18"/>
          <w:szCs w:val="18"/>
          <w:color w:val="auto"/>
        </w:rPr>
      </w:pPr>
    </w:p>
    <w:p>
      <w:pPr>
        <w:ind w:left="446" w:hanging="446"/>
        <w:spacing w:after="0"/>
        <w:tabs>
          <w:tab w:leader="none" w:pos="44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period or periods within which, the price or prices at which and the terms and conditions upon which we may redeem the debt securities;</w:t>
      </w:r>
    </w:p>
    <w:p>
      <w:pPr>
        <w:spacing w:after="0" w:line="248" w:lineRule="exact"/>
        <w:rPr>
          <w:rFonts w:ascii="Arial" w:cs="Arial" w:eastAsia="Arial" w:hAnsi="Arial"/>
          <w:sz w:val="16"/>
          <w:szCs w:val="16"/>
          <w:color w:val="auto"/>
        </w:rPr>
      </w:pPr>
    </w:p>
    <w:p>
      <w:pPr>
        <w:jc w:val="both"/>
        <w:ind w:left="446" w:hanging="446"/>
        <w:spacing w:after="0" w:line="264" w:lineRule="auto"/>
        <w:tabs>
          <w:tab w:leader="none" w:pos="446"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181" w:lineRule="exact"/>
        <w:rPr>
          <w:rFonts w:ascii="Arial" w:cs="Arial" w:eastAsia="Arial" w:hAnsi="Arial"/>
          <w:sz w:val="18"/>
          <w:szCs w:val="18"/>
          <w:color w:val="auto"/>
        </w:rPr>
      </w:pPr>
    </w:p>
    <w:p>
      <w:pPr>
        <w:ind w:left="446" w:right="400" w:hanging="446"/>
        <w:spacing w:after="0" w:line="277" w:lineRule="auto"/>
        <w:tabs>
          <w:tab w:leader="none" w:pos="44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170" w:lineRule="exact"/>
        <w:rPr>
          <w:rFonts w:ascii="Arial" w:cs="Arial" w:eastAsia="Arial" w:hAnsi="Arial"/>
          <w:sz w:val="18"/>
          <w:szCs w:val="18"/>
          <w:color w:val="auto"/>
        </w:rPr>
      </w:pPr>
    </w:p>
    <w:p>
      <w:pPr>
        <w:ind w:left="446" w:hanging="446"/>
        <w:spacing w:after="0"/>
        <w:tabs>
          <w:tab w:leader="none" w:pos="44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denominations in which the debt securities will be issued, if other than denominations of $1,000 and any integral multiple thereof;</w:t>
      </w:r>
    </w:p>
    <w:p>
      <w:pPr>
        <w:spacing w:after="0" w:line="236" w:lineRule="exact"/>
        <w:rPr>
          <w:rFonts w:ascii="Arial" w:cs="Arial" w:eastAsia="Arial" w:hAnsi="Arial"/>
          <w:sz w:val="17"/>
          <w:szCs w:val="17"/>
          <w:color w:val="auto"/>
        </w:rPr>
      </w:pPr>
    </w:p>
    <w:p>
      <w:pPr>
        <w:ind w:left="446" w:hanging="446"/>
        <w:spacing w:after="0"/>
        <w:tabs>
          <w:tab w:leader="none" w:pos="446"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225" w:lineRule="exact"/>
        <w:rPr>
          <w:rFonts w:ascii="Arial" w:cs="Arial" w:eastAsia="Arial" w:hAnsi="Arial"/>
          <w:sz w:val="18"/>
          <w:szCs w:val="18"/>
          <w:color w:val="auto"/>
        </w:rPr>
      </w:pPr>
    </w:p>
    <w:p>
      <w:pPr>
        <w:ind w:left="446" w:right="360" w:hanging="446"/>
        <w:spacing w:after="0" w:line="277" w:lineRule="auto"/>
        <w:tabs>
          <w:tab w:leader="none" w:pos="44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170" w:lineRule="exact"/>
        <w:rPr>
          <w:rFonts w:ascii="Arial" w:cs="Arial" w:eastAsia="Arial" w:hAnsi="Arial"/>
          <w:sz w:val="18"/>
          <w:szCs w:val="18"/>
          <w:color w:val="auto"/>
        </w:rPr>
      </w:pPr>
    </w:p>
    <w:p>
      <w:pPr>
        <w:ind w:left="446" w:right="680" w:hanging="446"/>
        <w:spacing w:after="0" w:line="342" w:lineRule="auto"/>
        <w:tabs>
          <w:tab w:leader="none" w:pos="44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123" w:lineRule="exact"/>
        <w:rPr>
          <w:rFonts w:ascii="Arial" w:cs="Arial" w:eastAsia="Arial" w:hAnsi="Arial"/>
          <w:sz w:val="16"/>
          <w:szCs w:val="16"/>
          <w:color w:val="auto"/>
        </w:rPr>
      </w:pPr>
    </w:p>
    <w:p>
      <w:pPr>
        <w:ind w:left="446" w:right="60" w:hanging="446"/>
        <w:spacing w:after="0" w:line="277" w:lineRule="auto"/>
        <w:tabs>
          <w:tab w:leader="none" w:pos="44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and interest on the debt securities will be made;</w:t>
      </w:r>
    </w:p>
    <w:p>
      <w:pPr>
        <w:spacing w:after="0" w:line="170" w:lineRule="exact"/>
        <w:rPr>
          <w:rFonts w:ascii="Arial" w:cs="Arial" w:eastAsia="Arial" w:hAnsi="Arial"/>
          <w:sz w:val="18"/>
          <w:szCs w:val="18"/>
          <w:color w:val="auto"/>
        </w:rPr>
      </w:pPr>
    </w:p>
    <w:p>
      <w:pPr>
        <w:ind w:left="446" w:right="100" w:hanging="446"/>
        <w:spacing w:after="0" w:line="342" w:lineRule="auto"/>
        <w:tabs>
          <w:tab w:leader="none" w:pos="446"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123" w:lineRule="exact"/>
        <w:rPr>
          <w:rFonts w:ascii="Arial" w:cs="Arial" w:eastAsia="Arial" w:hAnsi="Arial"/>
          <w:sz w:val="16"/>
          <w:szCs w:val="16"/>
          <w:color w:val="auto"/>
        </w:rPr>
      </w:pPr>
    </w:p>
    <w:p>
      <w:pPr>
        <w:ind w:left="446" w:right="100" w:hanging="446"/>
        <w:spacing w:after="0" w:line="264" w:lineRule="auto"/>
        <w:tabs>
          <w:tab w:leader="none" w:pos="44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181" w:lineRule="exact"/>
        <w:rPr>
          <w:rFonts w:ascii="Arial" w:cs="Arial" w:eastAsia="Arial" w:hAnsi="Arial"/>
          <w:sz w:val="18"/>
          <w:szCs w:val="18"/>
          <w:color w:val="auto"/>
        </w:rPr>
      </w:pPr>
    </w:p>
    <w:p>
      <w:pPr>
        <w:ind w:left="446" w:hanging="446"/>
        <w:spacing w:after="0"/>
        <w:tabs>
          <w:tab w:leader="none" w:pos="446"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225" w:lineRule="exact"/>
        <w:rPr>
          <w:rFonts w:ascii="Arial" w:cs="Arial" w:eastAsia="Arial" w:hAnsi="Arial"/>
          <w:sz w:val="18"/>
          <w:szCs w:val="18"/>
          <w:color w:val="auto"/>
        </w:rPr>
      </w:pPr>
    </w:p>
    <w:p>
      <w:pPr>
        <w:ind w:left="446" w:right="180" w:hanging="446"/>
        <w:spacing w:after="0" w:line="342" w:lineRule="auto"/>
        <w:tabs>
          <w:tab w:leader="none" w:pos="446"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123" w:lineRule="exact"/>
        <w:rPr>
          <w:rFonts w:ascii="Arial" w:cs="Arial" w:eastAsia="Arial" w:hAnsi="Arial"/>
          <w:sz w:val="16"/>
          <w:szCs w:val="16"/>
          <w:color w:val="auto"/>
        </w:rPr>
      </w:pPr>
    </w:p>
    <w:p>
      <w:pPr>
        <w:ind w:left="446" w:hanging="446"/>
        <w:spacing w:after="0"/>
        <w:tabs>
          <w:tab w:leader="none" w:pos="446"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any addition to, deletion of or change in the covenants described in this prospectus or in the indenture with respect to the debt securities;</w:t>
      </w:r>
    </w:p>
    <w:p>
      <w:pPr>
        <w:spacing w:after="0" w:line="200" w:lineRule="exact"/>
        <w:rPr>
          <w:sz w:val="20"/>
          <w:szCs w:val="20"/>
          <w:color w:val="auto"/>
        </w:rPr>
      </w:pPr>
    </w:p>
    <w:p>
      <w:pPr>
        <w:spacing w:after="0" w:line="253"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46"/>
          </w:cols>
          <w:pgMar w:left="694" w:top="908" w:right="259" w:bottom="1440" w:gutter="0" w:footer="0" w:header="0"/>
        </w:sectPr>
      </w:pPr>
    </w:p>
    <w:bookmarkStart w:id="18" w:name="page19"/>
    <w:bookmarkEnd w:id="18"/>
    <w:p>
      <w:pPr>
        <w:ind w:left="900" w:hanging="446"/>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depositaries, interest rate calculation agents, exchange rate calculation agents or other agents with respect to the debt securities;</w:t>
      </w:r>
    </w:p>
    <w:p>
      <w:pPr>
        <w:spacing w:after="0" w:line="236" w:lineRule="exact"/>
        <w:rPr>
          <w:rFonts w:ascii="Arial" w:cs="Arial" w:eastAsia="Arial" w:hAnsi="Arial"/>
          <w:sz w:val="17"/>
          <w:szCs w:val="17"/>
          <w:color w:val="auto"/>
        </w:rPr>
      </w:pPr>
    </w:p>
    <w:p>
      <w:pPr>
        <w:ind w:left="900" w:right="60" w:hanging="446"/>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181" w:lineRule="exact"/>
        <w:rPr>
          <w:rFonts w:ascii="Arial" w:cs="Arial" w:eastAsia="Arial" w:hAnsi="Arial"/>
          <w:sz w:val="18"/>
          <w:szCs w:val="18"/>
          <w:color w:val="auto"/>
        </w:rPr>
      </w:pPr>
    </w:p>
    <w:p>
      <w:pPr>
        <w:ind w:left="900" w:right="100" w:hanging="446"/>
        <w:spacing w:after="0" w:line="34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123" w:lineRule="exact"/>
        <w:rPr>
          <w:rFonts w:ascii="Arial" w:cs="Arial" w:eastAsia="Arial" w:hAnsi="Arial"/>
          <w:sz w:val="16"/>
          <w:szCs w:val="16"/>
          <w:color w:val="auto"/>
        </w:rPr>
      </w:pPr>
    </w:p>
    <w:p>
      <w:pPr>
        <w:ind w:left="900" w:right="20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8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22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Each debt security will be represented by either one or more global securities registered in the name of a clearing agency registered under the Exchange Act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Certificated Debt Securities</w:t>
      </w:r>
      <w:r>
        <w:rPr>
          <w:rFonts w:ascii="Arial" w:cs="Arial" w:eastAsia="Arial" w:hAnsi="Arial"/>
          <w:sz w:val="18"/>
          <w:szCs w:val="18"/>
          <w:color w:val="auto"/>
        </w:rPr>
        <w:t>. You may transfer or exchange certificated debt securities at any office we maintain for this purpose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ind w:firstLine="648"/>
        <w:spacing w:after="0" w:line="277" w:lineRule="auto"/>
        <w:rPr>
          <w:sz w:val="20"/>
          <w:szCs w:val="20"/>
          <w:color w:val="auto"/>
        </w:rPr>
      </w:pPr>
      <w:r>
        <w:rPr>
          <w:rFonts w:ascii="Arial" w:cs="Arial" w:eastAsia="Arial" w:hAnsi="Arial"/>
          <w:sz w:val="18"/>
          <w:szCs w:val="18"/>
          <w:i w:val="1"/>
          <w:iCs w:val="1"/>
          <w:color w:val="auto"/>
        </w:rPr>
        <w:t>Global Debt Securities and Book-Entry System</w:t>
      </w:r>
      <w:r>
        <w:rPr>
          <w:rFonts w:ascii="Arial" w:cs="Arial" w:eastAsia="Arial" w:hAnsi="Arial"/>
          <w:sz w:val="18"/>
          <w:szCs w:val="18"/>
          <w:color w:val="auto"/>
        </w:rPr>
        <w:t>. Each global debt security representing book-entry debt securities will be deposited with, or on behalf</w:t>
      </w:r>
      <w:r>
        <w:rPr>
          <w:rFonts w:ascii="Arial" w:cs="Arial" w:eastAsia="Arial" w:hAnsi="Arial"/>
          <w:sz w:val="18"/>
          <w:szCs w:val="18"/>
          <w:i w:val="1"/>
          <w:iCs w:val="1"/>
          <w:color w:val="auto"/>
        </w:rPr>
        <w:t xml:space="preserve"> </w:t>
      </w:r>
      <w:r>
        <w:rPr>
          <w:rFonts w:ascii="Arial" w:cs="Arial" w:eastAsia="Arial" w:hAnsi="Arial"/>
          <w:sz w:val="18"/>
          <w:szCs w:val="18"/>
          <w:color w:val="auto"/>
        </w:rPr>
        <w:t>of, the Depositary, and registered in the name of the Depositary or a nominee of the Depositary.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(a “successor person”) unless:</w:t>
      </w:r>
    </w:p>
    <w:p>
      <w:pPr>
        <w:spacing w:after="0" w:line="170" w:lineRule="exact"/>
        <w:rPr>
          <w:sz w:val="20"/>
          <w:szCs w:val="20"/>
          <w:color w:val="auto"/>
        </w:rPr>
      </w:pPr>
    </w:p>
    <w:p>
      <w:pPr>
        <w:ind w:left="900" w:right="220" w:hanging="446"/>
        <w:spacing w:after="0" w:line="308"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spacing w:after="0" w:line="146" w:lineRule="exact"/>
        <w:rPr>
          <w:rFonts w:ascii="Arial" w:cs="Arial" w:eastAsia="Arial" w:hAnsi="Arial"/>
          <w:sz w:val="17"/>
          <w:szCs w:val="17"/>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above, any of our subsidiaries may consolidate with, merge into or transfer all or part of its properties to 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225" w:lineRule="exact"/>
        <w:rPr>
          <w:sz w:val="20"/>
          <w:szCs w:val="20"/>
          <w:color w:val="auto"/>
        </w:rPr>
      </w:pPr>
    </w:p>
    <w:p>
      <w:pPr>
        <w:ind w:left="900" w:right="60" w:hanging="446"/>
        <w:spacing w:after="0" w:line="26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181"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w:t>
      </w:r>
    </w:p>
    <w:p>
      <w:pPr>
        <w:spacing w:after="0" w:line="225" w:lineRule="exact"/>
        <w:rPr>
          <w:rFonts w:ascii="Arial" w:cs="Arial" w:eastAsia="Arial" w:hAnsi="Arial"/>
          <w:sz w:val="18"/>
          <w:szCs w:val="18"/>
          <w:color w:val="auto"/>
        </w:rPr>
      </w:pPr>
    </w:p>
    <w:p>
      <w:pPr>
        <w:ind w:left="900" w:hanging="446"/>
        <w:spacing w:after="0" w:line="279"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0" w:name="page21"/>
    <w:bookmarkEnd w:id="20"/>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us; and</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other Event of Default provided with respect to debt securities of that series that is described in the applicable prospectus supplement.</w:t>
      </w:r>
    </w:p>
    <w:p>
      <w:pPr>
        <w:spacing w:after="0" w:line="237"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4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8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6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70" w:lineRule="exact"/>
        <w:rPr>
          <w:sz w:val="20"/>
          <w:szCs w:val="20"/>
          <w:color w:val="auto"/>
        </w:rPr>
      </w:pPr>
    </w:p>
    <w:p>
      <w:pPr>
        <w:ind w:left="5540" w:right="280" w:hanging="5086"/>
        <w:spacing w:after="0" w:line="778" w:lineRule="auto"/>
        <w:tabs>
          <w:tab w:leader="none" w:pos="89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holder has previously given to the trustee written notice of a continuing Event of Default with respect to debt securities of that series; and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1" w:name="page22"/>
    <w:bookmarkEnd w:id="21"/>
    <w:p>
      <w:pPr>
        <w:ind w:left="900" w:right="22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8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and the trustee may modify, amend or supplement the indenture or the debt securities of any series without the consent of any holder of any debt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security:</w:t>
      </w:r>
    </w:p>
    <w:p>
      <w:pPr>
        <w:spacing w:after="0" w:line="211"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debt securities of any series;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2" w:name="page23"/>
    <w:bookmarkEnd w:id="22"/>
    <w:p>
      <w:pPr>
        <w:ind w:left="1300" w:hanging="320"/>
        <w:spacing w:after="0"/>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debt securities of any series as permitted by the indenture;</w:t>
      </w:r>
    </w:p>
    <w:p>
      <w:pPr>
        <w:spacing w:after="0" w:line="248" w:lineRule="exact"/>
        <w:rPr>
          <w:rFonts w:ascii="Arial" w:cs="Arial" w:eastAsia="Arial" w:hAnsi="Arial"/>
          <w:sz w:val="16"/>
          <w:szCs w:val="16"/>
          <w:color w:val="auto"/>
        </w:rPr>
      </w:pPr>
    </w:p>
    <w:p>
      <w:pPr>
        <w:ind w:left="1300" w:hanging="320"/>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comply with requirements of the SEC in order to effect or maintain the qualification of the indenture under the Trust Indenture Act.</w:t>
      </w:r>
    </w:p>
    <w:p>
      <w:pPr>
        <w:spacing w:after="0" w:line="200" w:lineRule="exact"/>
        <w:rPr>
          <w:sz w:val="20"/>
          <w:szCs w:val="20"/>
          <w:color w:val="auto"/>
        </w:rPr>
      </w:pPr>
    </w:p>
    <w:p>
      <w:pPr>
        <w:spacing w:after="0" w:line="253"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181" w:lineRule="exact"/>
        <w:rPr>
          <w:sz w:val="20"/>
          <w:szCs w:val="20"/>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225" w:lineRule="exact"/>
        <w:rPr>
          <w:rFonts w:ascii="Arial" w:cs="Arial" w:eastAsia="Arial" w:hAnsi="Arial"/>
          <w:sz w:val="18"/>
          <w:szCs w:val="18"/>
          <w:color w:val="auto"/>
        </w:rPr>
      </w:pPr>
    </w:p>
    <w:p>
      <w:pPr>
        <w:ind w:left="1300" w:right="60" w:hanging="320"/>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225" w:lineRule="exact"/>
        <w:rPr>
          <w:rFonts w:ascii="Arial" w:cs="Arial" w:eastAsia="Arial" w:hAnsi="Arial"/>
          <w:sz w:val="18"/>
          <w:szCs w:val="18"/>
          <w:color w:val="auto"/>
        </w:rPr>
      </w:pPr>
    </w:p>
    <w:p>
      <w:pPr>
        <w:ind w:left="1300" w:right="140" w:hanging="320"/>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make the principal of or premium or interest on any debt security payable in currency other than that stated in the debt security;</w:t>
      </w:r>
    </w:p>
    <w:p>
      <w:pPr>
        <w:spacing w:after="0" w:line="236" w:lineRule="exact"/>
        <w:rPr>
          <w:rFonts w:ascii="Arial" w:cs="Arial" w:eastAsia="Arial" w:hAnsi="Arial"/>
          <w:sz w:val="17"/>
          <w:szCs w:val="17"/>
          <w:color w:val="auto"/>
        </w:rPr>
      </w:pPr>
    </w:p>
    <w:p>
      <w:pPr>
        <w:ind w:left="1300" w:right="40" w:hanging="320"/>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3" w:name="page24"/>
    <w:bookmarkEnd w:id="23"/>
    <w:p>
      <w:pPr>
        <w:ind w:right="20" w:firstLine="648"/>
        <w:spacing w:after="0" w:line="273" w:lineRule="auto"/>
        <w:rPr>
          <w:sz w:val="20"/>
          <w:szCs w:val="20"/>
          <w:color w:val="auto"/>
        </w:rPr>
      </w:pPr>
      <w:r>
        <w:rPr>
          <w:rFonts w:ascii="Arial" w:cs="Arial" w:eastAsia="Arial" w:hAnsi="Arial"/>
          <w:sz w:val="17"/>
          <w:szCs w:val="17"/>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i w:val="1"/>
          <w:iCs w:val="1"/>
          <w:color w:val="auto"/>
        </w:rPr>
        <w:t>Legal Defeasance</w:t>
      </w:r>
      <w:r>
        <w:rPr>
          <w:rFonts w:ascii="Arial" w:cs="Arial" w:eastAsia="Arial" w:hAnsi="Arial"/>
          <w:sz w:val="18"/>
          <w:szCs w:val="18"/>
          <w:color w:val="auto"/>
        </w:rPr>
        <w:t>. The indenture provides that, unless otherwise provided by the terms of the applicable series of debt securities, we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9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7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i w:val="1"/>
          <w:iCs w:val="1"/>
          <w:color w:val="auto"/>
        </w:rPr>
        <w:t>Defeasance of Certain Covenants</w:t>
      </w:r>
      <w:r>
        <w:rPr>
          <w:rFonts w:ascii="Arial" w:cs="Arial" w:eastAsia="Arial" w:hAnsi="Arial"/>
          <w:sz w:val="18"/>
          <w:szCs w:val="18"/>
          <w:color w:val="auto"/>
        </w:rPr>
        <w:t>. The indenture provides that, unless otherwise provided by the terms of the applicable series of debt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upon compliance with certain conditions:</w:t>
      </w:r>
    </w:p>
    <w:p>
      <w:pPr>
        <w:spacing w:after="0" w:line="170" w:lineRule="exact"/>
        <w:rPr>
          <w:sz w:val="20"/>
          <w:szCs w:val="20"/>
          <w:color w:val="auto"/>
        </w:rPr>
      </w:pPr>
    </w:p>
    <w:p>
      <w:pPr>
        <w:ind w:left="1300" w:right="280" w:hanging="320"/>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181" w:lineRule="exact"/>
        <w:rPr>
          <w:rFonts w:ascii="Arial" w:cs="Arial" w:eastAsia="Arial" w:hAnsi="Arial"/>
          <w:sz w:val="18"/>
          <w:szCs w:val="18"/>
          <w:color w:val="auto"/>
        </w:rPr>
      </w:pPr>
    </w:p>
    <w:p>
      <w:pPr>
        <w:ind w:left="1300" w:right="160" w:hanging="320"/>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(“covenant defeasance”).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The conditions include:</w:t>
      </w:r>
    </w:p>
    <w:p>
      <w:pPr>
        <w:spacing w:after="0" w:line="225" w:lineRule="exact"/>
        <w:rPr>
          <w:sz w:val="20"/>
          <w:szCs w:val="20"/>
          <w:color w:val="auto"/>
        </w:rPr>
      </w:pPr>
    </w:p>
    <w:p>
      <w:pPr>
        <w:ind w:left="660" w:right="160" w:hanging="328"/>
        <w:spacing w:after="0" w:line="25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19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such deposit will not result in a breach or violation of, or constitute a default under the indenture or any other agreement to which we are a party;</w:t>
      </w:r>
    </w:p>
    <w:p>
      <w:pPr>
        <w:spacing w:after="0" w:line="248"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applicable series of debt securities shall have occurred or is continuing on the date of such deposit; and</w:t>
      </w:r>
    </w:p>
    <w:p>
      <w:pPr>
        <w:spacing w:after="0" w:line="170" w:lineRule="exact"/>
        <w:rPr>
          <w:rFonts w:ascii="Arial" w:cs="Arial" w:eastAsia="Arial" w:hAnsi="Arial"/>
          <w:sz w:val="18"/>
          <w:szCs w:val="18"/>
          <w:color w:val="auto"/>
        </w:rPr>
      </w:pPr>
    </w:p>
    <w:p>
      <w:pPr>
        <w:ind w:left="660" w:right="120" w:hanging="328"/>
        <w:spacing w:after="0" w:line="25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or Stockholders</w:t>
      </w:r>
    </w:p>
    <w:p>
      <w:pPr>
        <w:spacing w:after="0" w:line="22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securities, will be governed by the laws of the State of New York.</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DESCRIPTION OF THE WARRANTS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may issue warrants for the purchase of common stock, preferred stock or debt securities or any combination thereof. Warrants may be issued independently or together with common stock, preferred stock or debt securities and may be attached to or separate from any offered securities. Each series of warrants will be issued under a separate warrant agreement. This summary of some provisions of the warrants is not complete. You should refer to the warrant agreement relating to the specific warrants being offered for the complete terms of the warrants.</w:t>
      </w:r>
    </w:p>
    <w:p>
      <w:pPr>
        <w:spacing w:after="0" w:line="18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particular terms of any issue of warrants will be described in the prospectus supplement relating to the issue. Those terms may include:</w:t>
      </w:r>
    </w:p>
    <w:p>
      <w:pPr>
        <w:spacing w:after="0" w:line="225" w:lineRule="exact"/>
        <w:rPr>
          <w:sz w:val="20"/>
          <w:szCs w:val="20"/>
          <w:color w:val="auto"/>
        </w:rPr>
      </w:pPr>
    </w:p>
    <w:p>
      <w:pPr>
        <w:ind w:left="980" w:right="36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170" w:lineRule="exact"/>
        <w:rPr>
          <w:rFonts w:ascii="Arial" w:cs="Arial" w:eastAsia="Arial" w:hAnsi="Arial"/>
          <w:sz w:val="18"/>
          <w:szCs w:val="18"/>
          <w:color w:val="auto"/>
        </w:rPr>
      </w:pPr>
    </w:p>
    <w:p>
      <w:pPr>
        <w:ind w:left="980" w:right="5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United States Federal income tax consequences applicable to the warrants; and</w:t>
      </w:r>
    </w:p>
    <w:p>
      <w:pPr>
        <w:spacing w:after="0" w:line="225" w:lineRule="exact"/>
        <w:rPr>
          <w:rFonts w:ascii="Arial" w:cs="Arial" w:eastAsia="Arial" w:hAnsi="Arial"/>
          <w:sz w:val="18"/>
          <w:szCs w:val="18"/>
          <w:color w:val="auto"/>
        </w:rPr>
      </w:pPr>
    </w:p>
    <w:p>
      <w:pPr>
        <w:ind w:left="980" w:right="5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exercise and settlement of the warrants.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Holders of equity warrants will not be entitled:</w:t>
      </w:r>
    </w:p>
    <w:p>
      <w:pPr>
        <w:spacing w:after="0" w:line="225"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vote, consent or receive dividends;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exercise any rights as stockholders of Fluidigm.</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Debt warrant certificates may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jc w:val="center"/>
        <w:ind w:right="-7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(1) to or through underwriters or dealers, (2) directly to purchasers, including our affiliates, (3) through agents, or (4) through a combination of any of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spacing w:after="0" w:line="187"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names of any underwriters or agents;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net proceeds from the sale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underwriting discounts, commissions or agency fees and other items constituting underwriters’ or agents’ compensation;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initial price to public;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commissions paid to agents.</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We may issue to the holders of our common stock on a pro rata basis for no consideration, subscription rights to purchase shares of our common stock or preferred stock. These subscription rights may or may not be transferable by stockholders. The applicable prospectus supplement will describe the specific terms of any offering of our common or preferred stock through the issuance of subscription rights, including the terms of the subscription rights offering, the terms, procedures and limitations relating to the exchange and exercise of the subscription rights and, if applicable, the material terms of any standby underwriting or purchase arrangement entered into by us in connection with the offering of common or preferred stock through the issuance of subscription rights.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through Underwriters or Dealers</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(other than any securities purchased upon exercise of any option to purchase additional securities). In connection with any offering of common stock pursuant to this prospectus, underwriters may have an option to purchase additional shares of common stock from us. We will provide information regarding any such option to purchase additional shares of common stock from us in the applicable prospectus supplement. The underwriters may change from time to time any initial public offering price and any discounts or concessions allowed or reallowed or paid to dealers. The prospectus supplement will include the names of the principal underwriters, the respective amount of securities underwritten, the nature of the obligation of the underwriters to take the securities and the nature of any material relationship between an underwriter and us.</w:t>
      </w: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27" w:name="page28"/>
    <w:bookmarkEnd w:id="27"/>
    <w:p>
      <w:pPr>
        <w:ind w:firstLine="648"/>
        <w:spacing w:after="0" w:line="264" w:lineRule="auto"/>
        <w:rPr>
          <w:sz w:val="20"/>
          <w:szCs w:val="20"/>
          <w:color w:val="auto"/>
        </w:rPr>
      </w:pPr>
      <w:r>
        <w:rPr>
          <w:rFonts w:ascii="Arial" w:cs="Arial" w:eastAsia="Arial" w:hAnsi="Arial"/>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by us. Unless otherwise indicated in the prospectus supplement, any agent will agree to use its reasonable best efforts to solicit purchases for the period of its appointment.</w:t>
      </w:r>
    </w:p>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Delayed Delivery Contracts</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At-the-Market Offerings</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To the extent that we make sales through one or more underwriters or agents in at-the-market offerings, we will do so pursuant to the terms of a sales agency financing agreement or other at-the-market offering arrangement between us, on one hand, and the underwriters or agents, on the other. If we engage in at-the-market sales pursuant to any such agreement, we will issue and sell our securities through one or more underwriters or agents, which may act on an agency basis or a principal basis. During the term of any such agreement, we may sell securities on a daily basis in exchange transactions or otherwise as we agree with the underwriters or agents in each case in a manner that constitutes an “at the market” offering as defined in Rule 415(a)(4) of the Securities Act. Any such agreement will provide that any securities sold will be sold at prices related to the then prevailing market prices for our securities. Therefore, exact figures regarding proceeds that will be raised or commissions to be paid cannot be determined as of the date of this prospectus. Pursuant to the terms of the agreement, we may agree to sell, and the relevant underwriters or agents may agree to solicit offers to purchase, blocks of our common stock or other securities. The terms of any such agreement will be set forth in more detail in the applicable prospectus or prospectus supplement.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Market Making, Stabilization and Other Transactions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Any underwriter may also engage in stabilizing transactions, syndicate covering transactions and penalty bids in accordance with Rule 104 under the Exchange Act. Over-allotment or short sales involve sales by persons participating in the offering of more securities than were sold to them. In these circumstances, these persons would cover such over-allotments or short positions by making purchases in the open market or by exercising their over-allotment option, if any.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93" w:lineRule="exact"/>
        <w:rPr>
          <w:sz w:val="20"/>
          <w:szCs w:val="20"/>
          <w:color w:val="auto"/>
        </w:rPr>
      </w:pPr>
    </w:p>
    <w:p>
      <w:pPr>
        <w:jc w:val="both"/>
        <w:ind w:right="260" w:firstLine="648"/>
        <w:spacing w:after="0" w:line="259" w:lineRule="auto"/>
        <w:rPr>
          <w:sz w:val="20"/>
          <w:szCs w:val="20"/>
          <w:color w:val="auto"/>
        </w:rPr>
      </w:pPr>
      <w:r>
        <w:rPr>
          <w:rFonts w:ascii="Arial" w:cs="Arial" w:eastAsia="Arial" w:hAnsi="Arial"/>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Transactions and Hedging</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Auctions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will want to pay particular attention to the description of that system we will provide in a prospectus supplement.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9" w:name="page30"/>
    <w:bookmarkEnd w:id="29"/>
    <w:p>
      <w:pPr>
        <w:ind w:right="40" w:firstLine="648"/>
        <w:spacing w:after="0" w:line="255" w:lineRule="auto"/>
        <w:rPr>
          <w:sz w:val="20"/>
          <w:szCs w:val="20"/>
          <w:color w:val="auto"/>
        </w:rPr>
      </w:pPr>
      <w:r>
        <w:rPr>
          <w:rFonts w:ascii="Arial" w:cs="Arial" w:eastAsia="Arial" w:hAnsi="Arial"/>
          <w:sz w:val="18"/>
          <w:szCs w:val="18"/>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For example, in the case of debt security, the clearing spread could be indicated as a number of “basis points” above an index treasury note. Of course, many pricing methods can and may also be used.</w:t>
      </w:r>
    </w:p>
    <w:p>
      <w:pPr>
        <w:spacing w:after="0" w:line="19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Agents, underwriters, and dealers may be entitled, under agreements entered into with us, to indemnification by us against certain liabilities, including liabilities under the Securities Act. Our agents, underwriters, and dealers, or their affiliates, may be customers of, engage in transactions with or perform services for us, in the ordinary course of business. In no event will the total amount of compensation paid to the agents, underwriters and dealers upon completion of any offering exceed 8.0% of the gross proceeds of such offering.</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Certain legal matters will be passed upon for us by Wilson Sonsini Goodrich &amp; Rosati, Professional Corporation, Palo Alto, California. Additional legal matters may be passed on for us, or any underwriters, dealers or agents, by counsel that we will name in the applicable prospectus supplement.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2019 have been so incorporated in reliance on the report of PricewaterhouseCoopers LLP, an independent registered public accounting firm, given on the authority of said firm as experts in auditing and accounting.</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file annual, quarterly and other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charge through the investor relations page of our website located at http://investors.fluidigm.com/sec.cfm. These filings will be available as soon as reasonably practicable after we electronically file such material with, or furnish it to, the SEC. Information contained on our website is not part of this prospectus.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The SEC allows us to incorporate by reference the information we file with it, which means that we can disclose important information to you by referring you to another document that we have filed separately with the SEC. You should read the information incorporated by reference because it is an important part of this prospectus. We incorporate by reference the following information or documents that we have filed with the SEC (excluding those portions of any Form 8-K that are not deemed “filed” pursuant to the General Instructions of Form 8-K):</w:t>
      </w:r>
    </w:p>
    <w:p>
      <w:pPr>
        <w:spacing w:after="0" w:line="171"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2019 filed with the SEC on February 27, 2020;</w:t>
      </w:r>
    </w:p>
    <w:p>
      <w:pPr>
        <w:spacing w:after="0" w:line="225"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the Annual Report on </w:t>
      </w:r>
      <w:hyperlink r:id="rId5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2018 from our definitive proxy statement for the 2019 Annual Meeting of Stockholders; and</w:t>
      </w:r>
    </w:p>
    <w:p>
      <w:pPr>
        <w:spacing w:after="0" w:line="170"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the description of our common stock contained in our Registration Statement on </w:t>
      </w:r>
      <w:hyperlink r:id="rId58">
        <w:r>
          <w:rPr>
            <w:rFonts w:ascii="Arial" w:cs="Arial" w:eastAsia="Arial" w:hAnsi="Arial"/>
            <w:sz w:val="16"/>
            <w:szCs w:val="16"/>
            <w:u w:val="single" w:color="auto"/>
            <w:color w:val="0000EE"/>
          </w:rPr>
          <w:t>Form 8-A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 No. 001-34180) filed with the SEC on February 7, 2011, pursuant to Section 12(b) of the Exchange Act, including any amendment or report filed for the purpose of updating such description.</w:t>
      </w:r>
    </w:p>
    <w:p>
      <w:pPr>
        <w:spacing w:after="0" w:line="124" w:lineRule="exact"/>
        <w:rPr>
          <w:rFonts w:ascii="Arial" w:cs="Arial" w:eastAsia="Arial" w:hAnsi="Arial"/>
          <w:sz w:val="18"/>
          <w:szCs w:val="18"/>
          <w:color w:val="auto"/>
        </w:rPr>
      </w:pPr>
    </w:p>
    <w:p>
      <w:pPr>
        <w:ind w:right="100" w:firstLine="648"/>
        <w:spacing w:after="0" w:line="279" w:lineRule="auto"/>
        <w:rPr>
          <w:sz w:val="20"/>
          <w:szCs w:val="20"/>
          <w:color w:val="auto"/>
        </w:rPr>
      </w:pPr>
      <w:r>
        <w:rPr>
          <w:rFonts w:ascii="Arial" w:cs="Arial" w:eastAsia="Arial" w:hAnsi="Arial"/>
          <w:sz w:val="17"/>
          <w:szCs w:val="17"/>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71" w:lineRule="exact"/>
        <w:rPr>
          <w:rFonts w:ascii="Arial" w:cs="Arial" w:eastAsia="Arial" w:hAnsi="Arial"/>
          <w:sz w:val="18"/>
          <w:szCs w:val="18"/>
          <w:color w:val="auto"/>
        </w:rPr>
      </w:pPr>
    </w:p>
    <w:p>
      <w:pPr>
        <w:ind w:right="120" w:firstLine="648"/>
        <w:spacing w:after="0" w:line="286" w:lineRule="auto"/>
        <w:rPr>
          <w:sz w:val="20"/>
          <w:szCs w:val="20"/>
          <w:color w:val="auto"/>
        </w:rPr>
      </w:pPr>
      <w:r>
        <w:rPr>
          <w:rFonts w:ascii="Arial" w:cs="Arial" w:eastAsia="Arial" w:hAnsi="Arial"/>
          <w:sz w:val="17"/>
          <w:szCs w:val="17"/>
          <w:color w:val="auto"/>
        </w:rPr>
        <w:t>Any statement contained in any document incorporated by reference herein shall be deemed to be modified or superseded for purposes of this prospectus to the extent that a statement contained in this prospectus or any prospectus supplement modifies or supersedes such statement. Any statement so modified or superseded shall not be deemed, except as so modified or superseded, to constitute a part of this prospectus.</w:t>
      </w:r>
    </w:p>
    <w:p>
      <w:pPr>
        <w:spacing w:after="0" w:line="166" w:lineRule="exact"/>
        <w:rPr>
          <w:rFonts w:ascii="Arial" w:cs="Arial" w:eastAsia="Arial" w:hAnsi="Arial"/>
          <w:sz w:val="18"/>
          <w:szCs w:val="18"/>
          <w:color w:val="auto"/>
        </w:rPr>
      </w:pPr>
    </w:p>
    <w:p>
      <w:pPr>
        <w:ind w:right="240" w:firstLine="648"/>
        <w:spacing w:after="0" w:line="277" w:lineRule="auto"/>
        <w:rPr>
          <w:sz w:val="20"/>
          <w:szCs w:val="20"/>
          <w:color w:val="auto"/>
        </w:rPr>
      </w:pPr>
      <w:r>
        <w:rPr>
          <w:rFonts w:ascii="Arial" w:cs="Arial" w:eastAsia="Arial" w:hAnsi="Arial"/>
          <w:sz w:val="18"/>
          <w:szCs w:val="18"/>
          <w:color w:val="auto"/>
        </w:rPr>
        <w:t>Under no circumstances will any information furnished under current items 2.02 or 7.01 of Form 8-K be deemed incorporated herein by reference unless such Form 8-K expressly provides to the contrary.</w:t>
      </w:r>
    </w:p>
    <w:p>
      <w:pPr>
        <w:spacing w:after="0" w:line="170" w:lineRule="exact"/>
        <w:rPr>
          <w:rFonts w:ascii="Arial" w:cs="Arial" w:eastAsia="Arial" w:hAnsi="Arial"/>
          <w:sz w:val="18"/>
          <w:szCs w:val="18"/>
          <w:color w:val="auto"/>
        </w:rPr>
      </w:pPr>
    </w:p>
    <w:p>
      <w:pPr>
        <w:ind w:right="80" w:firstLine="648"/>
        <w:spacing w:after="0" w:line="255" w:lineRule="auto"/>
        <w:rPr>
          <w:sz w:val="20"/>
          <w:szCs w:val="20"/>
          <w:color w:val="auto"/>
        </w:rPr>
      </w:pPr>
      <w:r>
        <w:rPr>
          <w:rFonts w:ascii="Arial" w:cs="Arial" w:eastAsia="Arial" w:hAnsi="Arial"/>
          <w:sz w:val="18"/>
          <w:szCs w:val="18"/>
          <w:color w:val="auto"/>
        </w:rPr>
        <w:t>We will provide without charge to each person, including any beneficial owner, to whom this prospectus is delivered, upon written or oral request, a copy of any or all documents that are incorporated by reference into this prospectus, but not delivered with the prospectus, other than exhibits to such documents unless such exhibits are specifically incorporated by reference into the documents that this prospectus incorporates. Prior to March 13, 2020, you should direct written requests to: Fluidigm Corporation, 7000 Shoreline Court, Suite 100, South San Francisco, CA 94080, Attention: Investor Relations; beginning March 13, 2020, written requests should be directed to Two Tower Place, South San Francisco, California 94080, Attention: Investor Relations. Alternatively, you may call us at (650) 266-6000.</w:t>
      </w:r>
    </w:p>
    <w:p>
      <w:pPr>
        <w:spacing w:after="0" w:line="200" w:lineRule="exact"/>
        <w:rPr>
          <w:rFonts w:ascii="Arial" w:cs="Arial" w:eastAsia="Arial" w:hAnsi="Arial"/>
          <w:sz w:val="18"/>
          <w:szCs w:val="18"/>
          <w:color w:val="auto"/>
        </w:rPr>
      </w:pPr>
    </w:p>
    <w:p>
      <w:pPr>
        <w:spacing w:after="0" w:line="209"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sets forth the various costs and expenses (other than the underwriting discounts and commissions) payable by the registrant in connection with a distribution of securities registered hereby. All amounts are estimates except the SEC registration fee.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Amount</w:t>
            </w:r>
          </w:p>
        </w:tc>
      </w:tr>
      <w:tr>
        <w:trPr>
          <w:trHeight w:val="234"/>
        </w:trPr>
        <w:tc>
          <w:tcPr>
            <w:tcW w:w="10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to be Paid</w:t>
            </w:r>
          </w:p>
        </w:tc>
      </w:tr>
      <w:tr>
        <w:trPr>
          <w:trHeight w:val="210"/>
        </w:trPr>
        <w:tc>
          <w:tcPr>
            <w:tcW w:w="10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Printing costs</w:t>
            </w: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Transfer agent’s and trustee’s fees and expenses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0060" w:type="dxa"/>
            <w:vAlign w:val="bottom"/>
          </w:tcPr>
          <w:p>
            <w:pPr>
              <w:spacing w:after="0"/>
              <w:rPr>
                <w:sz w:val="20"/>
                <w:szCs w:val="20"/>
                <w:color w:val="auto"/>
              </w:rPr>
            </w:pPr>
            <w:r>
              <w:rPr>
                <w:rFonts w:ascii="Arial" w:cs="Arial" w:eastAsia="Arial" w:hAnsi="Arial"/>
                <w:sz w:val="18"/>
                <w:szCs w:val="18"/>
                <w:color w:val="auto"/>
              </w:rPr>
              <w:t>Miscellaneous</w:t>
            </w:r>
          </w:p>
        </w:tc>
        <w:tc>
          <w:tcPr>
            <w:tcW w:w="18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10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10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03"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23" w:lineRule="exact"/>
        <w:rPr>
          <w:sz w:val="20"/>
          <w:szCs w:val="20"/>
          <w:color w:val="auto"/>
        </w:rPr>
      </w:pPr>
    </w:p>
    <w:p>
      <w:pPr>
        <w:ind w:left="340" w:right="680" w:hanging="332"/>
        <w:spacing w:after="0" w:line="261"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These fees and expenses depend on the securities offered and the number of issuances, and accordingly cannot be estimated as of the date of this prospectus.</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Section 145 of the Delaware General Corporation Law, or DGCL, authorizes a corporation’s board of directors to grant, and authorizes a court to award, indemnity to officers, directors and other corporate agents.</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As permitted by Section 102(b)(7) of the DGCL, the registrant’s certificate of incorporation includes provisions that eliminate the personal liability of its directors and officers for monetary damages for breach of their fiduciary duty as directors and officers.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as permitted by Section 145 of the DGCL, the bylaws of the registrant provide that:</w:t>
      </w:r>
    </w:p>
    <w:p>
      <w:pPr>
        <w:spacing w:after="0" w:line="225" w:lineRule="exact"/>
        <w:rPr>
          <w:sz w:val="20"/>
          <w:szCs w:val="20"/>
          <w:color w:val="auto"/>
        </w:rPr>
      </w:pPr>
    </w:p>
    <w:p>
      <w:pPr>
        <w:ind w:left="980" w:right="60" w:hanging="324"/>
        <w:spacing w:after="0" w:line="25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 shall indemnify its directors and officers for serving the registrant in those capacities or for serving other business enterprises as a director, officer, employee or agent at the registrant’s request, to the fullest extent permitted by the DGCL. The DGCL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88"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 may, in its discretion, indemnify employees and agents in those circumstances where indemnification is not prohibited by the DGCL or other law.</w:t>
      </w:r>
    </w:p>
    <w:p>
      <w:pPr>
        <w:spacing w:after="0" w:line="170" w:lineRule="exact"/>
        <w:rPr>
          <w:rFonts w:ascii="Arial" w:cs="Arial" w:eastAsia="Arial" w:hAnsi="Arial"/>
          <w:sz w:val="18"/>
          <w:szCs w:val="18"/>
          <w:color w:val="auto"/>
        </w:rPr>
      </w:pPr>
    </w:p>
    <w:p>
      <w:pPr>
        <w:jc w:val="both"/>
        <w:ind w:left="980" w:right="220" w:hanging="324"/>
        <w:spacing w:after="0" w:line="264"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officers in connection with defending a proceeding, except that such director or officer shall undertake to repay such advances if it is ultimately determined that such person is not entitled to indemnification under the registrant’s bylaws or the DGCL.</w:t>
      </w:r>
    </w:p>
    <w:p>
      <w:pPr>
        <w:spacing w:after="0" w:line="181" w:lineRule="exact"/>
        <w:rPr>
          <w:rFonts w:ascii="Arial" w:cs="Arial" w:eastAsia="Arial" w:hAnsi="Arial"/>
          <w:sz w:val="18"/>
          <w:szCs w:val="18"/>
          <w:color w:val="auto"/>
        </w:rPr>
      </w:pPr>
    </w:p>
    <w:p>
      <w:pPr>
        <w:ind w:left="980" w:right="80" w:hanging="324"/>
        <w:spacing w:after="0" w:line="312" w:lineRule="auto"/>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 will not be obligated pursuant to the bylaws to indemnify a person with respect to proceedings initiated by that person against the registrant or its directors, officers, employees, agents or other indemnities, except with respect to proceedings authorized by the registrant’s board of directors prior to their initiation, or brought to enforce a right to indemnifications as otherwise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ind w:left="980" w:right="12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rights conferred in the bylaws are not exclusive, and the registrant is authorized to enter into indemnification agreements with its directors, officers, employees and agents and to obtain insurance to indemnify such persons.</w:t>
      </w:r>
    </w:p>
    <w:p>
      <w:pPr>
        <w:spacing w:after="0" w:line="170"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 may not retroactively amend the bylaw provisions to reduce its indemnification obligations to directors, officers, employees and agents.</w:t>
      </w:r>
    </w:p>
    <w:p>
      <w:pPr>
        <w:spacing w:after="0" w:line="170" w:lineRule="exact"/>
        <w:rPr>
          <w:sz w:val="20"/>
          <w:szCs w:val="20"/>
          <w:color w:val="auto"/>
        </w:rPr>
      </w:pPr>
    </w:p>
    <w:p>
      <w:pPr>
        <w:ind w:right="580" w:firstLine="648"/>
        <w:spacing w:after="0" w:line="264" w:lineRule="auto"/>
        <w:rPr>
          <w:sz w:val="20"/>
          <w:szCs w:val="20"/>
          <w:color w:val="auto"/>
        </w:rPr>
      </w:pPr>
      <w:r>
        <w:rPr>
          <w:rFonts w:ascii="Arial" w:cs="Arial" w:eastAsia="Arial" w:hAnsi="Arial"/>
          <w:sz w:val="18"/>
          <w:szCs w:val="18"/>
          <w:color w:val="auto"/>
        </w:rPr>
        <w:t>The registrant’s policy is to enter into separate indemnification agreements with each of its directors and officers that provide the maximum indemnity allowed to directors and executive officers by Section 145 of the DGCL and also provides for certain additional procedural protections. The registrant also maintains directors and officers insurance to insure such persons against certain liabilities.</w:t>
      </w:r>
    </w:p>
    <w:p>
      <w:pPr>
        <w:spacing w:after="0" w:line="181"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These indemnification provisions and the indemnification agreements entered into between the registrant and its officers and directors may be sufficiently broad to permit indemnification of the registrant’s officers and directors for liabilities (including reimbursement of expenses incurred) arising under the Securities Act.</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Exhibits</w:t>
      </w:r>
    </w:p>
    <w:p>
      <w:pPr>
        <w:spacing w:after="0" w:line="229" w:lineRule="exact"/>
        <w:rPr>
          <w:sz w:val="20"/>
          <w:szCs w:val="20"/>
          <w:color w:val="auto"/>
        </w:rPr>
      </w:pPr>
    </w:p>
    <w:p>
      <w:pPr>
        <w:ind w:left="1180" w:hanging="524"/>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The following exhibits are filed herewith or incorporated herein by reference: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gridSpan w:val="4"/>
            <w:vMerge w:val="restart"/>
          </w:tcPr>
          <w:p>
            <w:pPr>
              <w:ind w:left="120"/>
              <w:spacing w:after="0"/>
              <w:rPr>
                <w:sz w:val="20"/>
                <w:szCs w:val="20"/>
                <w:color w:val="auto"/>
              </w:rPr>
            </w:pPr>
            <w:r>
              <w:rPr>
                <w:rFonts w:ascii="Arial" w:cs="Arial" w:eastAsia="Arial" w:hAnsi="Arial"/>
                <w:sz w:val="18"/>
                <w:szCs w:val="18"/>
                <w:b w:val="1"/>
                <w:bCs w:val="1"/>
                <w:color w:val="auto"/>
              </w:rPr>
              <w:t>Exhibit</w:t>
            </w: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15"/>
          </w:tcPr>
          <w:p>
            <w:pPr>
              <w:ind w:left="480"/>
              <w:spacing w:after="0"/>
              <w:rPr>
                <w:sz w:val="20"/>
                <w:szCs w:val="20"/>
                <w:color w:val="auto"/>
              </w:rPr>
            </w:pPr>
            <w:r>
              <w:rPr>
                <w:rFonts w:ascii="Arial" w:cs="Arial" w:eastAsia="Arial" w:hAnsi="Arial"/>
                <w:sz w:val="18"/>
                <w:szCs w:val="18"/>
                <w:b w:val="1"/>
                <w:bCs w:val="1"/>
                <w:color w:val="auto"/>
              </w:rPr>
              <w:t>Incorporated by Reference</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80" w:type="dxa"/>
            <w:vAlign w:val="bottom"/>
            <w:gridSpan w:val="4"/>
            <w:vMerge w:val="continue"/>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4"/>
          </w:tcPr>
          <w:p>
            <w:pPr>
              <w:jc w:val="center"/>
              <w:ind w:right="100"/>
              <w:spacing w:after="0" w:line="191" w:lineRule="exact"/>
              <w:rPr>
                <w:sz w:val="20"/>
                <w:szCs w:val="20"/>
                <w:color w:val="auto"/>
              </w:rPr>
            </w:pPr>
            <w:r>
              <w:rPr>
                <w:rFonts w:ascii="Arial" w:cs="Arial" w:eastAsia="Arial" w:hAnsi="Arial"/>
                <w:sz w:val="18"/>
                <w:szCs w:val="18"/>
                <w:b w:val="1"/>
                <w:bCs w:val="1"/>
                <w:color w:val="auto"/>
                <w:w w:val="96"/>
              </w:rPr>
              <w:t>Exhibit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gridSpan w:val="5"/>
          </w:tcPr>
          <w:p>
            <w:pPr>
              <w:ind w:left="100"/>
              <w:spacing w:after="0" w:line="191" w:lineRule="exact"/>
              <w:rPr>
                <w:sz w:val="20"/>
                <w:szCs w:val="20"/>
                <w:color w:val="auto"/>
              </w:rPr>
            </w:pPr>
            <w:r>
              <w:rPr>
                <w:rFonts w:ascii="Arial" w:cs="Arial" w:eastAsia="Arial" w:hAnsi="Arial"/>
                <w:sz w:val="18"/>
                <w:szCs w:val="18"/>
                <w:b w:val="1"/>
                <w:bCs w:val="1"/>
                <w:color w:val="auto"/>
              </w:rPr>
              <w:t>Filing</w:t>
            </w:r>
          </w:p>
        </w:tc>
        <w:tc>
          <w:tcPr>
            <w:tcW w:w="9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5"/>
              </w:rPr>
              <w:t>Filed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No.</w:t>
            </w:r>
          </w:p>
        </w:tc>
        <w:tc>
          <w:tcPr>
            <w:tcW w:w="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14"/>
          </w:tcPr>
          <w:p>
            <w:pPr>
              <w:ind w:left="320"/>
              <w:spacing w:after="0"/>
              <w:rPr>
                <w:sz w:val="20"/>
                <w:szCs w:val="20"/>
                <w:color w:val="auto"/>
              </w:rPr>
            </w:pPr>
            <w:r>
              <w:rPr>
                <w:rFonts w:ascii="Arial" w:cs="Arial" w:eastAsia="Arial" w:hAnsi="Arial"/>
                <w:sz w:val="18"/>
                <w:szCs w:val="18"/>
                <w:b w:val="1"/>
                <w:bCs w:val="1"/>
                <w:color w:val="auto"/>
              </w:rPr>
              <w:t>Exhibit Description</w:t>
            </w:r>
          </w:p>
        </w:tc>
        <w:tc>
          <w:tcPr>
            <w:tcW w:w="100" w:type="dxa"/>
            <w:vAlign w:val="bottom"/>
          </w:tcPr>
          <w:p>
            <w:pPr>
              <w:spacing w:after="0"/>
              <w:rPr>
                <w:sz w:val="20"/>
                <w:szCs w:val="20"/>
                <w:color w:val="auto"/>
              </w:rPr>
            </w:pPr>
          </w:p>
        </w:tc>
        <w:tc>
          <w:tcPr>
            <w:tcW w:w="64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7"/>
              </w:rPr>
              <w:t>Form</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File No.</w:t>
            </w:r>
          </w:p>
        </w:tc>
        <w:tc>
          <w:tcPr>
            <w:tcW w:w="100" w:type="dxa"/>
            <w:vAlign w:val="bottom"/>
          </w:tcPr>
          <w:p>
            <w:pPr>
              <w:spacing w:after="0"/>
              <w:rPr>
                <w:sz w:val="20"/>
                <w:szCs w:val="20"/>
                <w:color w:val="auto"/>
              </w:rPr>
            </w:pPr>
          </w:p>
        </w:tc>
        <w:tc>
          <w:tcPr>
            <w:tcW w:w="78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No.</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Date</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800" w:type="dxa"/>
            <w:vAlign w:val="bottom"/>
            <w:gridSpan w:val="3"/>
          </w:tcPr>
          <w:p>
            <w:pPr>
              <w:jc w:val="center"/>
              <w:spacing w:after="0"/>
              <w:rPr>
                <w:sz w:val="20"/>
                <w:szCs w:val="20"/>
                <w:color w:val="auto"/>
              </w:rPr>
            </w:pPr>
            <w:r>
              <w:rPr>
                <w:rFonts w:ascii="Arial" w:cs="Arial" w:eastAsia="Arial" w:hAnsi="Arial"/>
                <w:sz w:val="18"/>
                <w:szCs w:val="18"/>
                <w:color w:val="auto"/>
                <w:w w:val="99"/>
              </w:rPr>
              <w:t>1.1*</w:t>
            </w:r>
          </w:p>
        </w:tc>
        <w:tc>
          <w:tcPr>
            <w:tcW w:w="80" w:type="dxa"/>
            <w:vAlign w:val="bottom"/>
          </w:tcPr>
          <w:p>
            <w:pPr>
              <w:spacing w:after="0"/>
              <w:rPr>
                <w:sz w:val="24"/>
                <w:szCs w:val="24"/>
                <w:color w:val="auto"/>
              </w:rPr>
            </w:pPr>
          </w:p>
        </w:tc>
        <w:tc>
          <w:tcPr>
            <w:tcW w:w="5680" w:type="dxa"/>
            <w:vAlign w:val="bottom"/>
            <w:gridSpan w:val="17"/>
          </w:tcPr>
          <w:p>
            <w:pPr>
              <w:spacing w:after="0"/>
              <w:rPr>
                <w:sz w:val="20"/>
                <w:szCs w:val="20"/>
                <w:color w:val="auto"/>
              </w:rPr>
            </w:pPr>
            <w:r>
              <w:rPr>
                <w:rFonts w:ascii="Arial" w:cs="Arial" w:eastAsia="Arial" w:hAnsi="Arial"/>
                <w:sz w:val="18"/>
                <w:szCs w:val="18"/>
                <w:color w:val="auto"/>
              </w:rPr>
              <w:t>Form of Underwriting Agreement.</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8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62">
              <w:r>
                <w:rPr>
                  <w:rFonts w:ascii="Arial" w:cs="Arial" w:eastAsia="Arial" w:hAnsi="Arial"/>
                  <w:sz w:val="18"/>
                  <w:szCs w:val="18"/>
                  <w:color w:val="0000EE"/>
                  <w:w w:val="95"/>
                </w:rPr>
                <w:t>3.</w:t>
              </w:r>
              <w:r>
                <w:rPr>
                  <w:rFonts w:ascii="Arial" w:cs="Arial" w:eastAsia="Arial" w:hAnsi="Arial"/>
                  <w:sz w:val="18"/>
                  <w:szCs w:val="18"/>
                  <w:u w:val="single" w:color="auto"/>
                  <w:color w:val="0000EE"/>
                  <w:w w:val="95"/>
                </w:rPr>
                <w:t>1</w:t>
              </w:r>
            </w:hyperlink>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80" w:type="dxa"/>
            <w:vAlign w:val="bottom"/>
            <w:gridSpan w:val="17"/>
          </w:tcPr>
          <w:p>
            <w:pPr>
              <w:spacing w:after="0"/>
              <w:rPr>
                <w:rFonts w:ascii="Arial" w:cs="Arial" w:eastAsia="Arial" w:hAnsi="Arial"/>
                <w:sz w:val="18"/>
                <w:szCs w:val="18"/>
                <w:color w:val="0000EE"/>
              </w:rPr>
            </w:pPr>
            <w:hyperlink r:id="rId62">
              <w:r>
                <w:rPr>
                  <w:rFonts w:ascii="Arial" w:cs="Arial" w:eastAsia="Arial" w:hAnsi="Arial"/>
                  <w:sz w:val="18"/>
                  <w:szCs w:val="18"/>
                  <w:color w:val="0000EE"/>
                </w:rPr>
                <w:t>Eighth Amended and Restated Certificate of Incorporation of Fluidigm</w:t>
              </w:r>
            </w:hyperlink>
          </w:p>
        </w:tc>
        <w:tc>
          <w:tcPr>
            <w:tcW w:w="140" w:type="dxa"/>
            <w:vAlign w:val="bottom"/>
          </w:tcPr>
          <w:p>
            <w:pPr>
              <w:spacing w:after="0"/>
              <w:rPr>
                <w:sz w:val="24"/>
                <w:szCs w:val="24"/>
                <w:color w:val="auto"/>
              </w:rPr>
            </w:pPr>
          </w:p>
        </w:tc>
        <w:tc>
          <w:tcPr>
            <w:tcW w:w="600" w:type="dxa"/>
            <w:vAlign w:val="bottom"/>
            <w:gridSpan w:val="7"/>
          </w:tcPr>
          <w:p>
            <w:pPr>
              <w:jc w:val="center"/>
              <w:ind w:right="240"/>
              <w:spacing w:after="0"/>
              <w:rPr>
                <w:rFonts w:ascii="Arial" w:cs="Arial" w:eastAsia="Arial" w:hAnsi="Arial"/>
                <w:sz w:val="18"/>
                <w:szCs w:val="18"/>
                <w:color w:val="0000EE"/>
                <w:w w:val="94"/>
              </w:rPr>
            </w:pPr>
            <w:hyperlink r:id="rId62">
              <w:r>
                <w:rPr>
                  <w:rFonts w:ascii="Arial" w:cs="Arial" w:eastAsia="Arial" w:hAnsi="Arial"/>
                  <w:sz w:val="18"/>
                  <w:szCs w:val="18"/>
                  <w:color w:val="0000EE"/>
                  <w:w w:val="94"/>
                </w:rPr>
                <w:t>10-K</w:t>
              </w:r>
            </w:hyperlink>
          </w:p>
        </w:tc>
        <w:tc>
          <w:tcPr>
            <w:tcW w:w="1000" w:type="dxa"/>
            <w:vAlign w:val="bottom"/>
            <w:gridSpan w:val="3"/>
          </w:tcPr>
          <w:p>
            <w:pPr>
              <w:jc w:val="right"/>
              <w:ind w:right="100"/>
              <w:spacing w:after="0"/>
              <w:rPr>
                <w:rFonts w:ascii="Arial" w:cs="Arial" w:eastAsia="Arial" w:hAnsi="Arial"/>
                <w:sz w:val="18"/>
                <w:szCs w:val="18"/>
                <w:color w:val="0000EE"/>
              </w:rPr>
            </w:pPr>
            <w:hyperlink r:id="rId62">
              <w:r>
                <w:rPr>
                  <w:rFonts w:ascii="Arial" w:cs="Arial" w:eastAsia="Arial" w:hAnsi="Arial"/>
                  <w:sz w:val="18"/>
                  <w:szCs w:val="18"/>
                  <w:color w:val="0000EE"/>
                </w:rPr>
                <w:t>001-34180</w:t>
              </w:r>
            </w:hyperlink>
          </w:p>
        </w:tc>
        <w:tc>
          <w:tcPr>
            <w:tcW w:w="100" w:type="dxa"/>
            <w:vAlign w:val="bottom"/>
          </w:tcPr>
          <w:p>
            <w:pPr>
              <w:spacing w:after="0"/>
              <w:rPr>
                <w:sz w:val="24"/>
                <w:szCs w:val="24"/>
                <w:color w:val="auto"/>
              </w:rPr>
            </w:pPr>
          </w:p>
        </w:tc>
        <w:tc>
          <w:tcPr>
            <w:tcW w:w="780" w:type="dxa"/>
            <w:vAlign w:val="bottom"/>
            <w:gridSpan w:val="3"/>
          </w:tcPr>
          <w:p>
            <w:pPr>
              <w:jc w:val="center"/>
              <w:spacing w:after="0"/>
              <w:rPr>
                <w:rFonts w:ascii="Arial" w:cs="Arial" w:eastAsia="Arial" w:hAnsi="Arial"/>
                <w:sz w:val="18"/>
                <w:szCs w:val="18"/>
                <w:color w:val="0000EE"/>
                <w:w w:val="87"/>
              </w:rPr>
            </w:pPr>
            <w:hyperlink r:id="rId62">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100" w:type="dxa"/>
            <w:vAlign w:val="bottom"/>
          </w:tcPr>
          <w:p>
            <w:pPr>
              <w:spacing w:after="0"/>
              <w:rPr>
                <w:sz w:val="24"/>
                <w:szCs w:val="24"/>
                <w:color w:val="auto"/>
              </w:rPr>
            </w:pPr>
          </w:p>
        </w:tc>
        <w:tc>
          <w:tcPr>
            <w:tcW w:w="920" w:type="dxa"/>
            <w:vAlign w:val="bottom"/>
            <w:gridSpan w:val="6"/>
          </w:tcPr>
          <w:p>
            <w:pPr>
              <w:jc w:val="center"/>
              <w:spacing w:after="0"/>
              <w:rPr>
                <w:rFonts w:ascii="Arial" w:cs="Arial" w:eastAsia="Arial" w:hAnsi="Arial"/>
                <w:sz w:val="18"/>
                <w:szCs w:val="18"/>
                <w:color w:val="0000EE"/>
                <w:w w:val="89"/>
              </w:rPr>
            </w:pPr>
            <w:hyperlink r:id="rId62">
              <w:r>
                <w:rPr>
                  <w:rFonts w:ascii="Arial" w:cs="Arial" w:eastAsia="Arial" w:hAnsi="Arial"/>
                  <w:sz w:val="18"/>
                  <w:szCs w:val="18"/>
                  <w:color w:val="0000EE"/>
                  <w:w w:val="89"/>
                </w:rPr>
                <w:t>3/28/2011</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62">
              <w:r>
                <w:rPr>
                  <w:rFonts w:ascii="Arial" w:cs="Arial" w:eastAsia="Arial" w:hAnsi="Arial"/>
                  <w:sz w:val="18"/>
                  <w:szCs w:val="18"/>
                  <w:color w:val="0000EE"/>
                  <w:w w:val="91"/>
                </w:rPr>
                <w:t>Corporation filed on February 15, 2011.</w:t>
              </w:r>
            </w:hyperlink>
          </w:p>
        </w:tc>
        <w:tc>
          <w:tcPr>
            <w:tcW w:w="2220" w:type="dxa"/>
            <w:vAlign w:val="bottom"/>
            <w:tcBorders>
              <w:top w:val="single" w:sz="8" w:color="0000EE"/>
            </w:tcBorders>
            <w:gridSpan w:val="7"/>
          </w:tcPr>
          <w:p>
            <w:pPr>
              <w:spacing w:after="0"/>
              <w:rPr>
                <w:sz w:val="17"/>
                <w:szCs w:val="17"/>
                <w:color w:val="auto"/>
              </w:rPr>
            </w:pPr>
          </w:p>
        </w:tc>
        <w:tc>
          <w:tcPr>
            <w:tcW w:w="580" w:type="dxa"/>
            <w:vAlign w:val="bottom"/>
            <w:gridSpan w:val="5"/>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28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63">
              <w:r>
                <w:rPr>
                  <w:rFonts w:ascii="Arial" w:cs="Arial" w:eastAsia="Arial" w:hAnsi="Arial"/>
                  <w:sz w:val="18"/>
                  <w:szCs w:val="18"/>
                  <w:color w:val="0000EE"/>
                  <w:w w:val="95"/>
                </w:rPr>
                <w:t>3.</w:t>
              </w:r>
              <w:r>
                <w:rPr>
                  <w:rFonts w:ascii="Arial" w:cs="Arial" w:eastAsia="Arial" w:hAnsi="Arial"/>
                  <w:sz w:val="18"/>
                  <w:szCs w:val="18"/>
                  <w:u w:val="single" w:color="auto"/>
                  <w:color w:val="0000EE"/>
                  <w:w w:val="95"/>
                </w:rPr>
                <w:t>2</w:t>
              </w:r>
            </w:hyperlink>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80" w:type="dxa"/>
            <w:vAlign w:val="bottom"/>
            <w:gridSpan w:val="17"/>
          </w:tcPr>
          <w:p>
            <w:pPr>
              <w:spacing w:after="0"/>
              <w:rPr>
                <w:rFonts w:ascii="Arial" w:cs="Arial" w:eastAsia="Arial" w:hAnsi="Arial"/>
                <w:sz w:val="18"/>
                <w:szCs w:val="18"/>
                <w:color w:val="0000EE"/>
              </w:rPr>
            </w:pPr>
            <w:hyperlink r:id="rId63">
              <w:r>
                <w:rPr>
                  <w:rFonts w:ascii="Arial" w:cs="Arial" w:eastAsia="Arial" w:hAnsi="Arial"/>
                  <w:sz w:val="18"/>
                  <w:szCs w:val="18"/>
                  <w:color w:val="0000EE"/>
                </w:rPr>
                <w:t>Amended and Restated Bylaws of Fluidigm Corporation effective as of</w:t>
              </w:r>
            </w:hyperlink>
          </w:p>
        </w:tc>
        <w:tc>
          <w:tcPr>
            <w:tcW w:w="140" w:type="dxa"/>
            <w:vAlign w:val="bottom"/>
          </w:tcPr>
          <w:p>
            <w:pPr>
              <w:spacing w:after="0"/>
              <w:rPr>
                <w:sz w:val="24"/>
                <w:szCs w:val="24"/>
                <w:color w:val="auto"/>
              </w:rPr>
            </w:pPr>
          </w:p>
        </w:tc>
        <w:tc>
          <w:tcPr>
            <w:tcW w:w="600" w:type="dxa"/>
            <w:vAlign w:val="bottom"/>
            <w:gridSpan w:val="7"/>
          </w:tcPr>
          <w:p>
            <w:pPr>
              <w:jc w:val="center"/>
              <w:ind w:right="240"/>
              <w:spacing w:after="0"/>
              <w:rPr>
                <w:rFonts w:ascii="Arial" w:cs="Arial" w:eastAsia="Arial" w:hAnsi="Arial"/>
                <w:sz w:val="18"/>
                <w:szCs w:val="18"/>
                <w:color w:val="0000EE"/>
                <w:w w:val="94"/>
              </w:rPr>
            </w:pPr>
            <w:hyperlink r:id="rId63">
              <w:r>
                <w:rPr>
                  <w:rFonts w:ascii="Arial" w:cs="Arial" w:eastAsia="Arial" w:hAnsi="Arial"/>
                  <w:sz w:val="18"/>
                  <w:szCs w:val="18"/>
                  <w:color w:val="0000EE"/>
                  <w:w w:val="94"/>
                </w:rPr>
                <w:t>10-K</w:t>
              </w:r>
            </w:hyperlink>
          </w:p>
        </w:tc>
        <w:tc>
          <w:tcPr>
            <w:tcW w:w="1000" w:type="dxa"/>
            <w:vAlign w:val="bottom"/>
            <w:gridSpan w:val="3"/>
          </w:tcPr>
          <w:p>
            <w:pPr>
              <w:jc w:val="right"/>
              <w:ind w:right="100"/>
              <w:spacing w:after="0"/>
              <w:rPr>
                <w:rFonts w:ascii="Arial" w:cs="Arial" w:eastAsia="Arial" w:hAnsi="Arial"/>
                <w:sz w:val="18"/>
                <w:szCs w:val="18"/>
                <w:color w:val="0000EE"/>
              </w:rPr>
            </w:pPr>
            <w:hyperlink r:id="rId63">
              <w:r>
                <w:rPr>
                  <w:rFonts w:ascii="Arial" w:cs="Arial" w:eastAsia="Arial" w:hAnsi="Arial"/>
                  <w:sz w:val="18"/>
                  <w:szCs w:val="18"/>
                  <w:color w:val="0000EE"/>
                </w:rPr>
                <w:t>001-34180</w:t>
              </w:r>
            </w:hyperlink>
          </w:p>
        </w:tc>
        <w:tc>
          <w:tcPr>
            <w:tcW w:w="100" w:type="dxa"/>
            <w:vAlign w:val="bottom"/>
          </w:tcPr>
          <w:p>
            <w:pPr>
              <w:spacing w:after="0"/>
              <w:rPr>
                <w:sz w:val="24"/>
                <w:szCs w:val="24"/>
                <w:color w:val="auto"/>
              </w:rPr>
            </w:pPr>
          </w:p>
        </w:tc>
        <w:tc>
          <w:tcPr>
            <w:tcW w:w="780" w:type="dxa"/>
            <w:vAlign w:val="bottom"/>
            <w:gridSpan w:val="3"/>
          </w:tcPr>
          <w:p>
            <w:pPr>
              <w:jc w:val="center"/>
              <w:spacing w:after="0"/>
              <w:rPr>
                <w:rFonts w:ascii="Arial" w:cs="Arial" w:eastAsia="Arial" w:hAnsi="Arial"/>
                <w:sz w:val="18"/>
                <w:szCs w:val="18"/>
                <w:color w:val="0000EE"/>
                <w:w w:val="87"/>
              </w:rPr>
            </w:pPr>
            <w:hyperlink r:id="rId63">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100" w:type="dxa"/>
            <w:vAlign w:val="bottom"/>
          </w:tcPr>
          <w:p>
            <w:pPr>
              <w:spacing w:after="0"/>
              <w:rPr>
                <w:sz w:val="24"/>
                <w:szCs w:val="24"/>
                <w:color w:val="auto"/>
              </w:rPr>
            </w:pPr>
          </w:p>
        </w:tc>
        <w:tc>
          <w:tcPr>
            <w:tcW w:w="920" w:type="dxa"/>
            <w:vAlign w:val="bottom"/>
            <w:gridSpan w:val="6"/>
          </w:tcPr>
          <w:p>
            <w:pPr>
              <w:jc w:val="center"/>
              <w:spacing w:after="0"/>
              <w:rPr>
                <w:rFonts w:ascii="Arial" w:cs="Arial" w:eastAsia="Arial" w:hAnsi="Arial"/>
                <w:sz w:val="18"/>
                <w:szCs w:val="18"/>
                <w:color w:val="0000EE"/>
                <w:w w:val="89"/>
              </w:rPr>
            </w:pPr>
            <w:hyperlink r:id="rId63">
              <w:r>
                <w:rPr>
                  <w:rFonts w:ascii="Arial" w:cs="Arial" w:eastAsia="Arial" w:hAnsi="Arial"/>
                  <w:sz w:val="18"/>
                  <w:szCs w:val="18"/>
                  <w:color w:val="0000EE"/>
                  <w:w w:val="89"/>
                </w:rPr>
                <w:t>3/28/2011</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1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February 9, 2011.</w:t>
              </w:r>
            </w:hyperlink>
          </w:p>
        </w:tc>
        <w:tc>
          <w:tcPr>
            <w:tcW w:w="560" w:type="dxa"/>
            <w:vAlign w:val="bottom"/>
            <w:gridSpan w:val="4"/>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8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64">
              <w:r>
                <w:rPr>
                  <w:rFonts w:ascii="Arial" w:cs="Arial" w:eastAsia="Arial" w:hAnsi="Arial"/>
                  <w:sz w:val="18"/>
                  <w:szCs w:val="18"/>
                  <w:color w:val="0000EE"/>
                  <w:w w:val="95"/>
                </w:rPr>
                <w:t>3.</w:t>
              </w:r>
              <w:r>
                <w:rPr>
                  <w:rFonts w:ascii="Arial" w:cs="Arial" w:eastAsia="Arial" w:hAnsi="Arial"/>
                  <w:sz w:val="18"/>
                  <w:szCs w:val="18"/>
                  <w:u w:val="single" w:color="auto"/>
                  <w:color w:val="0000EE"/>
                  <w:w w:val="95"/>
                </w:rPr>
                <w:t>3</w:t>
              </w:r>
            </w:hyperlink>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80" w:type="dxa"/>
            <w:vAlign w:val="bottom"/>
            <w:gridSpan w:val="17"/>
          </w:tcPr>
          <w:p>
            <w:pPr>
              <w:spacing w:after="0"/>
              <w:rPr>
                <w:rFonts w:ascii="Arial" w:cs="Arial" w:eastAsia="Arial" w:hAnsi="Arial"/>
                <w:sz w:val="18"/>
                <w:szCs w:val="18"/>
                <w:color w:val="0000EE"/>
                <w:w w:val="95"/>
              </w:rPr>
            </w:pPr>
            <w:hyperlink r:id="rId64">
              <w:r>
                <w:rPr>
                  <w:rFonts w:ascii="Arial" w:cs="Arial" w:eastAsia="Arial" w:hAnsi="Arial"/>
                  <w:sz w:val="18"/>
                  <w:szCs w:val="18"/>
                  <w:color w:val="0000EE"/>
                  <w:w w:val="95"/>
                </w:rPr>
                <w:t>Certificate of Designation of Rights, Preferences and Privileges of Series A</w:t>
              </w:r>
            </w:hyperlink>
          </w:p>
        </w:tc>
        <w:tc>
          <w:tcPr>
            <w:tcW w:w="140" w:type="dxa"/>
            <w:vAlign w:val="bottom"/>
          </w:tcPr>
          <w:p>
            <w:pPr>
              <w:spacing w:after="0"/>
              <w:rPr>
                <w:sz w:val="24"/>
                <w:szCs w:val="24"/>
                <w:color w:val="auto"/>
              </w:rPr>
            </w:pPr>
          </w:p>
        </w:tc>
        <w:tc>
          <w:tcPr>
            <w:tcW w:w="600" w:type="dxa"/>
            <w:vAlign w:val="bottom"/>
            <w:gridSpan w:val="7"/>
          </w:tcPr>
          <w:p>
            <w:pPr>
              <w:jc w:val="center"/>
              <w:ind w:right="240"/>
              <w:spacing w:after="0"/>
              <w:rPr>
                <w:rFonts w:ascii="Arial" w:cs="Arial" w:eastAsia="Arial" w:hAnsi="Arial"/>
                <w:sz w:val="18"/>
                <w:szCs w:val="18"/>
                <w:color w:val="0000EE"/>
                <w:w w:val="99"/>
              </w:rPr>
            </w:pPr>
            <w:hyperlink r:id="rId64">
              <w:r>
                <w:rPr>
                  <w:rFonts w:ascii="Arial" w:cs="Arial" w:eastAsia="Arial" w:hAnsi="Arial"/>
                  <w:sz w:val="18"/>
                  <w:szCs w:val="18"/>
                  <w:color w:val="0000EE"/>
                  <w:w w:val="99"/>
                </w:rPr>
                <w:t>8-K</w:t>
              </w:r>
            </w:hyperlink>
          </w:p>
        </w:tc>
        <w:tc>
          <w:tcPr>
            <w:tcW w:w="1000" w:type="dxa"/>
            <w:vAlign w:val="bottom"/>
            <w:gridSpan w:val="3"/>
          </w:tcPr>
          <w:p>
            <w:pPr>
              <w:jc w:val="right"/>
              <w:ind w:right="100"/>
              <w:spacing w:after="0"/>
              <w:rPr>
                <w:rFonts w:ascii="Arial" w:cs="Arial" w:eastAsia="Arial" w:hAnsi="Arial"/>
                <w:sz w:val="18"/>
                <w:szCs w:val="18"/>
                <w:color w:val="0000EE"/>
              </w:rPr>
            </w:pPr>
            <w:hyperlink r:id="rId64">
              <w:r>
                <w:rPr>
                  <w:rFonts w:ascii="Arial" w:cs="Arial" w:eastAsia="Arial" w:hAnsi="Arial"/>
                  <w:sz w:val="18"/>
                  <w:szCs w:val="18"/>
                  <w:color w:val="0000EE"/>
                </w:rPr>
                <w:t>001-34180</w:t>
              </w:r>
            </w:hyperlink>
          </w:p>
        </w:tc>
        <w:tc>
          <w:tcPr>
            <w:tcW w:w="100" w:type="dxa"/>
            <w:vAlign w:val="bottom"/>
          </w:tcPr>
          <w:p>
            <w:pPr>
              <w:spacing w:after="0"/>
              <w:rPr>
                <w:sz w:val="24"/>
                <w:szCs w:val="24"/>
                <w:color w:val="auto"/>
              </w:rPr>
            </w:pPr>
          </w:p>
        </w:tc>
        <w:tc>
          <w:tcPr>
            <w:tcW w:w="780" w:type="dxa"/>
            <w:vAlign w:val="bottom"/>
            <w:gridSpan w:val="3"/>
          </w:tcPr>
          <w:p>
            <w:pPr>
              <w:jc w:val="center"/>
              <w:spacing w:after="0"/>
              <w:rPr>
                <w:rFonts w:ascii="Arial" w:cs="Arial" w:eastAsia="Arial" w:hAnsi="Arial"/>
                <w:sz w:val="18"/>
                <w:szCs w:val="18"/>
                <w:color w:val="0000EE"/>
                <w:w w:val="87"/>
              </w:rPr>
            </w:pPr>
            <w:hyperlink r:id="rId64">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100" w:type="dxa"/>
            <w:vAlign w:val="bottom"/>
          </w:tcPr>
          <w:p>
            <w:pPr>
              <w:spacing w:after="0"/>
              <w:rPr>
                <w:sz w:val="24"/>
                <w:szCs w:val="24"/>
                <w:color w:val="auto"/>
              </w:rPr>
            </w:pPr>
          </w:p>
        </w:tc>
        <w:tc>
          <w:tcPr>
            <w:tcW w:w="1020" w:type="dxa"/>
            <w:vAlign w:val="bottom"/>
            <w:gridSpan w:val="7"/>
          </w:tcPr>
          <w:p>
            <w:pPr>
              <w:jc w:val="center"/>
              <w:spacing w:after="0"/>
              <w:rPr>
                <w:rFonts w:ascii="Arial" w:cs="Arial" w:eastAsia="Arial" w:hAnsi="Arial"/>
                <w:sz w:val="18"/>
                <w:szCs w:val="18"/>
                <w:color w:val="0000EE"/>
                <w:w w:val="90"/>
              </w:rPr>
            </w:pPr>
            <w:hyperlink r:id="rId64">
              <w:r>
                <w:rPr>
                  <w:rFonts w:ascii="Arial" w:cs="Arial" w:eastAsia="Arial" w:hAnsi="Arial"/>
                  <w:sz w:val="18"/>
                  <w:szCs w:val="18"/>
                  <w:color w:val="0000EE"/>
                  <w:w w:val="90"/>
                </w:rPr>
                <w:t>11/22/2016</w:t>
              </w:r>
            </w:hyperlink>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64">
              <w:r>
                <w:rPr>
                  <w:rFonts w:ascii="Arial" w:cs="Arial" w:eastAsia="Arial" w:hAnsi="Arial"/>
                  <w:sz w:val="18"/>
                  <w:szCs w:val="18"/>
                  <w:color w:val="0000EE"/>
                </w:rPr>
                <w:t>Participating Preferred Stock.</w:t>
              </w:r>
            </w:hyperlink>
          </w:p>
        </w:tc>
        <w:tc>
          <w:tcPr>
            <w:tcW w:w="26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8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65">
              <w:r>
                <w:rPr>
                  <w:rFonts w:ascii="Arial" w:cs="Arial" w:eastAsia="Arial" w:hAnsi="Arial"/>
                  <w:sz w:val="18"/>
                  <w:szCs w:val="18"/>
                  <w:color w:val="0000EE"/>
                  <w:w w:val="95"/>
                </w:rPr>
                <w:t>3.</w:t>
              </w:r>
              <w:r>
                <w:rPr>
                  <w:rFonts w:ascii="Arial" w:cs="Arial" w:eastAsia="Arial" w:hAnsi="Arial"/>
                  <w:sz w:val="18"/>
                  <w:szCs w:val="18"/>
                  <w:u w:val="single" w:color="auto"/>
                  <w:color w:val="0000EE"/>
                  <w:w w:val="95"/>
                </w:rPr>
                <w:t>4</w:t>
              </w:r>
            </w:hyperlink>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80" w:type="dxa"/>
            <w:vAlign w:val="bottom"/>
            <w:gridSpan w:val="17"/>
          </w:tcPr>
          <w:p>
            <w:pPr>
              <w:spacing w:after="0"/>
              <w:rPr>
                <w:rFonts w:ascii="Arial" w:cs="Arial" w:eastAsia="Arial" w:hAnsi="Arial"/>
                <w:sz w:val="18"/>
                <w:szCs w:val="18"/>
                <w:color w:val="0000EE"/>
              </w:rPr>
            </w:pPr>
            <w:hyperlink r:id="rId65">
              <w:r>
                <w:rPr>
                  <w:rFonts w:ascii="Arial" w:cs="Arial" w:eastAsia="Arial" w:hAnsi="Arial"/>
                  <w:sz w:val="18"/>
                  <w:szCs w:val="18"/>
                  <w:color w:val="0000EE"/>
                </w:rPr>
                <w:t>Certificate of Elimination of Series A Participating Preferred Stock of</w:t>
              </w:r>
            </w:hyperlink>
          </w:p>
        </w:tc>
        <w:tc>
          <w:tcPr>
            <w:tcW w:w="140" w:type="dxa"/>
            <w:vAlign w:val="bottom"/>
          </w:tcPr>
          <w:p>
            <w:pPr>
              <w:spacing w:after="0"/>
              <w:rPr>
                <w:sz w:val="24"/>
                <w:szCs w:val="24"/>
                <w:color w:val="auto"/>
              </w:rPr>
            </w:pPr>
          </w:p>
        </w:tc>
        <w:tc>
          <w:tcPr>
            <w:tcW w:w="600" w:type="dxa"/>
            <w:vAlign w:val="bottom"/>
            <w:gridSpan w:val="7"/>
          </w:tcPr>
          <w:p>
            <w:pPr>
              <w:jc w:val="center"/>
              <w:ind w:right="240"/>
              <w:spacing w:after="0"/>
              <w:rPr>
                <w:rFonts w:ascii="Arial" w:cs="Arial" w:eastAsia="Arial" w:hAnsi="Arial"/>
                <w:sz w:val="18"/>
                <w:szCs w:val="18"/>
                <w:color w:val="0000EE"/>
                <w:w w:val="99"/>
              </w:rPr>
            </w:pPr>
            <w:hyperlink r:id="rId65">
              <w:r>
                <w:rPr>
                  <w:rFonts w:ascii="Arial" w:cs="Arial" w:eastAsia="Arial" w:hAnsi="Arial"/>
                  <w:sz w:val="18"/>
                  <w:szCs w:val="18"/>
                  <w:color w:val="0000EE"/>
                  <w:w w:val="99"/>
                </w:rPr>
                <w:t>8-K</w:t>
              </w:r>
            </w:hyperlink>
          </w:p>
        </w:tc>
        <w:tc>
          <w:tcPr>
            <w:tcW w:w="1000" w:type="dxa"/>
            <w:vAlign w:val="bottom"/>
            <w:gridSpan w:val="3"/>
          </w:tcPr>
          <w:p>
            <w:pPr>
              <w:jc w:val="right"/>
              <w:ind w:right="100"/>
              <w:spacing w:after="0"/>
              <w:rPr>
                <w:rFonts w:ascii="Arial" w:cs="Arial" w:eastAsia="Arial" w:hAnsi="Arial"/>
                <w:sz w:val="18"/>
                <w:szCs w:val="18"/>
                <w:color w:val="0000EE"/>
              </w:rPr>
            </w:pPr>
            <w:hyperlink r:id="rId65">
              <w:r>
                <w:rPr>
                  <w:rFonts w:ascii="Arial" w:cs="Arial" w:eastAsia="Arial" w:hAnsi="Arial"/>
                  <w:sz w:val="18"/>
                  <w:szCs w:val="18"/>
                  <w:color w:val="0000EE"/>
                </w:rPr>
                <w:t>001-34180</w:t>
              </w:r>
            </w:hyperlink>
          </w:p>
        </w:tc>
        <w:tc>
          <w:tcPr>
            <w:tcW w:w="100" w:type="dxa"/>
            <w:vAlign w:val="bottom"/>
          </w:tcPr>
          <w:p>
            <w:pPr>
              <w:spacing w:after="0"/>
              <w:rPr>
                <w:sz w:val="24"/>
                <w:szCs w:val="24"/>
                <w:color w:val="auto"/>
              </w:rPr>
            </w:pPr>
          </w:p>
        </w:tc>
        <w:tc>
          <w:tcPr>
            <w:tcW w:w="780" w:type="dxa"/>
            <w:vAlign w:val="bottom"/>
            <w:gridSpan w:val="3"/>
          </w:tcPr>
          <w:p>
            <w:pPr>
              <w:jc w:val="center"/>
              <w:spacing w:after="0"/>
              <w:rPr>
                <w:rFonts w:ascii="Arial" w:cs="Arial" w:eastAsia="Arial" w:hAnsi="Arial"/>
                <w:sz w:val="18"/>
                <w:szCs w:val="18"/>
                <w:color w:val="0000EE"/>
                <w:w w:val="87"/>
              </w:rPr>
            </w:pPr>
            <w:hyperlink r:id="rId65">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100" w:type="dxa"/>
            <w:vAlign w:val="bottom"/>
          </w:tcPr>
          <w:p>
            <w:pPr>
              <w:spacing w:after="0"/>
              <w:rPr>
                <w:sz w:val="24"/>
                <w:szCs w:val="24"/>
                <w:color w:val="auto"/>
              </w:rPr>
            </w:pPr>
          </w:p>
        </w:tc>
        <w:tc>
          <w:tcPr>
            <w:tcW w:w="860" w:type="dxa"/>
            <w:vAlign w:val="bottom"/>
            <w:gridSpan w:val="5"/>
          </w:tcPr>
          <w:p>
            <w:pPr>
              <w:jc w:val="center"/>
              <w:ind w:left="50"/>
              <w:spacing w:after="0"/>
              <w:rPr>
                <w:rFonts w:ascii="Arial" w:cs="Arial" w:eastAsia="Arial" w:hAnsi="Arial"/>
                <w:sz w:val="18"/>
                <w:szCs w:val="18"/>
                <w:color w:val="0000EE"/>
                <w:w w:val="91"/>
              </w:rPr>
            </w:pPr>
            <w:hyperlink r:id="rId65">
              <w:r>
                <w:rPr>
                  <w:rFonts w:ascii="Arial" w:cs="Arial" w:eastAsia="Arial" w:hAnsi="Arial"/>
                  <w:sz w:val="18"/>
                  <w:szCs w:val="18"/>
                  <w:color w:val="0000EE"/>
                  <w:w w:val="91"/>
                </w:rPr>
                <w:t>8/2/2017</w:t>
              </w:r>
            </w:hyperlink>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65">
              <w:r>
                <w:rPr>
                  <w:rFonts w:ascii="Arial" w:cs="Arial" w:eastAsia="Arial" w:hAnsi="Arial"/>
                  <w:sz w:val="18"/>
                  <w:szCs w:val="18"/>
                  <w:color w:val="0000EE"/>
                  <w:w w:val="92"/>
                </w:rPr>
                <w:t>Fluidigm Corporation.</w:t>
              </w:r>
            </w:hyperlink>
          </w:p>
        </w:tc>
        <w:tc>
          <w:tcPr>
            <w:tcW w:w="3400" w:type="dxa"/>
            <w:vAlign w:val="bottom"/>
            <w:tcBorders>
              <w:top w:val="single" w:sz="8" w:color="0000EE"/>
            </w:tcBorders>
            <w:gridSpan w:val="8"/>
          </w:tcPr>
          <w:p>
            <w:pPr>
              <w:spacing w:after="0"/>
              <w:rPr>
                <w:sz w:val="17"/>
                <w:szCs w:val="17"/>
                <w:color w:val="auto"/>
              </w:rPr>
            </w:pPr>
          </w:p>
        </w:tc>
        <w:tc>
          <w:tcPr>
            <w:tcW w:w="660" w:type="dxa"/>
            <w:vAlign w:val="bottom"/>
            <w:gridSpan w:val="7"/>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28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66">
              <w:r>
                <w:rPr>
                  <w:rFonts w:ascii="Arial" w:cs="Arial" w:eastAsia="Arial" w:hAnsi="Arial"/>
                  <w:sz w:val="18"/>
                  <w:szCs w:val="18"/>
                  <w:color w:val="0000EE"/>
                  <w:w w:val="95"/>
                </w:rPr>
                <w:t>4.</w:t>
              </w:r>
              <w:r>
                <w:rPr>
                  <w:rFonts w:ascii="Arial" w:cs="Arial" w:eastAsia="Arial" w:hAnsi="Arial"/>
                  <w:sz w:val="18"/>
                  <w:szCs w:val="18"/>
                  <w:u w:val="single" w:color="auto"/>
                  <w:color w:val="0000EE"/>
                  <w:w w:val="95"/>
                </w:rPr>
                <w:t>1</w:t>
              </w:r>
            </w:hyperlink>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40" w:type="dxa"/>
            <w:vAlign w:val="bottom"/>
            <w:gridSpan w:val="8"/>
          </w:tcPr>
          <w:p>
            <w:pPr>
              <w:spacing w:after="0"/>
              <w:rPr>
                <w:rFonts w:ascii="Arial" w:cs="Arial" w:eastAsia="Arial" w:hAnsi="Arial"/>
                <w:sz w:val="18"/>
                <w:szCs w:val="18"/>
                <w:color w:val="0000EE"/>
                <w:w w:val="92"/>
              </w:rPr>
            </w:pPr>
            <w:hyperlink r:id="rId66">
              <w:r>
                <w:rPr>
                  <w:rFonts w:ascii="Arial" w:cs="Arial" w:eastAsia="Arial" w:hAnsi="Arial"/>
                  <w:sz w:val="18"/>
                  <w:szCs w:val="18"/>
                  <w:color w:val="0000EE"/>
                  <w:w w:val="92"/>
                </w:rPr>
                <w:t>Specimen Common Stock Certificate of Fluidigm Corporation.</w:t>
              </w:r>
            </w:hyperlink>
          </w:p>
        </w:tc>
        <w:tc>
          <w:tcPr>
            <w:tcW w:w="1140" w:type="dxa"/>
            <w:vAlign w:val="bottom"/>
            <w:gridSpan w:val="9"/>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gridSpan w:val="6"/>
          </w:tcPr>
          <w:p>
            <w:pPr>
              <w:jc w:val="center"/>
              <w:ind w:right="280"/>
              <w:spacing w:after="0"/>
              <w:rPr>
                <w:rFonts w:ascii="Arial" w:cs="Arial" w:eastAsia="Arial" w:hAnsi="Arial"/>
                <w:sz w:val="18"/>
                <w:szCs w:val="18"/>
                <w:color w:val="0000EE"/>
                <w:w w:val="85"/>
              </w:rPr>
            </w:pPr>
            <w:hyperlink r:id="rId66">
              <w:r>
                <w:rPr>
                  <w:rFonts w:ascii="Arial" w:cs="Arial" w:eastAsia="Arial" w:hAnsi="Arial"/>
                  <w:sz w:val="18"/>
                  <w:szCs w:val="18"/>
                  <w:color w:val="0000EE"/>
                  <w:w w:val="85"/>
                </w:rPr>
                <w:t>S-8</w:t>
              </w:r>
            </w:hyperlink>
          </w:p>
        </w:tc>
        <w:tc>
          <w:tcPr>
            <w:tcW w:w="1000" w:type="dxa"/>
            <w:vAlign w:val="bottom"/>
            <w:gridSpan w:val="3"/>
          </w:tcPr>
          <w:p>
            <w:pPr>
              <w:jc w:val="right"/>
              <w:ind w:right="100"/>
              <w:spacing w:after="0"/>
              <w:rPr>
                <w:rFonts w:ascii="Arial" w:cs="Arial" w:eastAsia="Arial" w:hAnsi="Arial"/>
                <w:sz w:val="18"/>
                <w:szCs w:val="18"/>
                <w:color w:val="0000EE"/>
              </w:rPr>
            </w:pPr>
            <w:hyperlink r:id="rId66">
              <w:r>
                <w:rPr>
                  <w:rFonts w:ascii="Arial" w:cs="Arial" w:eastAsia="Arial" w:hAnsi="Arial"/>
                  <w:sz w:val="18"/>
                  <w:szCs w:val="18"/>
                  <w:color w:val="0000EE"/>
                </w:rPr>
                <w:t>001-34180</w:t>
              </w:r>
            </w:hyperlink>
          </w:p>
        </w:tc>
        <w:tc>
          <w:tcPr>
            <w:tcW w:w="100" w:type="dxa"/>
            <w:vAlign w:val="bottom"/>
          </w:tcPr>
          <w:p>
            <w:pPr>
              <w:spacing w:after="0"/>
              <w:rPr>
                <w:sz w:val="24"/>
                <w:szCs w:val="24"/>
                <w:color w:val="auto"/>
              </w:rPr>
            </w:pPr>
          </w:p>
        </w:tc>
        <w:tc>
          <w:tcPr>
            <w:tcW w:w="780" w:type="dxa"/>
            <w:vAlign w:val="bottom"/>
            <w:gridSpan w:val="3"/>
          </w:tcPr>
          <w:p>
            <w:pPr>
              <w:jc w:val="center"/>
              <w:spacing w:after="0"/>
              <w:rPr>
                <w:rFonts w:ascii="Arial" w:cs="Arial" w:eastAsia="Arial" w:hAnsi="Arial"/>
                <w:sz w:val="18"/>
                <w:szCs w:val="18"/>
                <w:color w:val="0000EE"/>
                <w:w w:val="87"/>
              </w:rPr>
            </w:pPr>
            <w:hyperlink r:id="rId6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100" w:type="dxa"/>
            <w:vAlign w:val="bottom"/>
          </w:tcPr>
          <w:p>
            <w:pPr>
              <w:spacing w:after="0"/>
              <w:rPr>
                <w:sz w:val="24"/>
                <w:szCs w:val="24"/>
                <w:color w:val="auto"/>
              </w:rPr>
            </w:pPr>
          </w:p>
        </w:tc>
        <w:tc>
          <w:tcPr>
            <w:tcW w:w="860" w:type="dxa"/>
            <w:vAlign w:val="bottom"/>
            <w:gridSpan w:val="5"/>
          </w:tcPr>
          <w:p>
            <w:pPr>
              <w:jc w:val="center"/>
              <w:ind w:left="50"/>
              <w:spacing w:after="0"/>
              <w:rPr>
                <w:rFonts w:ascii="Arial" w:cs="Arial" w:eastAsia="Arial" w:hAnsi="Arial"/>
                <w:sz w:val="18"/>
                <w:szCs w:val="18"/>
                <w:color w:val="0000EE"/>
                <w:w w:val="91"/>
              </w:rPr>
            </w:pPr>
            <w:hyperlink r:id="rId66">
              <w:r>
                <w:rPr>
                  <w:rFonts w:ascii="Arial" w:cs="Arial" w:eastAsia="Arial" w:hAnsi="Arial"/>
                  <w:sz w:val="18"/>
                  <w:szCs w:val="18"/>
                  <w:color w:val="0000EE"/>
                  <w:w w:val="91"/>
                </w:rPr>
                <w:t>8/3/2017</w:t>
              </w:r>
            </w:hyperlink>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40" w:type="dxa"/>
            <w:vAlign w:val="bottom"/>
            <w:gridSpan w:val="4"/>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8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67">
              <w:r>
                <w:rPr>
                  <w:rFonts w:ascii="Arial" w:cs="Arial" w:eastAsia="Arial" w:hAnsi="Arial"/>
                  <w:sz w:val="18"/>
                  <w:szCs w:val="18"/>
                  <w:color w:val="0000EE"/>
                  <w:w w:val="95"/>
                </w:rPr>
                <w:t>4.</w:t>
              </w:r>
              <w:r>
                <w:rPr>
                  <w:rFonts w:ascii="Arial" w:cs="Arial" w:eastAsia="Arial" w:hAnsi="Arial"/>
                  <w:sz w:val="18"/>
                  <w:szCs w:val="18"/>
                  <w:u w:val="single" w:color="auto"/>
                  <w:color w:val="0000EE"/>
                  <w:w w:val="95"/>
                </w:rPr>
                <w:t>2</w:t>
              </w:r>
            </w:hyperlink>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80" w:type="dxa"/>
            <w:vAlign w:val="bottom"/>
            <w:gridSpan w:val="17"/>
          </w:tcPr>
          <w:p>
            <w:pPr>
              <w:spacing w:after="0"/>
              <w:rPr>
                <w:rFonts w:ascii="Arial" w:cs="Arial" w:eastAsia="Arial" w:hAnsi="Arial"/>
                <w:sz w:val="18"/>
                <w:szCs w:val="18"/>
                <w:color w:val="0000EE"/>
                <w:w w:val="97"/>
              </w:rPr>
            </w:pPr>
            <w:hyperlink r:id="rId67">
              <w:r>
                <w:rPr>
                  <w:rFonts w:ascii="Arial" w:cs="Arial" w:eastAsia="Arial" w:hAnsi="Arial"/>
                  <w:sz w:val="18"/>
                  <w:szCs w:val="18"/>
                  <w:color w:val="0000EE"/>
                  <w:w w:val="97"/>
                </w:rPr>
                <w:t>Indenture, dated February 4, 2014, by and between Fluidigm Corporation</w:t>
              </w:r>
            </w:hyperlink>
          </w:p>
        </w:tc>
        <w:tc>
          <w:tcPr>
            <w:tcW w:w="140" w:type="dxa"/>
            <w:vAlign w:val="bottom"/>
          </w:tcPr>
          <w:p>
            <w:pPr>
              <w:spacing w:after="0"/>
              <w:rPr>
                <w:sz w:val="24"/>
                <w:szCs w:val="24"/>
                <w:color w:val="auto"/>
              </w:rPr>
            </w:pPr>
          </w:p>
        </w:tc>
        <w:tc>
          <w:tcPr>
            <w:tcW w:w="600" w:type="dxa"/>
            <w:vAlign w:val="bottom"/>
            <w:gridSpan w:val="7"/>
          </w:tcPr>
          <w:p>
            <w:pPr>
              <w:jc w:val="center"/>
              <w:ind w:right="240"/>
              <w:spacing w:after="0"/>
              <w:rPr>
                <w:rFonts w:ascii="Arial" w:cs="Arial" w:eastAsia="Arial" w:hAnsi="Arial"/>
                <w:sz w:val="18"/>
                <w:szCs w:val="18"/>
                <w:color w:val="0000EE"/>
                <w:w w:val="99"/>
              </w:rPr>
            </w:pPr>
            <w:hyperlink r:id="rId67">
              <w:r>
                <w:rPr>
                  <w:rFonts w:ascii="Arial" w:cs="Arial" w:eastAsia="Arial" w:hAnsi="Arial"/>
                  <w:sz w:val="18"/>
                  <w:szCs w:val="18"/>
                  <w:color w:val="0000EE"/>
                  <w:w w:val="99"/>
                </w:rPr>
                <w:t>8-K</w:t>
              </w:r>
            </w:hyperlink>
          </w:p>
        </w:tc>
        <w:tc>
          <w:tcPr>
            <w:tcW w:w="1000" w:type="dxa"/>
            <w:vAlign w:val="bottom"/>
            <w:gridSpan w:val="3"/>
          </w:tcPr>
          <w:p>
            <w:pPr>
              <w:jc w:val="right"/>
              <w:ind w:right="100"/>
              <w:spacing w:after="0"/>
              <w:rPr>
                <w:rFonts w:ascii="Arial" w:cs="Arial" w:eastAsia="Arial" w:hAnsi="Arial"/>
                <w:sz w:val="18"/>
                <w:szCs w:val="18"/>
                <w:color w:val="0000EE"/>
              </w:rPr>
            </w:pPr>
            <w:hyperlink r:id="rId67">
              <w:r>
                <w:rPr>
                  <w:rFonts w:ascii="Arial" w:cs="Arial" w:eastAsia="Arial" w:hAnsi="Arial"/>
                  <w:sz w:val="18"/>
                  <w:szCs w:val="18"/>
                  <w:color w:val="0000EE"/>
                </w:rPr>
                <w:t>001-34180</w:t>
              </w:r>
            </w:hyperlink>
          </w:p>
        </w:tc>
        <w:tc>
          <w:tcPr>
            <w:tcW w:w="100" w:type="dxa"/>
            <w:vAlign w:val="bottom"/>
          </w:tcPr>
          <w:p>
            <w:pPr>
              <w:spacing w:after="0"/>
              <w:rPr>
                <w:sz w:val="24"/>
                <w:szCs w:val="24"/>
                <w:color w:val="auto"/>
              </w:rPr>
            </w:pPr>
          </w:p>
        </w:tc>
        <w:tc>
          <w:tcPr>
            <w:tcW w:w="780" w:type="dxa"/>
            <w:vAlign w:val="bottom"/>
            <w:gridSpan w:val="3"/>
          </w:tcPr>
          <w:p>
            <w:pPr>
              <w:jc w:val="center"/>
              <w:spacing w:after="0"/>
              <w:rPr>
                <w:rFonts w:ascii="Arial" w:cs="Arial" w:eastAsia="Arial" w:hAnsi="Arial"/>
                <w:sz w:val="18"/>
                <w:szCs w:val="18"/>
                <w:color w:val="0000EE"/>
                <w:w w:val="87"/>
              </w:rPr>
            </w:pPr>
            <w:hyperlink r:id="rId6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100" w:type="dxa"/>
            <w:vAlign w:val="bottom"/>
          </w:tcPr>
          <w:p>
            <w:pPr>
              <w:spacing w:after="0"/>
              <w:rPr>
                <w:sz w:val="24"/>
                <w:szCs w:val="24"/>
                <w:color w:val="auto"/>
              </w:rPr>
            </w:pPr>
          </w:p>
        </w:tc>
        <w:tc>
          <w:tcPr>
            <w:tcW w:w="860" w:type="dxa"/>
            <w:vAlign w:val="bottom"/>
            <w:gridSpan w:val="5"/>
          </w:tcPr>
          <w:p>
            <w:pPr>
              <w:jc w:val="center"/>
              <w:ind w:left="50"/>
              <w:spacing w:after="0"/>
              <w:rPr>
                <w:rFonts w:ascii="Arial" w:cs="Arial" w:eastAsia="Arial" w:hAnsi="Arial"/>
                <w:sz w:val="18"/>
                <w:szCs w:val="18"/>
                <w:color w:val="0000EE"/>
                <w:w w:val="91"/>
              </w:rPr>
            </w:pPr>
            <w:hyperlink r:id="rId67">
              <w:r>
                <w:rPr>
                  <w:rFonts w:ascii="Arial" w:cs="Arial" w:eastAsia="Arial" w:hAnsi="Arial"/>
                  <w:sz w:val="18"/>
                  <w:szCs w:val="18"/>
                  <w:color w:val="0000EE"/>
                  <w:w w:val="91"/>
                </w:rPr>
                <w:t>2/4/2014</w:t>
              </w:r>
            </w:hyperlink>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and U.S. Bank National Association.</w:t>
              </w:r>
            </w:hyperlink>
          </w:p>
        </w:tc>
        <w:tc>
          <w:tcPr>
            <w:tcW w:w="40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40" w:type="dxa"/>
            <w:vAlign w:val="bottom"/>
            <w:gridSpan w:val="4"/>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8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68">
              <w:r>
                <w:rPr>
                  <w:rFonts w:ascii="Arial" w:cs="Arial" w:eastAsia="Arial" w:hAnsi="Arial"/>
                  <w:sz w:val="18"/>
                  <w:szCs w:val="18"/>
                  <w:color w:val="0000EE"/>
                  <w:w w:val="95"/>
                </w:rPr>
                <w:t>4.</w:t>
              </w:r>
              <w:r>
                <w:rPr>
                  <w:rFonts w:ascii="Arial" w:cs="Arial" w:eastAsia="Arial" w:hAnsi="Arial"/>
                  <w:sz w:val="18"/>
                  <w:szCs w:val="18"/>
                  <w:u w:val="single" w:color="auto"/>
                  <w:color w:val="0000EE"/>
                  <w:w w:val="95"/>
                </w:rPr>
                <w:t>3</w:t>
              </w:r>
            </w:hyperlink>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80" w:type="dxa"/>
            <w:vAlign w:val="bottom"/>
            <w:gridSpan w:val="11"/>
          </w:tcPr>
          <w:p>
            <w:pPr>
              <w:spacing w:after="0"/>
              <w:rPr>
                <w:rFonts w:ascii="Arial" w:cs="Arial" w:eastAsia="Arial" w:hAnsi="Arial"/>
                <w:sz w:val="18"/>
                <w:szCs w:val="18"/>
                <w:color w:val="0000EE"/>
                <w:w w:val="89"/>
              </w:rPr>
            </w:pPr>
            <w:hyperlink r:id="rId68">
              <w:r>
                <w:rPr>
                  <w:rFonts w:ascii="Arial" w:cs="Arial" w:eastAsia="Arial" w:hAnsi="Arial"/>
                  <w:sz w:val="18"/>
                  <w:szCs w:val="18"/>
                  <w:color w:val="0000EE"/>
                  <w:w w:val="89"/>
                </w:rPr>
                <w:t>First Supplemental Indenture, dated February 4, 2014, by and between</w:t>
              </w:r>
            </w:hyperlink>
          </w:p>
        </w:tc>
        <w:tc>
          <w:tcPr>
            <w:tcW w:w="600" w:type="dxa"/>
            <w:vAlign w:val="bottom"/>
            <w:gridSpan w:val="6"/>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gridSpan w:val="6"/>
          </w:tcPr>
          <w:p>
            <w:pPr>
              <w:jc w:val="center"/>
              <w:ind w:right="280"/>
              <w:spacing w:after="0"/>
              <w:rPr>
                <w:rFonts w:ascii="Arial" w:cs="Arial" w:eastAsia="Arial" w:hAnsi="Arial"/>
                <w:sz w:val="18"/>
                <w:szCs w:val="18"/>
                <w:color w:val="0000EE"/>
                <w:w w:val="99"/>
              </w:rPr>
            </w:pPr>
            <w:hyperlink r:id="rId68">
              <w:r>
                <w:rPr>
                  <w:rFonts w:ascii="Arial" w:cs="Arial" w:eastAsia="Arial" w:hAnsi="Arial"/>
                  <w:sz w:val="18"/>
                  <w:szCs w:val="18"/>
                  <w:color w:val="0000EE"/>
                  <w:w w:val="99"/>
                </w:rPr>
                <w:t>8-K</w:t>
              </w:r>
            </w:hyperlink>
          </w:p>
        </w:tc>
        <w:tc>
          <w:tcPr>
            <w:tcW w:w="1000" w:type="dxa"/>
            <w:vAlign w:val="bottom"/>
            <w:gridSpan w:val="3"/>
          </w:tcPr>
          <w:p>
            <w:pPr>
              <w:jc w:val="right"/>
              <w:ind w:right="100"/>
              <w:spacing w:after="0"/>
              <w:rPr>
                <w:rFonts w:ascii="Arial" w:cs="Arial" w:eastAsia="Arial" w:hAnsi="Arial"/>
                <w:sz w:val="18"/>
                <w:szCs w:val="18"/>
                <w:color w:val="0000EE"/>
              </w:rPr>
            </w:pPr>
            <w:hyperlink r:id="rId68">
              <w:r>
                <w:rPr>
                  <w:rFonts w:ascii="Arial" w:cs="Arial" w:eastAsia="Arial" w:hAnsi="Arial"/>
                  <w:sz w:val="18"/>
                  <w:szCs w:val="18"/>
                  <w:color w:val="0000EE"/>
                </w:rPr>
                <w:t>001-34180</w:t>
              </w:r>
            </w:hyperlink>
          </w:p>
        </w:tc>
        <w:tc>
          <w:tcPr>
            <w:tcW w:w="100" w:type="dxa"/>
            <w:vAlign w:val="bottom"/>
          </w:tcPr>
          <w:p>
            <w:pPr>
              <w:spacing w:after="0"/>
              <w:rPr>
                <w:sz w:val="24"/>
                <w:szCs w:val="24"/>
                <w:color w:val="auto"/>
              </w:rPr>
            </w:pPr>
          </w:p>
        </w:tc>
        <w:tc>
          <w:tcPr>
            <w:tcW w:w="780" w:type="dxa"/>
            <w:vAlign w:val="bottom"/>
            <w:gridSpan w:val="3"/>
          </w:tcPr>
          <w:p>
            <w:pPr>
              <w:jc w:val="center"/>
              <w:spacing w:after="0"/>
              <w:rPr>
                <w:rFonts w:ascii="Arial" w:cs="Arial" w:eastAsia="Arial" w:hAnsi="Arial"/>
                <w:sz w:val="18"/>
                <w:szCs w:val="18"/>
                <w:color w:val="0000EE"/>
                <w:w w:val="87"/>
              </w:rPr>
            </w:pPr>
            <w:hyperlink r:id="rId6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100" w:type="dxa"/>
            <w:vAlign w:val="bottom"/>
          </w:tcPr>
          <w:p>
            <w:pPr>
              <w:spacing w:after="0"/>
              <w:rPr>
                <w:sz w:val="24"/>
                <w:szCs w:val="24"/>
                <w:color w:val="auto"/>
              </w:rPr>
            </w:pPr>
          </w:p>
        </w:tc>
        <w:tc>
          <w:tcPr>
            <w:tcW w:w="860" w:type="dxa"/>
            <w:vAlign w:val="bottom"/>
            <w:gridSpan w:val="5"/>
          </w:tcPr>
          <w:p>
            <w:pPr>
              <w:jc w:val="center"/>
              <w:ind w:left="50"/>
              <w:spacing w:after="0"/>
              <w:rPr>
                <w:rFonts w:ascii="Arial" w:cs="Arial" w:eastAsia="Arial" w:hAnsi="Arial"/>
                <w:sz w:val="18"/>
                <w:szCs w:val="18"/>
                <w:color w:val="0000EE"/>
                <w:w w:val="91"/>
              </w:rPr>
            </w:pPr>
            <w:hyperlink r:id="rId68">
              <w:r>
                <w:rPr>
                  <w:rFonts w:ascii="Arial" w:cs="Arial" w:eastAsia="Arial" w:hAnsi="Arial"/>
                  <w:sz w:val="18"/>
                  <w:szCs w:val="18"/>
                  <w:color w:val="0000EE"/>
                  <w:w w:val="91"/>
                </w:rPr>
                <w:t>2/4/2014</w:t>
              </w:r>
            </w:hyperlink>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Fluidigm Corporation and U.S. Bank National Association.</w:t>
              </w:r>
            </w:hyperlink>
          </w:p>
        </w:tc>
        <w:tc>
          <w:tcPr>
            <w:tcW w:w="600" w:type="dxa"/>
            <w:vAlign w:val="bottom"/>
            <w:gridSpan w:val="6"/>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60" w:type="dxa"/>
            <w:vAlign w:val="bottom"/>
            <w:gridSpan w:val="6"/>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2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8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69">
              <w:r>
                <w:rPr>
                  <w:rFonts w:ascii="Arial" w:cs="Arial" w:eastAsia="Arial" w:hAnsi="Arial"/>
                  <w:sz w:val="18"/>
                  <w:szCs w:val="18"/>
                  <w:color w:val="0000EE"/>
                  <w:w w:val="95"/>
                </w:rPr>
                <w:t>4.</w:t>
              </w:r>
              <w:r>
                <w:rPr>
                  <w:rFonts w:ascii="Arial" w:cs="Arial" w:eastAsia="Arial" w:hAnsi="Arial"/>
                  <w:sz w:val="18"/>
                  <w:szCs w:val="18"/>
                  <w:u w:val="single" w:color="auto"/>
                  <w:color w:val="0000EE"/>
                  <w:w w:val="95"/>
                </w:rPr>
                <w:t>4</w:t>
              </w:r>
            </w:hyperlink>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80" w:type="dxa"/>
            <w:vAlign w:val="bottom"/>
            <w:gridSpan w:val="17"/>
          </w:tcPr>
          <w:p>
            <w:pPr>
              <w:spacing w:after="0"/>
              <w:rPr>
                <w:rFonts w:ascii="Arial" w:cs="Arial" w:eastAsia="Arial" w:hAnsi="Arial"/>
                <w:sz w:val="18"/>
                <w:szCs w:val="18"/>
                <w:color w:val="0000EE"/>
              </w:rPr>
            </w:pPr>
            <w:hyperlink r:id="rId69">
              <w:r>
                <w:rPr>
                  <w:rFonts w:ascii="Arial" w:cs="Arial" w:eastAsia="Arial" w:hAnsi="Arial"/>
                  <w:sz w:val="18"/>
                  <w:szCs w:val="18"/>
                  <w:color w:val="0000EE"/>
                </w:rPr>
                <w:t>Indenture, dated November 22, 2019, by and between Fluidigm</w:t>
              </w:r>
            </w:hyperlink>
          </w:p>
        </w:tc>
        <w:tc>
          <w:tcPr>
            <w:tcW w:w="140" w:type="dxa"/>
            <w:vAlign w:val="bottom"/>
          </w:tcPr>
          <w:p>
            <w:pPr>
              <w:spacing w:after="0"/>
              <w:rPr>
                <w:sz w:val="24"/>
                <w:szCs w:val="24"/>
                <w:color w:val="auto"/>
              </w:rPr>
            </w:pPr>
          </w:p>
        </w:tc>
        <w:tc>
          <w:tcPr>
            <w:tcW w:w="600" w:type="dxa"/>
            <w:vAlign w:val="bottom"/>
            <w:gridSpan w:val="7"/>
          </w:tcPr>
          <w:p>
            <w:pPr>
              <w:jc w:val="center"/>
              <w:ind w:right="240"/>
              <w:spacing w:after="0"/>
              <w:rPr>
                <w:rFonts w:ascii="Arial" w:cs="Arial" w:eastAsia="Arial" w:hAnsi="Arial"/>
                <w:sz w:val="18"/>
                <w:szCs w:val="18"/>
                <w:color w:val="0000EE"/>
                <w:w w:val="99"/>
              </w:rPr>
            </w:pPr>
            <w:hyperlink r:id="rId69">
              <w:r>
                <w:rPr>
                  <w:rFonts w:ascii="Arial" w:cs="Arial" w:eastAsia="Arial" w:hAnsi="Arial"/>
                  <w:sz w:val="18"/>
                  <w:szCs w:val="18"/>
                  <w:color w:val="0000EE"/>
                  <w:w w:val="99"/>
                </w:rPr>
                <w:t>8-K</w:t>
              </w:r>
            </w:hyperlink>
          </w:p>
        </w:tc>
        <w:tc>
          <w:tcPr>
            <w:tcW w:w="1000" w:type="dxa"/>
            <w:vAlign w:val="bottom"/>
            <w:gridSpan w:val="3"/>
          </w:tcPr>
          <w:p>
            <w:pPr>
              <w:jc w:val="right"/>
              <w:ind w:right="100"/>
              <w:spacing w:after="0"/>
              <w:rPr>
                <w:rFonts w:ascii="Arial" w:cs="Arial" w:eastAsia="Arial" w:hAnsi="Arial"/>
                <w:sz w:val="18"/>
                <w:szCs w:val="18"/>
                <w:color w:val="0000EE"/>
              </w:rPr>
            </w:pPr>
            <w:hyperlink r:id="rId69">
              <w:r>
                <w:rPr>
                  <w:rFonts w:ascii="Arial" w:cs="Arial" w:eastAsia="Arial" w:hAnsi="Arial"/>
                  <w:sz w:val="18"/>
                  <w:szCs w:val="18"/>
                  <w:color w:val="0000EE"/>
                </w:rPr>
                <w:t>001-34180</w:t>
              </w:r>
            </w:hyperlink>
          </w:p>
        </w:tc>
        <w:tc>
          <w:tcPr>
            <w:tcW w:w="100" w:type="dxa"/>
            <w:vAlign w:val="bottom"/>
          </w:tcPr>
          <w:p>
            <w:pPr>
              <w:spacing w:after="0"/>
              <w:rPr>
                <w:sz w:val="24"/>
                <w:szCs w:val="24"/>
                <w:color w:val="auto"/>
              </w:rPr>
            </w:pPr>
          </w:p>
        </w:tc>
        <w:tc>
          <w:tcPr>
            <w:tcW w:w="780" w:type="dxa"/>
            <w:vAlign w:val="bottom"/>
            <w:gridSpan w:val="3"/>
          </w:tcPr>
          <w:p>
            <w:pPr>
              <w:jc w:val="center"/>
              <w:spacing w:after="0"/>
              <w:rPr>
                <w:rFonts w:ascii="Arial" w:cs="Arial" w:eastAsia="Arial" w:hAnsi="Arial"/>
                <w:sz w:val="18"/>
                <w:szCs w:val="18"/>
                <w:color w:val="0000EE"/>
                <w:w w:val="87"/>
              </w:rPr>
            </w:pPr>
            <w:hyperlink r:id="rId6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100" w:type="dxa"/>
            <w:vAlign w:val="bottom"/>
          </w:tcPr>
          <w:p>
            <w:pPr>
              <w:spacing w:after="0"/>
              <w:rPr>
                <w:sz w:val="24"/>
                <w:szCs w:val="24"/>
                <w:color w:val="auto"/>
              </w:rPr>
            </w:pPr>
          </w:p>
        </w:tc>
        <w:tc>
          <w:tcPr>
            <w:tcW w:w="1020" w:type="dxa"/>
            <w:vAlign w:val="bottom"/>
            <w:gridSpan w:val="7"/>
          </w:tcPr>
          <w:p>
            <w:pPr>
              <w:jc w:val="center"/>
              <w:spacing w:after="0"/>
              <w:rPr>
                <w:rFonts w:ascii="Arial" w:cs="Arial" w:eastAsia="Arial" w:hAnsi="Arial"/>
                <w:sz w:val="18"/>
                <w:szCs w:val="18"/>
                <w:color w:val="0000EE"/>
                <w:w w:val="90"/>
              </w:rPr>
            </w:pPr>
            <w:hyperlink r:id="rId69">
              <w:r>
                <w:rPr>
                  <w:rFonts w:ascii="Arial" w:cs="Arial" w:eastAsia="Arial" w:hAnsi="Arial"/>
                  <w:sz w:val="18"/>
                  <w:szCs w:val="18"/>
                  <w:color w:val="0000EE"/>
                  <w:w w:val="90"/>
                </w:rPr>
                <w:t>11/22/2019</w:t>
              </w:r>
            </w:hyperlink>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Corporation and U.S. Bank National Association.</w:t>
              </w:r>
            </w:hyperlink>
          </w:p>
        </w:tc>
        <w:tc>
          <w:tcPr>
            <w:tcW w:w="1120" w:type="dxa"/>
            <w:vAlign w:val="bottom"/>
            <w:gridSpan w:val="8"/>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680" w:type="dxa"/>
            <w:vAlign w:val="bottom"/>
            <w:tcBorders>
              <w:top w:val="single" w:sz="8" w:color="0000EE"/>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gridSpan w:val="6"/>
            <w:vMerge w:val="restart"/>
          </w:tcPr>
          <w:p>
            <w:pPr>
              <w:ind w:left="12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11"/>
          </w:tcPr>
          <w:p>
            <w:pPr>
              <w:jc w:val="center"/>
              <w:ind w:right="140"/>
              <w:spacing w:after="0"/>
              <w:rPr>
                <w:sz w:val="20"/>
                <w:szCs w:val="20"/>
                <w:color w:val="auto"/>
              </w:rPr>
            </w:pPr>
            <w:r>
              <w:rPr>
                <w:rFonts w:ascii="Arial" w:cs="Arial" w:eastAsia="Arial" w:hAnsi="Arial"/>
                <w:sz w:val="18"/>
                <w:szCs w:val="18"/>
                <w:b w:val="1"/>
                <w:bCs w:val="1"/>
                <w:color w:val="auto"/>
                <w:w w:val="91"/>
              </w:rPr>
              <w:t>Incorporated by Reference</w:t>
            </w: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80" w:type="dxa"/>
            <w:vAlign w:val="bottom"/>
            <w:gridSpan w:val="6"/>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4"/>
          </w:tcPr>
          <w:p>
            <w:pPr>
              <w:jc w:val="center"/>
              <w:ind w:right="100"/>
              <w:spacing w:after="0" w:line="191" w:lineRule="exact"/>
              <w:rPr>
                <w:sz w:val="20"/>
                <w:szCs w:val="20"/>
                <w:color w:val="auto"/>
              </w:rPr>
            </w:pPr>
            <w:r>
              <w:rPr>
                <w:rFonts w:ascii="Arial" w:cs="Arial" w:eastAsia="Arial" w:hAnsi="Arial"/>
                <w:sz w:val="18"/>
                <w:szCs w:val="18"/>
                <w:b w:val="1"/>
                <w:bCs w:val="1"/>
                <w:color w:val="auto"/>
                <w:w w:val="96"/>
              </w:rPr>
              <w:t>Exhibit</w:t>
            </w:r>
          </w:p>
        </w:tc>
        <w:tc>
          <w:tcPr>
            <w:tcW w:w="140" w:type="dxa"/>
            <w:vAlign w:val="bottom"/>
          </w:tcPr>
          <w:p>
            <w:pPr>
              <w:spacing w:after="0"/>
              <w:rPr>
                <w:sz w:val="16"/>
                <w:szCs w:val="16"/>
                <w:color w:val="auto"/>
              </w:rPr>
            </w:pPr>
          </w:p>
        </w:tc>
        <w:tc>
          <w:tcPr>
            <w:tcW w:w="900" w:type="dxa"/>
            <w:vAlign w:val="bottom"/>
            <w:gridSpan w:val="3"/>
          </w:tcPr>
          <w:p>
            <w:pPr>
              <w:ind w:left="100"/>
              <w:spacing w:after="0" w:line="191" w:lineRule="exact"/>
              <w:rPr>
                <w:sz w:val="20"/>
                <w:szCs w:val="20"/>
                <w:color w:val="auto"/>
              </w:rPr>
            </w:pPr>
            <w:r>
              <w:rPr>
                <w:rFonts w:ascii="Arial" w:cs="Arial" w:eastAsia="Arial" w:hAnsi="Arial"/>
                <w:sz w:val="18"/>
                <w:szCs w:val="18"/>
                <w:b w:val="1"/>
                <w:bCs w:val="1"/>
                <w:color w:val="auto"/>
              </w:rPr>
              <w:t>Filing</w:t>
            </w:r>
          </w:p>
        </w:tc>
        <w:tc>
          <w:tcPr>
            <w:tcW w:w="920" w:type="dxa"/>
            <w:vAlign w:val="bottom"/>
            <w:gridSpan w:val="3"/>
          </w:tcPr>
          <w:p>
            <w:pPr>
              <w:jc w:val="center"/>
              <w:spacing w:after="0" w:line="191" w:lineRule="exact"/>
              <w:rPr>
                <w:sz w:val="20"/>
                <w:szCs w:val="20"/>
                <w:color w:val="auto"/>
              </w:rPr>
            </w:pPr>
            <w:r>
              <w:rPr>
                <w:rFonts w:ascii="Arial" w:cs="Arial" w:eastAsia="Arial" w:hAnsi="Arial"/>
                <w:sz w:val="18"/>
                <w:szCs w:val="18"/>
                <w:b w:val="1"/>
                <w:bCs w:val="1"/>
                <w:color w:val="auto"/>
                <w:w w:val="95"/>
              </w:rPr>
              <w:t>Filed</w:t>
            </w:r>
          </w:p>
        </w:tc>
        <w:tc>
          <w:tcPr>
            <w:tcW w:w="0" w:type="dxa"/>
            <w:vAlign w:val="bottom"/>
          </w:tcPr>
          <w:p>
            <w:pPr>
              <w:spacing w:after="0"/>
              <w:rPr>
                <w:sz w:val="1"/>
                <w:szCs w:val="1"/>
                <w:color w:val="auto"/>
              </w:rPr>
            </w:pPr>
          </w:p>
        </w:tc>
      </w:tr>
      <w:tr>
        <w:trPr>
          <w:trHeight w:val="234"/>
        </w:trPr>
        <w:tc>
          <w:tcPr>
            <w:tcW w:w="80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rPr>
              <w:t>No.</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5"/>
          </w:tcPr>
          <w:p>
            <w:pPr>
              <w:ind w:left="400"/>
              <w:spacing w:after="0"/>
              <w:rPr>
                <w:sz w:val="20"/>
                <w:szCs w:val="20"/>
                <w:color w:val="auto"/>
              </w:rPr>
            </w:pPr>
            <w:r>
              <w:rPr>
                <w:rFonts w:ascii="Arial" w:cs="Arial" w:eastAsia="Arial" w:hAnsi="Arial"/>
                <w:sz w:val="18"/>
                <w:szCs w:val="18"/>
                <w:b w:val="1"/>
                <w:bCs w:val="1"/>
                <w:color w:val="auto"/>
              </w:rPr>
              <w:t>Exhibit Description</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Form</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File No.</w:t>
            </w:r>
          </w:p>
        </w:tc>
        <w:tc>
          <w:tcPr>
            <w:tcW w:w="100" w:type="dxa"/>
            <w:vAlign w:val="bottom"/>
          </w:tcPr>
          <w:p>
            <w:pPr>
              <w:spacing w:after="0"/>
              <w:rPr>
                <w:sz w:val="20"/>
                <w:szCs w:val="20"/>
                <w:color w:val="auto"/>
              </w:rPr>
            </w:pPr>
          </w:p>
        </w:tc>
        <w:tc>
          <w:tcPr>
            <w:tcW w:w="78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No.</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Date</w:t>
            </w:r>
          </w:p>
        </w:tc>
        <w:tc>
          <w:tcPr>
            <w:tcW w:w="100" w:type="dxa"/>
            <w:vAlign w:val="bottom"/>
          </w:tcPr>
          <w:p>
            <w:pPr>
              <w:spacing w:after="0"/>
              <w:rPr>
                <w:sz w:val="20"/>
                <w:szCs w:val="20"/>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439"/>
        </w:trPr>
        <w:tc>
          <w:tcPr>
            <w:tcW w:w="280" w:type="dxa"/>
            <w:vAlign w:val="bottom"/>
            <w:gridSpan w:val="2"/>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68">
              <w:r>
                <w:rPr>
                  <w:rFonts w:ascii="Arial" w:cs="Arial" w:eastAsia="Arial" w:hAnsi="Arial"/>
                  <w:sz w:val="18"/>
                  <w:szCs w:val="18"/>
                  <w:color w:val="0000EE"/>
                  <w:w w:val="95"/>
                </w:rPr>
                <w:t>4.</w:t>
              </w:r>
              <w:r>
                <w:rPr>
                  <w:rFonts w:ascii="Arial" w:cs="Arial" w:eastAsia="Arial" w:hAnsi="Arial"/>
                  <w:sz w:val="18"/>
                  <w:szCs w:val="18"/>
                  <w:u w:val="single" w:color="auto"/>
                  <w:color w:val="0000EE"/>
                  <w:w w:val="95"/>
                </w:rPr>
                <w:t>5</w:t>
              </w:r>
            </w:hyperlink>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gridSpan w:val="5"/>
          </w:tcPr>
          <w:p>
            <w:pPr>
              <w:spacing w:after="0"/>
              <w:rPr>
                <w:rFonts w:ascii="Arial" w:cs="Arial" w:eastAsia="Arial" w:hAnsi="Arial"/>
                <w:sz w:val="18"/>
                <w:szCs w:val="18"/>
                <w:color w:val="0000EE"/>
                <w:w w:val="93"/>
              </w:rPr>
            </w:pPr>
            <w:hyperlink r:id="rId68">
              <w:r>
                <w:rPr>
                  <w:rFonts w:ascii="Arial" w:cs="Arial" w:eastAsia="Arial" w:hAnsi="Arial"/>
                  <w:sz w:val="18"/>
                  <w:szCs w:val="18"/>
                  <w:color w:val="0000EE"/>
                  <w:w w:val="93"/>
                </w:rPr>
                <w:t>Form of Global Note (included in Exhibit 4.3).</w:t>
              </w:r>
            </w:hyperlink>
          </w:p>
        </w:tc>
        <w:tc>
          <w:tcPr>
            <w:tcW w:w="204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4"/>
          </w:tcPr>
          <w:p>
            <w:pPr>
              <w:jc w:val="center"/>
              <w:ind w:right="360"/>
              <w:spacing w:after="0"/>
              <w:rPr>
                <w:rFonts w:ascii="Arial" w:cs="Arial" w:eastAsia="Arial" w:hAnsi="Arial"/>
                <w:sz w:val="18"/>
                <w:szCs w:val="18"/>
                <w:color w:val="0000EE"/>
                <w:w w:val="99"/>
              </w:rPr>
            </w:pPr>
            <w:hyperlink r:id="rId68">
              <w:r>
                <w:rPr>
                  <w:rFonts w:ascii="Arial" w:cs="Arial" w:eastAsia="Arial" w:hAnsi="Arial"/>
                  <w:sz w:val="18"/>
                  <w:szCs w:val="18"/>
                  <w:color w:val="0000EE"/>
                  <w:w w:val="99"/>
                </w:rPr>
                <w:t>8-K</w:t>
              </w:r>
            </w:hyperlink>
          </w:p>
        </w:tc>
        <w:tc>
          <w:tcPr>
            <w:tcW w:w="940" w:type="dxa"/>
            <w:vAlign w:val="bottom"/>
            <w:gridSpan w:val="2"/>
          </w:tcPr>
          <w:p>
            <w:pPr>
              <w:jc w:val="center"/>
              <w:spacing w:after="0"/>
              <w:rPr>
                <w:rFonts w:ascii="Arial" w:cs="Arial" w:eastAsia="Arial" w:hAnsi="Arial"/>
                <w:sz w:val="18"/>
                <w:szCs w:val="18"/>
                <w:color w:val="0000EE"/>
              </w:rPr>
            </w:pPr>
            <w:hyperlink r:id="rId68">
              <w:r>
                <w:rPr>
                  <w:rFonts w:ascii="Arial" w:cs="Arial" w:eastAsia="Arial" w:hAnsi="Arial"/>
                  <w:sz w:val="18"/>
                  <w:szCs w:val="18"/>
                  <w:color w:val="0000EE"/>
                </w:rPr>
                <w:t>001-34180</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3"/>
          </w:tcPr>
          <w:p>
            <w:pPr>
              <w:jc w:val="center"/>
              <w:spacing w:after="0"/>
              <w:rPr>
                <w:rFonts w:ascii="Arial" w:cs="Arial" w:eastAsia="Arial" w:hAnsi="Arial"/>
                <w:sz w:val="18"/>
                <w:szCs w:val="18"/>
                <w:color w:val="0000EE"/>
                <w:w w:val="87"/>
              </w:rPr>
            </w:pPr>
            <w:hyperlink r:id="rId6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100" w:type="dxa"/>
            <w:vAlign w:val="bottom"/>
          </w:tcPr>
          <w:p>
            <w:pPr>
              <w:spacing w:after="0"/>
              <w:rPr>
                <w:sz w:val="24"/>
                <w:szCs w:val="24"/>
                <w:color w:val="auto"/>
              </w:rPr>
            </w:pPr>
          </w:p>
        </w:tc>
        <w:tc>
          <w:tcPr>
            <w:tcW w:w="780" w:type="dxa"/>
            <w:vAlign w:val="bottom"/>
            <w:gridSpan w:val="2"/>
          </w:tcPr>
          <w:p>
            <w:pPr>
              <w:jc w:val="center"/>
              <w:spacing w:after="0"/>
              <w:rPr>
                <w:rFonts w:ascii="Arial" w:cs="Arial" w:eastAsia="Arial" w:hAnsi="Arial"/>
                <w:sz w:val="18"/>
                <w:szCs w:val="18"/>
                <w:color w:val="0000EE"/>
              </w:rPr>
            </w:pPr>
            <w:hyperlink r:id="rId68">
              <w:r>
                <w:rPr>
                  <w:rFonts w:ascii="Arial" w:cs="Arial" w:eastAsia="Arial" w:hAnsi="Arial"/>
                  <w:sz w:val="18"/>
                  <w:szCs w:val="18"/>
                  <w:color w:val="0000EE"/>
                </w:rPr>
                <w:t>2/4/2014</w:t>
              </w:r>
            </w:hyperlink>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80" w:type="dxa"/>
            <w:vAlign w:val="bottom"/>
            <w:gridSpan w:val="2"/>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70">
              <w:r>
                <w:rPr>
                  <w:rFonts w:ascii="Arial" w:cs="Arial" w:eastAsia="Arial" w:hAnsi="Arial"/>
                  <w:sz w:val="18"/>
                  <w:szCs w:val="18"/>
                  <w:color w:val="0000EE"/>
                  <w:w w:val="95"/>
                </w:rPr>
                <w:t>4.</w:t>
              </w:r>
              <w:r>
                <w:rPr>
                  <w:rFonts w:ascii="Arial" w:cs="Arial" w:eastAsia="Arial" w:hAnsi="Arial"/>
                  <w:sz w:val="18"/>
                  <w:szCs w:val="18"/>
                  <w:u w:val="single" w:color="auto"/>
                  <w:color w:val="0000EE"/>
                  <w:w w:val="95"/>
                </w:rPr>
                <w:t>6</w:t>
              </w:r>
            </w:hyperlink>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gridSpan w:val="5"/>
          </w:tcPr>
          <w:p>
            <w:pPr>
              <w:spacing w:after="0"/>
              <w:rPr>
                <w:rFonts w:ascii="Arial" w:cs="Arial" w:eastAsia="Arial" w:hAnsi="Arial"/>
                <w:sz w:val="18"/>
                <w:szCs w:val="18"/>
                <w:color w:val="0000EE"/>
              </w:rPr>
            </w:pPr>
            <w:hyperlink r:id="rId70">
              <w:r>
                <w:rPr>
                  <w:rFonts w:ascii="Arial" w:cs="Arial" w:eastAsia="Arial" w:hAnsi="Arial"/>
                  <w:sz w:val="18"/>
                  <w:szCs w:val="18"/>
                  <w:color w:val="0000EE"/>
                </w:rPr>
                <w:t>Form of Indenture.</w:t>
              </w:r>
            </w:hyperlink>
          </w:p>
        </w:tc>
        <w:tc>
          <w:tcPr>
            <w:tcW w:w="204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5"/>
          </w:tcPr>
          <w:p>
            <w:pPr>
              <w:jc w:val="center"/>
              <w:ind w:right="200"/>
              <w:spacing w:after="0"/>
              <w:rPr>
                <w:rFonts w:ascii="Arial" w:cs="Arial" w:eastAsia="Arial" w:hAnsi="Arial"/>
                <w:sz w:val="18"/>
                <w:szCs w:val="18"/>
                <w:color w:val="0000EE"/>
                <w:w w:val="92"/>
              </w:rPr>
            </w:pPr>
            <w:hyperlink r:id="rId70">
              <w:r>
                <w:rPr>
                  <w:rFonts w:ascii="Arial" w:cs="Arial" w:eastAsia="Arial" w:hAnsi="Arial"/>
                  <w:sz w:val="18"/>
                  <w:szCs w:val="18"/>
                  <w:color w:val="0000EE"/>
                  <w:w w:val="92"/>
                </w:rPr>
                <w:t>S-3ASR</w:t>
              </w:r>
            </w:hyperlink>
          </w:p>
        </w:tc>
        <w:tc>
          <w:tcPr>
            <w:tcW w:w="1080" w:type="dxa"/>
            <w:vAlign w:val="bottom"/>
            <w:gridSpan w:val="3"/>
          </w:tcPr>
          <w:p>
            <w:pPr>
              <w:jc w:val="center"/>
              <w:ind w:right="80"/>
              <w:spacing w:after="0"/>
              <w:rPr>
                <w:rFonts w:ascii="Arial" w:cs="Arial" w:eastAsia="Arial" w:hAnsi="Arial"/>
                <w:sz w:val="18"/>
                <w:szCs w:val="18"/>
                <w:color w:val="0000EE"/>
                <w:w w:val="99"/>
              </w:rPr>
            </w:pPr>
            <w:hyperlink r:id="rId70">
              <w:r>
                <w:rPr>
                  <w:rFonts w:ascii="Arial" w:cs="Arial" w:eastAsia="Arial" w:hAnsi="Arial"/>
                  <w:sz w:val="18"/>
                  <w:szCs w:val="18"/>
                  <w:color w:val="0000EE"/>
                  <w:w w:val="99"/>
                </w:rPr>
                <w:t>333-230383</w:t>
              </w:r>
            </w:hyperlink>
          </w:p>
        </w:tc>
        <w:tc>
          <w:tcPr>
            <w:tcW w:w="100" w:type="dxa"/>
            <w:vAlign w:val="bottom"/>
          </w:tcPr>
          <w:p>
            <w:pPr>
              <w:spacing w:after="0"/>
              <w:rPr>
                <w:sz w:val="24"/>
                <w:szCs w:val="24"/>
                <w:color w:val="auto"/>
              </w:rPr>
            </w:pPr>
          </w:p>
        </w:tc>
        <w:tc>
          <w:tcPr>
            <w:tcW w:w="780" w:type="dxa"/>
            <w:vAlign w:val="bottom"/>
            <w:gridSpan w:val="3"/>
          </w:tcPr>
          <w:p>
            <w:pPr>
              <w:jc w:val="center"/>
              <w:spacing w:after="0"/>
              <w:rPr>
                <w:rFonts w:ascii="Arial" w:cs="Arial" w:eastAsia="Arial" w:hAnsi="Arial"/>
                <w:sz w:val="18"/>
                <w:szCs w:val="18"/>
                <w:color w:val="0000EE"/>
                <w:w w:val="87"/>
              </w:rPr>
            </w:pPr>
            <w:hyperlink r:id="rId7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6</w:t>
              </w:r>
            </w:hyperlink>
          </w:p>
        </w:tc>
        <w:tc>
          <w:tcPr>
            <w:tcW w:w="100" w:type="dxa"/>
            <w:vAlign w:val="bottom"/>
          </w:tcPr>
          <w:p>
            <w:pPr>
              <w:spacing w:after="0"/>
              <w:rPr>
                <w:sz w:val="24"/>
                <w:szCs w:val="24"/>
                <w:color w:val="auto"/>
              </w:rPr>
            </w:pPr>
          </w:p>
        </w:tc>
        <w:tc>
          <w:tcPr>
            <w:tcW w:w="940" w:type="dxa"/>
            <w:vAlign w:val="bottom"/>
            <w:gridSpan w:val="3"/>
          </w:tcPr>
          <w:p>
            <w:pPr>
              <w:jc w:val="center"/>
              <w:ind w:right="80"/>
              <w:spacing w:after="0"/>
              <w:rPr>
                <w:rFonts w:ascii="Arial" w:cs="Arial" w:eastAsia="Arial" w:hAnsi="Arial"/>
                <w:sz w:val="18"/>
                <w:szCs w:val="18"/>
                <w:color w:val="0000EE"/>
              </w:rPr>
            </w:pPr>
            <w:hyperlink r:id="rId70">
              <w:r>
                <w:rPr>
                  <w:rFonts w:ascii="Arial" w:cs="Arial" w:eastAsia="Arial" w:hAnsi="Arial"/>
                  <w:sz w:val="18"/>
                  <w:szCs w:val="18"/>
                  <w:color w:val="0000EE"/>
                </w:rPr>
                <w:t>3/18/2019</w:t>
              </w:r>
            </w:hyperlink>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800" w:type="dxa"/>
            <w:vAlign w:val="bottom"/>
            <w:gridSpan w:val="5"/>
          </w:tcPr>
          <w:p>
            <w:pPr>
              <w:jc w:val="center"/>
              <w:spacing w:after="0"/>
              <w:rPr>
                <w:sz w:val="20"/>
                <w:szCs w:val="20"/>
                <w:color w:val="auto"/>
              </w:rPr>
            </w:pPr>
            <w:r>
              <w:rPr>
                <w:rFonts w:ascii="Arial" w:cs="Arial" w:eastAsia="Arial" w:hAnsi="Arial"/>
                <w:sz w:val="18"/>
                <w:szCs w:val="18"/>
                <w:color w:val="auto"/>
                <w:w w:val="99"/>
              </w:rPr>
              <w:t>4.7*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20" w:type="dxa"/>
            <w:vAlign w:val="bottom"/>
            <w:gridSpan w:val="9"/>
          </w:tcPr>
          <w:p>
            <w:pPr>
              <w:spacing w:after="0"/>
              <w:rPr>
                <w:sz w:val="20"/>
                <w:szCs w:val="20"/>
                <w:color w:val="auto"/>
              </w:rPr>
            </w:pPr>
            <w:r>
              <w:rPr>
                <w:rFonts w:ascii="Arial" w:cs="Arial" w:eastAsia="Arial" w:hAnsi="Arial"/>
                <w:sz w:val="18"/>
                <w:szCs w:val="18"/>
                <w:color w:val="auto"/>
              </w:rPr>
              <w:t>Form of Debt Security.</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00" w:type="dxa"/>
            <w:vAlign w:val="bottom"/>
            <w:gridSpan w:val="5"/>
          </w:tcPr>
          <w:p>
            <w:pPr>
              <w:jc w:val="center"/>
              <w:spacing w:after="0"/>
              <w:rPr>
                <w:sz w:val="20"/>
                <w:szCs w:val="20"/>
                <w:color w:val="auto"/>
              </w:rPr>
            </w:pPr>
            <w:r>
              <w:rPr>
                <w:rFonts w:ascii="Arial" w:cs="Arial" w:eastAsia="Arial" w:hAnsi="Arial"/>
                <w:sz w:val="18"/>
                <w:szCs w:val="18"/>
                <w:color w:val="auto"/>
                <w:w w:val="99"/>
              </w:rPr>
              <w:t>4.8*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20" w:type="dxa"/>
            <w:vAlign w:val="bottom"/>
            <w:gridSpan w:val="9"/>
          </w:tcPr>
          <w:p>
            <w:pPr>
              <w:spacing w:after="0"/>
              <w:rPr>
                <w:sz w:val="20"/>
                <w:szCs w:val="20"/>
                <w:color w:val="auto"/>
              </w:rPr>
            </w:pPr>
            <w:r>
              <w:rPr>
                <w:rFonts w:ascii="Arial" w:cs="Arial" w:eastAsia="Arial" w:hAnsi="Arial"/>
                <w:sz w:val="18"/>
                <w:szCs w:val="18"/>
                <w:color w:val="auto"/>
              </w:rPr>
              <w:t>Form of Certificate of Designation.</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00" w:type="dxa"/>
            <w:vAlign w:val="bottom"/>
            <w:gridSpan w:val="5"/>
          </w:tcPr>
          <w:p>
            <w:pPr>
              <w:jc w:val="center"/>
              <w:spacing w:after="0"/>
              <w:rPr>
                <w:sz w:val="20"/>
                <w:szCs w:val="20"/>
                <w:color w:val="auto"/>
              </w:rPr>
            </w:pPr>
            <w:r>
              <w:rPr>
                <w:rFonts w:ascii="Arial" w:cs="Arial" w:eastAsia="Arial" w:hAnsi="Arial"/>
                <w:sz w:val="18"/>
                <w:szCs w:val="18"/>
                <w:color w:val="auto"/>
                <w:w w:val="99"/>
              </w:rPr>
              <w:t>4.9*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20" w:type="dxa"/>
            <w:vAlign w:val="bottom"/>
            <w:gridSpan w:val="9"/>
          </w:tcPr>
          <w:p>
            <w:pPr>
              <w:spacing w:after="0"/>
              <w:rPr>
                <w:sz w:val="20"/>
                <w:szCs w:val="20"/>
                <w:color w:val="auto"/>
              </w:rPr>
            </w:pPr>
            <w:r>
              <w:rPr>
                <w:rFonts w:ascii="Arial" w:cs="Arial" w:eastAsia="Arial" w:hAnsi="Arial"/>
                <w:sz w:val="18"/>
                <w:szCs w:val="18"/>
                <w:color w:val="auto"/>
              </w:rPr>
              <w:t>Form of Preferred Stock Certificate.</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00" w:type="dxa"/>
            <w:vAlign w:val="bottom"/>
            <w:gridSpan w:val="5"/>
          </w:tcPr>
          <w:p>
            <w:pPr>
              <w:jc w:val="center"/>
              <w:spacing w:after="0"/>
              <w:rPr>
                <w:sz w:val="20"/>
                <w:szCs w:val="20"/>
                <w:color w:val="auto"/>
              </w:rPr>
            </w:pPr>
            <w:r>
              <w:rPr>
                <w:rFonts w:ascii="Arial" w:cs="Arial" w:eastAsia="Arial" w:hAnsi="Arial"/>
                <w:sz w:val="18"/>
                <w:szCs w:val="18"/>
                <w:color w:val="auto"/>
                <w:w w:val="95"/>
              </w:rPr>
              <w:t>4.10*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20" w:type="dxa"/>
            <w:vAlign w:val="bottom"/>
            <w:gridSpan w:val="9"/>
          </w:tcPr>
          <w:p>
            <w:pPr>
              <w:spacing w:after="0"/>
              <w:rPr>
                <w:sz w:val="20"/>
                <w:szCs w:val="20"/>
                <w:color w:val="auto"/>
              </w:rPr>
            </w:pPr>
            <w:r>
              <w:rPr>
                <w:rFonts w:ascii="Arial" w:cs="Arial" w:eastAsia="Arial" w:hAnsi="Arial"/>
                <w:sz w:val="18"/>
                <w:szCs w:val="18"/>
                <w:color w:val="auto"/>
              </w:rPr>
              <w:t>Form of Warrant Agreement.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00" w:type="dxa"/>
            <w:vAlign w:val="bottom"/>
            <w:gridSpan w:val="5"/>
          </w:tcPr>
          <w:p>
            <w:pPr>
              <w:jc w:val="center"/>
              <w:spacing w:after="0"/>
              <w:rPr>
                <w:sz w:val="20"/>
                <w:szCs w:val="20"/>
                <w:color w:val="auto"/>
              </w:rPr>
            </w:pPr>
            <w:r>
              <w:rPr>
                <w:rFonts w:ascii="Arial" w:cs="Arial" w:eastAsia="Arial" w:hAnsi="Arial"/>
                <w:sz w:val="18"/>
                <w:szCs w:val="18"/>
                <w:color w:val="auto"/>
                <w:w w:val="95"/>
              </w:rPr>
              <w:t>4.11*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20" w:type="dxa"/>
            <w:vAlign w:val="bottom"/>
            <w:gridSpan w:val="9"/>
          </w:tcPr>
          <w:p>
            <w:pPr>
              <w:spacing w:after="0"/>
              <w:rPr>
                <w:sz w:val="20"/>
                <w:szCs w:val="20"/>
                <w:color w:val="auto"/>
              </w:rPr>
            </w:pPr>
            <w:r>
              <w:rPr>
                <w:rFonts w:ascii="Arial" w:cs="Arial" w:eastAsia="Arial" w:hAnsi="Arial"/>
                <w:sz w:val="18"/>
                <w:szCs w:val="18"/>
                <w:color w:val="auto"/>
              </w:rPr>
              <w:t>Form of Warrant/Subscription Agreement.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80" w:type="dxa"/>
            <w:vAlign w:val="bottom"/>
            <w:gridSpan w:val="2"/>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w:anchor="page41">
              <w:r>
                <w:rPr>
                  <w:rFonts w:ascii="Arial" w:cs="Arial" w:eastAsia="Arial" w:hAnsi="Arial"/>
                  <w:sz w:val="18"/>
                  <w:szCs w:val="18"/>
                  <w:color w:val="0000EE"/>
                  <w:w w:val="95"/>
                </w:rPr>
                <w:t>5.</w:t>
              </w:r>
              <w:r>
                <w:rPr>
                  <w:rFonts w:ascii="Arial" w:cs="Arial" w:eastAsia="Arial" w:hAnsi="Arial"/>
                  <w:sz w:val="18"/>
                  <w:szCs w:val="18"/>
                  <w:u w:val="single" w:color="auto"/>
                  <w:color w:val="0000EE"/>
                  <w:w w:val="95"/>
                </w:rPr>
                <w:t>1</w:t>
              </w:r>
            </w:hyperlink>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20" w:type="dxa"/>
            <w:vAlign w:val="bottom"/>
            <w:gridSpan w:val="6"/>
          </w:tcPr>
          <w:p>
            <w:pPr>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Opinion of Wilson Sonsini Goodrich &amp; Rosati, Professional</w:t>
              </w:r>
            </w:hyperlink>
          </w:p>
        </w:tc>
        <w:tc>
          <w:tcPr>
            <w:tcW w:w="110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center"/>
              <w:spacing w:after="0"/>
              <w:rPr>
                <w:rFonts w:ascii="Arial" w:cs="Arial" w:eastAsia="Arial" w:hAnsi="Arial"/>
                <w:sz w:val="18"/>
                <w:szCs w:val="18"/>
                <w:color w:val="0000EE"/>
                <w:w w:val="99"/>
              </w:rPr>
            </w:pPr>
            <w:hyperlink w:anchor="page41">
              <w:r>
                <w:rPr>
                  <w:rFonts w:ascii="Arial" w:cs="Arial" w:eastAsia="Arial" w:hAnsi="Arial"/>
                  <w:sz w:val="18"/>
                  <w:szCs w:val="18"/>
                  <w:color w:val="0000EE"/>
                  <w:w w:val="99"/>
                </w:rPr>
                <w:t>X</w:t>
              </w:r>
            </w:hyperlink>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Corporation.</w:t>
              </w:r>
            </w:hyperlink>
          </w:p>
        </w:tc>
        <w:tc>
          <w:tcPr>
            <w:tcW w:w="3400" w:type="dxa"/>
            <w:vAlign w:val="bottom"/>
            <w:tcBorders>
              <w:top w:val="single" w:sz="8" w:color="0000EE"/>
            </w:tcBorders>
            <w:gridSpan w:val="5"/>
          </w:tcPr>
          <w:p>
            <w:pPr>
              <w:spacing w:after="0"/>
              <w:rPr>
                <w:sz w:val="17"/>
                <w:szCs w:val="17"/>
                <w:color w:val="auto"/>
              </w:rPr>
            </w:pPr>
          </w:p>
        </w:tc>
        <w:tc>
          <w:tcPr>
            <w:tcW w:w="110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240" w:type="dxa"/>
            <w:vAlign w:val="bottom"/>
          </w:tcPr>
          <w:p>
            <w:pPr>
              <w:spacing w:after="0"/>
              <w:rPr>
                <w:sz w:val="24"/>
                <w:szCs w:val="24"/>
                <w:color w:val="auto"/>
              </w:rPr>
            </w:pPr>
          </w:p>
        </w:tc>
        <w:tc>
          <w:tcPr>
            <w:tcW w:w="320" w:type="dxa"/>
            <w:vAlign w:val="bottom"/>
            <w:gridSpan w:val="3"/>
          </w:tcPr>
          <w:p>
            <w:pPr>
              <w:jc w:val="cente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1</w:t>
              </w:r>
            </w:hyperlink>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80" w:type="dxa"/>
            <w:vAlign w:val="bottom"/>
            <w:gridSpan w:val="7"/>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Consent of PricewaterhouseCoopers LLP, independent registered public</w:t>
              </w:r>
            </w:hyperlink>
          </w:p>
        </w:tc>
        <w:tc>
          <w:tcPr>
            <w:tcW w:w="2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center"/>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X</w:t>
              </w:r>
            </w:hyperlink>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accounting firm.</w:t>
              </w:r>
            </w:hyperlink>
          </w:p>
        </w:tc>
        <w:tc>
          <w:tcPr>
            <w:tcW w:w="2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40" w:type="dxa"/>
            <w:vAlign w:val="bottom"/>
          </w:tcPr>
          <w:p>
            <w:pPr>
              <w:spacing w:after="0"/>
              <w:rPr>
                <w:sz w:val="24"/>
                <w:szCs w:val="24"/>
                <w:color w:val="auto"/>
              </w:rPr>
            </w:pPr>
          </w:p>
        </w:tc>
        <w:tc>
          <w:tcPr>
            <w:tcW w:w="320" w:type="dxa"/>
            <w:vAlign w:val="bottom"/>
            <w:gridSpan w:val="3"/>
          </w:tcPr>
          <w:p>
            <w:pPr>
              <w:jc w:val="cente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3</w:t>
              </w:r>
            </w:hyperlink>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20" w:type="dxa"/>
            <w:vAlign w:val="bottom"/>
            <w:gridSpan w:val="6"/>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Consent of Wilson Sonsini Goodrich &amp; Rosati, Professional</w:t>
              </w:r>
            </w:hyperlink>
          </w:p>
        </w:tc>
        <w:tc>
          <w:tcPr>
            <w:tcW w:w="110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center"/>
              <w:spacing w:after="0"/>
              <w:rPr>
                <w:rFonts w:ascii="Arial" w:cs="Arial" w:eastAsia="Arial" w:hAnsi="Arial"/>
                <w:sz w:val="18"/>
                <w:szCs w:val="18"/>
                <w:color w:val="0000EE"/>
                <w:w w:val="99"/>
              </w:rPr>
            </w:pPr>
            <w:hyperlink w:anchor="page41">
              <w:r>
                <w:rPr>
                  <w:rFonts w:ascii="Arial" w:cs="Arial" w:eastAsia="Arial" w:hAnsi="Arial"/>
                  <w:sz w:val="18"/>
                  <w:szCs w:val="18"/>
                  <w:color w:val="0000EE"/>
                  <w:w w:val="99"/>
                </w:rPr>
                <w:t>X</w:t>
              </w:r>
            </w:hyperlink>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Corporation (included in Exhibit 5.1).</w:t>
              </w:r>
            </w:hyperlink>
          </w:p>
        </w:tc>
        <w:tc>
          <w:tcPr>
            <w:tcW w:w="110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gridSpan w:val="4"/>
            <w:shd w:val="clear" w:color="auto" w:fill="0000EE"/>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800" w:type="dxa"/>
            <w:vAlign w:val="bottom"/>
            <w:gridSpan w:val="5"/>
          </w:tcPr>
          <w:p>
            <w:pPr>
              <w:jc w:val="center"/>
              <w:spacing w:after="0"/>
              <w:rPr>
                <w:sz w:val="20"/>
                <w:szCs w:val="20"/>
                <w:color w:val="auto"/>
              </w:rPr>
            </w:pPr>
            <w:r>
              <w:rPr>
                <w:rFonts w:ascii="Arial" w:cs="Arial" w:eastAsia="Arial" w:hAnsi="Arial"/>
                <w:sz w:val="18"/>
                <w:szCs w:val="18"/>
                <w:color w:val="auto"/>
                <w:w w:val="97"/>
              </w:rPr>
              <w:t>24.1**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20" w:type="dxa"/>
            <w:vAlign w:val="bottom"/>
            <w:gridSpan w:val="9"/>
          </w:tcPr>
          <w:p>
            <w:pPr>
              <w:spacing w:after="0"/>
              <w:rPr>
                <w:sz w:val="20"/>
                <w:szCs w:val="20"/>
                <w:color w:val="auto"/>
              </w:rPr>
            </w:pPr>
            <w:r>
              <w:rPr>
                <w:rFonts w:ascii="Arial" w:cs="Arial" w:eastAsia="Arial" w:hAnsi="Arial"/>
                <w:sz w:val="18"/>
                <w:szCs w:val="18"/>
                <w:color w:val="auto"/>
              </w:rPr>
              <w:t>Power of Attorney for certain directors.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00" w:type="dxa"/>
            <w:vAlign w:val="bottom"/>
            <w:gridSpan w:val="5"/>
          </w:tcPr>
          <w:p>
            <w:pPr>
              <w:jc w:val="center"/>
              <w:spacing w:after="0"/>
              <w:rPr>
                <w:sz w:val="20"/>
                <w:szCs w:val="20"/>
                <w:color w:val="auto"/>
              </w:rPr>
            </w:pPr>
            <w:r>
              <w:rPr>
                <w:rFonts w:ascii="Arial" w:cs="Arial" w:eastAsia="Arial" w:hAnsi="Arial"/>
                <w:sz w:val="18"/>
                <w:szCs w:val="18"/>
                <w:color w:val="auto"/>
                <w:w w:val="97"/>
              </w:rPr>
              <w:t>24.2**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20" w:type="dxa"/>
            <w:vAlign w:val="bottom"/>
            <w:gridSpan w:val="9"/>
          </w:tcPr>
          <w:p>
            <w:pPr>
              <w:spacing w:after="0"/>
              <w:rPr>
                <w:sz w:val="20"/>
                <w:szCs w:val="20"/>
                <w:color w:val="auto"/>
              </w:rPr>
            </w:pPr>
            <w:r>
              <w:rPr>
                <w:rFonts w:ascii="Arial" w:cs="Arial" w:eastAsia="Arial" w:hAnsi="Arial"/>
                <w:sz w:val="18"/>
                <w:szCs w:val="18"/>
                <w:color w:val="auto"/>
              </w:rPr>
              <w:t>Power of Attorney for Bill Colston.</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800" w:type="dxa"/>
            <w:vAlign w:val="bottom"/>
            <w:gridSpan w:val="5"/>
          </w:tcPr>
          <w:p>
            <w:pPr>
              <w:jc w:val="center"/>
              <w:spacing w:after="0"/>
              <w:rPr>
                <w:sz w:val="20"/>
                <w:szCs w:val="20"/>
                <w:color w:val="auto"/>
              </w:rPr>
            </w:pPr>
            <w:r>
              <w:rPr>
                <w:rFonts w:ascii="Arial" w:cs="Arial" w:eastAsia="Arial" w:hAnsi="Arial"/>
                <w:sz w:val="18"/>
                <w:szCs w:val="18"/>
                <w:color w:val="auto"/>
                <w:w w:val="95"/>
              </w:rPr>
              <w:t>25.1*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20" w:type="dxa"/>
            <w:vAlign w:val="bottom"/>
            <w:gridSpan w:val="9"/>
          </w:tcPr>
          <w:p>
            <w:pPr>
              <w:spacing w:after="0"/>
              <w:rPr>
                <w:sz w:val="20"/>
                <w:szCs w:val="20"/>
                <w:color w:val="auto"/>
              </w:rPr>
            </w:pPr>
            <w:r>
              <w:rPr>
                <w:rFonts w:ascii="Arial" w:cs="Arial" w:eastAsia="Arial" w:hAnsi="Arial"/>
                <w:sz w:val="18"/>
                <w:szCs w:val="18"/>
                <w:color w:val="auto"/>
                <w:w w:val="96"/>
              </w:rPr>
              <w:t>Form T-1 Statement of Eligibility of Trustee for Senior Indenture under</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20" w:type="dxa"/>
            <w:vAlign w:val="bottom"/>
            <w:gridSpan w:val="9"/>
          </w:tcPr>
          <w:p>
            <w:pPr>
              <w:spacing w:after="0"/>
              <w:rPr>
                <w:sz w:val="20"/>
                <w:szCs w:val="20"/>
                <w:color w:val="auto"/>
              </w:rPr>
            </w:pPr>
            <w:r>
              <w:rPr>
                <w:rFonts w:ascii="Arial" w:cs="Arial" w:eastAsia="Arial" w:hAnsi="Arial"/>
                <w:sz w:val="18"/>
                <w:szCs w:val="18"/>
                <w:color w:val="auto"/>
              </w:rPr>
              <w:t>the Trust Indenture Act of 1939.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800" w:type="dxa"/>
            <w:vAlign w:val="bottom"/>
            <w:gridSpan w:val="5"/>
          </w:tcPr>
          <w:p>
            <w:pPr>
              <w:jc w:val="center"/>
              <w:spacing w:after="0"/>
              <w:rPr>
                <w:sz w:val="20"/>
                <w:szCs w:val="20"/>
                <w:color w:val="auto"/>
              </w:rPr>
            </w:pPr>
            <w:r>
              <w:rPr>
                <w:rFonts w:ascii="Arial" w:cs="Arial" w:eastAsia="Arial" w:hAnsi="Arial"/>
                <w:sz w:val="18"/>
                <w:szCs w:val="18"/>
                <w:color w:val="auto"/>
                <w:w w:val="95"/>
              </w:rPr>
              <w:t>25.2*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20" w:type="dxa"/>
            <w:vAlign w:val="bottom"/>
            <w:gridSpan w:val="9"/>
          </w:tcPr>
          <w:p>
            <w:pPr>
              <w:spacing w:after="0"/>
              <w:rPr>
                <w:sz w:val="20"/>
                <w:szCs w:val="20"/>
                <w:color w:val="auto"/>
              </w:rPr>
            </w:pPr>
            <w:r>
              <w:rPr>
                <w:rFonts w:ascii="Arial" w:cs="Arial" w:eastAsia="Arial" w:hAnsi="Arial"/>
                <w:sz w:val="18"/>
                <w:szCs w:val="18"/>
                <w:color w:val="auto"/>
                <w:w w:val="96"/>
              </w:rPr>
              <w:t>Form T-1 Statement of Eligibility of Trustee for Subordinated Indenture</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20" w:type="dxa"/>
            <w:vAlign w:val="bottom"/>
            <w:gridSpan w:val="9"/>
          </w:tcPr>
          <w:p>
            <w:pPr>
              <w:spacing w:after="0"/>
              <w:rPr>
                <w:sz w:val="20"/>
                <w:szCs w:val="20"/>
                <w:color w:val="auto"/>
              </w:rPr>
            </w:pPr>
            <w:r>
              <w:rPr>
                <w:rFonts w:ascii="Arial" w:cs="Arial" w:eastAsia="Arial" w:hAnsi="Arial"/>
                <w:sz w:val="18"/>
                <w:szCs w:val="18"/>
                <w:color w:val="auto"/>
              </w:rPr>
              <w:t>under the Trust Indenture Act of 1939.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7" w:lineRule="exact"/>
        <w:rPr>
          <w:sz w:val="20"/>
          <w:szCs w:val="20"/>
          <w:color w:val="auto"/>
        </w:rPr>
      </w:pPr>
    </w:p>
    <w:p>
      <w:pPr>
        <w:ind w:right="620" w:firstLine="8"/>
        <w:spacing w:after="0" w:line="258" w:lineRule="auto"/>
        <w:tabs>
          <w:tab w:leader="none" w:pos="26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be filed by amendment or as an exhibit to a report pursuant to Section 13(a) or 15(d) of the Securities Exchange Act of 1934, as amended and incorporated herein by reference.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Previously filed.</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229" w:lineRule="exact"/>
        <w:rPr>
          <w:sz w:val="20"/>
          <w:szCs w:val="20"/>
          <w:color w:val="auto"/>
        </w:rPr>
      </w:pPr>
    </w:p>
    <w:p>
      <w:pPr>
        <w:ind w:left="1160" w:hanging="504"/>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820" w:hanging="515"/>
        <w:spacing w:after="0"/>
        <w:tabs>
          <w:tab w:leader="none" w:pos="1820" w:val="left"/>
        </w:tabs>
        <w:numPr>
          <w:ilvl w:val="1"/>
          <w:numId w:val="32"/>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36" w:lineRule="exact"/>
        <w:rPr>
          <w:rFonts w:ascii="Arial" w:cs="Arial" w:eastAsia="Arial" w:hAnsi="Arial"/>
          <w:sz w:val="17"/>
          <w:szCs w:val="17"/>
          <w:color w:val="auto"/>
        </w:rPr>
      </w:pPr>
    </w:p>
    <w:p>
      <w:pPr>
        <w:ind w:left="2440" w:hanging="487"/>
        <w:spacing w:after="0"/>
        <w:tabs>
          <w:tab w:leader="none" w:pos="2440" w:val="left"/>
        </w:tabs>
        <w:numPr>
          <w:ilvl w:val="2"/>
          <w:numId w:val="3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right="60" w:firstLine="1953"/>
        <w:spacing w:after="0" w:line="293" w:lineRule="auto"/>
        <w:tabs>
          <w:tab w:leader="none" w:pos="2476" w:val="left"/>
        </w:tabs>
        <w:numPr>
          <w:ilvl w:val="2"/>
          <w:numId w:val="32"/>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4" w:right="339" w:bottom="1440" w:gutter="0" w:footer="0" w:header="0"/>
        </w:sectPr>
      </w:pPr>
    </w:p>
    <w:bookmarkStart w:id="35" w:name="page36"/>
    <w:bookmarkEnd w:id="35"/>
    <w:p>
      <w:pPr>
        <w:ind w:right="320" w:firstLine="1953"/>
        <w:spacing w:after="0" w:line="277" w:lineRule="auto"/>
        <w:tabs>
          <w:tab w:leader="none" w:pos="252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(a)(1)(ii) and (a)(1)(iii) of this section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7" w:lineRule="exact"/>
        <w:rPr>
          <w:sz w:val="20"/>
          <w:szCs w:val="20"/>
          <w:color w:val="auto"/>
        </w:rPr>
      </w:pPr>
    </w:p>
    <w:p>
      <w:pPr>
        <w:ind w:right="200" w:firstLine="1305"/>
        <w:spacing w:after="0" w:line="264" w:lineRule="auto"/>
        <w:tabs>
          <w:tab w:leader="none" w:pos="1818"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rFonts w:ascii="Arial" w:cs="Arial" w:eastAsia="Arial" w:hAnsi="Arial"/>
          <w:sz w:val="18"/>
          <w:szCs w:val="18"/>
          <w:color w:val="auto"/>
        </w:rPr>
      </w:pPr>
    </w:p>
    <w:p>
      <w:pPr>
        <w:ind w:right="120" w:firstLine="1305"/>
        <w:spacing w:after="0" w:line="277" w:lineRule="auto"/>
        <w:tabs>
          <w:tab w:leader="none" w:pos="181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1820" w:hanging="515"/>
        <w:spacing w:after="0"/>
        <w:tabs>
          <w:tab w:leader="none" w:pos="1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2440" w:hanging="487"/>
        <w:spacing w:after="0"/>
        <w:tabs>
          <w:tab w:leader="none" w:pos="24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225" w:lineRule="exact"/>
        <w:rPr>
          <w:rFonts w:ascii="Arial" w:cs="Arial" w:eastAsia="Arial" w:hAnsi="Arial"/>
          <w:sz w:val="18"/>
          <w:szCs w:val="18"/>
          <w:color w:val="auto"/>
        </w:rPr>
      </w:pPr>
    </w:p>
    <w:p>
      <w:pPr>
        <w:ind w:right="200" w:firstLine="2601"/>
        <w:spacing w:after="0" w:line="277" w:lineRule="auto"/>
        <w:tabs>
          <w:tab w:leader="none" w:pos="3158" w:val="left"/>
        </w:tabs>
        <w:numPr>
          <w:ilvl w:val="2"/>
          <w:numId w:val="34"/>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firstLine="2601"/>
        <w:spacing w:after="0" w:line="288" w:lineRule="auto"/>
        <w:tabs>
          <w:tab w:leader="none" w:pos="3148" w:val="left"/>
        </w:tabs>
        <w:numPr>
          <w:ilvl w:val="2"/>
          <w:numId w:val="34"/>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415(a)(l)(i),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the effective date; or</w:t>
      </w:r>
    </w:p>
    <w:p>
      <w:pPr>
        <w:spacing w:after="0" w:line="169" w:lineRule="exact"/>
        <w:rPr>
          <w:rFonts w:ascii="Arial" w:cs="Arial" w:eastAsia="Arial" w:hAnsi="Arial"/>
          <w:sz w:val="16"/>
          <w:szCs w:val="16"/>
          <w:color w:val="auto"/>
        </w:rPr>
      </w:pPr>
    </w:p>
    <w:p>
      <w:pPr>
        <w:ind w:firstLine="1953"/>
        <w:spacing w:after="0" w:line="255" w:lineRule="auto"/>
        <w:tabs>
          <w:tab w:leader="none" w:pos="2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36" w:name="page37"/>
    <w:bookmarkEnd w:id="36"/>
    <w:p>
      <w:pPr>
        <w:ind w:right="80" w:firstLine="1305"/>
        <w:spacing w:after="0" w:line="257" w:lineRule="auto"/>
        <w:tabs>
          <w:tab w:leader="none" w:pos="1818"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and sell such securities to such purchaser:</w:t>
      </w:r>
    </w:p>
    <w:p>
      <w:pPr>
        <w:spacing w:after="0" w:line="188" w:lineRule="exact"/>
        <w:rPr>
          <w:rFonts w:ascii="Arial" w:cs="Arial" w:eastAsia="Arial" w:hAnsi="Arial"/>
          <w:sz w:val="18"/>
          <w:szCs w:val="18"/>
          <w:color w:val="auto"/>
        </w:rPr>
      </w:pPr>
    </w:p>
    <w:p>
      <w:pPr>
        <w:ind w:left="2420" w:hanging="467"/>
        <w:spacing w:after="0"/>
        <w:tabs>
          <w:tab w:leader="none" w:pos="2420" w:val="left"/>
        </w:tabs>
        <w:numPr>
          <w:ilvl w:val="2"/>
          <w:numId w:val="35"/>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Rule 424;</w:t>
      </w:r>
    </w:p>
    <w:p>
      <w:pPr>
        <w:spacing w:after="0" w:line="210" w:lineRule="exact"/>
        <w:rPr>
          <w:rFonts w:ascii="Arial" w:cs="Arial" w:eastAsia="Arial" w:hAnsi="Arial"/>
          <w:sz w:val="16"/>
          <w:szCs w:val="16"/>
          <w:color w:val="auto"/>
        </w:rPr>
      </w:pPr>
    </w:p>
    <w:p>
      <w:pPr>
        <w:ind w:right="540" w:firstLine="1953"/>
        <w:spacing w:after="0" w:line="277" w:lineRule="auto"/>
        <w:tabs>
          <w:tab w:leader="none" w:pos="2470" w:val="left"/>
        </w:tabs>
        <w:numPr>
          <w:ilvl w:val="2"/>
          <w:numId w:val="3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right="680" w:firstLine="1953"/>
        <w:spacing w:after="0" w:line="277" w:lineRule="auto"/>
        <w:tabs>
          <w:tab w:leader="none" w:pos="2526" w:val="left"/>
        </w:tabs>
        <w:numPr>
          <w:ilvl w:val="2"/>
          <w:numId w:val="3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2520" w:hanging="567"/>
        <w:spacing w:after="0"/>
        <w:tabs>
          <w:tab w:leader="none" w:pos="2520" w:val="left"/>
        </w:tabs>
        <w:numPr>
          <w:ilvl w:val="2"/>
          <w:numId w:val="3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right="140" w:firstLine="656"/>
        <w:spacing w:after="0" w:line="257" w:lineRule="auto"/>
        <w:tabs>
          <w:tab w:leader="none" w:pos="117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8" w:lineRule="exact"/>
        <w:rPr>
          <w:rFonts w:ascii="Arial" w:cs="Arial" w:eastAsia="Arial" w:hAnsi="Arial"/>
          <w:sz w:val="18"/>
          <w:szCs w:val="18"/>
          <w:color w:val="auto"/>
        </w:rPr>
      </w:pPr>
    </w:p>
    <w:p>
      <w:pPr>
        <w:ind w:firstLine="656"/>
        <w:spacing w:after="0" w:line="271" w:lineRule="auto"/>
        <w:tabs>
          <w:tab w:leader="none" w:pos="1163"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7" w:name="page38"/>
    <w:bookmarkEnd w:id="37"/>
    <w:p>
      <w:pPr>
        <w:ind w:left="524" w:hanging="524"/>
        <w:spacing w:after="0"/>
        <w:tabs>
          <w:tab w:leader="none" w:pos="5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jc w:val="both"/>
        <w:ind w:left="-656" w:firstLine="1305"/>
        <w:spacing w:after="0" w:line="286" w:lineRule="auto"/>
        <w:tabs>
          <w:tab w:leader="none" w:pos="1165" w:val="left"/>
        </w:tabs>
        <w:numPr>
          <w:ilvl w:val="1"/>
          <w:numId w:val="37"/>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5" w:lineRule="exact"/>
        <w:rPr>
          <w:rFonts w:ascii="Arial" w:cs="Arial" w:eastAsia="Arial" w:hAnsi="Arial"/>
          <w:sz w:val="17"/>
          <w:szCs w:val="17"/>
          <w:color w:val="auto"/>
        </w:rPr>
      </w:pPr>
    </w:p>
    <w:p>
      <w:pPr>
        <w:jc w:val="both"/>
        <w:ind w:left="-656" w:right="40" w:firstLine="1305"/>
        <w:spacing w:after="0" w:line="264" w:lineRule="auto"/>
        <w:tabs>
          <w:tab w:leader="none" w:pos="1165" w:val="left"/>
        </w:tabs>
        <w:numPr>
          <w:ilvl w:val="1"/>
          <w:numId w:val="37"/>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jc w:val="both"/>
        <w:ind w:left="-656" w:right="260" w:firstLine="656"/>
        <w:spacing w:after="0" w:line="264" w:lineRule="auto"/>
        <w:tabs>
          <w:tab w:leader="none" w:pos="50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415925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4"/>
          </w:cols>
          <w:pgMar w:left="896" w:top="908" w:right="25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Pursuant to the requirements of the Securities Act of 1933, the registrant certifies that it has reasonable grounds to believe that it meets all of the requirements for filing on Form S-3 and has duly caused this Post-Effective Amendment No. 2 to the registration statement to be signed on its behalf by the undersigned, thereunto duly authorized in the City of South San Francisco, State of California, on February 27, 2020.</w:t>
      </w:r>
    </w:p>
    <w:p>
      <w:pPr>
        <w:spacing w:after="0" w:line="378"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FLUIDIGM CORPORATION</w:t>
      </w:r>
    </w:p>
    <w:p>
      <w:pPr>
        <w:spacing w:after="0" w:line="22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Stephen Christopher Linthwaite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2 to the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20" w:type="dxa"/>
            <w:vAlign w:val="bottom"/>
          </w:tcPr>
          <w:p>
            <w:pPr>
              <w:spacing w:after="0"/>
              <w:rPr>
                <w:sz w:val="20"/>
                <w:szCs w:val="20"/>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2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Pr>
          <w:p>
            <w:pPr>
              <w:spacing w:after="0"/>
              <w:rPr>
                <w:sz w:val="20"/>
                <w:szCs w:val="20"/>
                <w:color w:val="auto"/>
              </w:rPr>
            </w:pPr>
          </w:p>
        </w:tc>
      </w:tr>
      <w:tr>
        <w:trPr>
          <w:trHeight w:val="411"/>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80" w:type="dxa"/>
            <w:vAlign w:val="bottom"/>
            <w:gridSpan w:val="2"/>
          </w:tcPr>
          <w:p>
            <w:pPr>
              <w:ind w:left="1000"/>
              <w:spacing w:after="0"/>
              <w:rPr>
                <w:sz w:val="20"/>
                <w:szCs w:val="20"/>
                <w:color w:val="auto"/>
              </w:rPr>
            </w:pPr>
            <w:r>
              <w:rPr>
                <w:rFonts w:ascii="Arial" w:cs="Arial" w:eastAsia="Arial" w:hAnsi="Arial"/>
                <w:sz w:val="18"/>
                <w:szCs w:val="18"/>
                <w:color w:val="auto"/>
              </w:rPr>
              <w:t>President, Chief Executive Officer,</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and 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February 27, 2020</w:t>
            </w:r>
          </w:p>
        </w:tc>
        <w:tc>
          <w:tcPr>
            <w:tcW w:w="100" w:type="dxa"/>
            <w:vAlign w:val="bottom"/>
          </w:tcPr>
          <w:p>
            <w:pPr>
              <w:spacing w:after="0"/>
              <w:rPr>
                <w:sz w:val="18"/>
                <w:szCs w:val="18"/>
                <w:color w:val="auto"/>
              </w:rPr>
            </w:pPr>
          </w:p>
        </w:tc>
      </w:tr>
      <w:tr>
        <w:trPr>
          <w:trHeight w:val="230"/>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Christopher Linthwaite</w:t>
            </w:r>
          </w:p>
        </w:tc>
        <w:tc>
          <w:tcPr>
            <w:tcW w:w="120" w:type="dxa"/>
            <w:vAlign w:val="bottom"/>
          </w:tcPr>
          <w:p>
            <w:pPr>
              <w:spacing w:after="0"/>
              <w:rPr>
                <w:sz w:val="20"/>
                <w:szCs w:val="20"/>
                <w:color w:val="auto"/>
              </w:rPr>
            </w:pPr>
          </w:p>
        </w:tc>
        <w:tc>
          <w:tcPr>
            <w:tcW w:w="46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(Principal Executive Officer)</w:t>
            </w: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4"/>
        </w:trPr>
        <w:tc>
          <w:tcPr>
            <w:tcW w:w="4360" w:type="dxa"/>
            <w:vAlign w:val="bottom"/>
          </w:tcPr>
          <w:p>
            <w:pPr>
              <w:jc w:val="center"/>
              <w:spacing w:after="0"/>
              <w:rPr>
                <w:sz w:val="20"/>
                <w:szCs w:val="20"/>
                <w:color w:val="auto"/>
              </w:rPr>
            </w:pPr>
            <w:r>
              <w:rPr>
                <w:rFonts w:ascii="Arial" w:cs="Arial" w:eastAsia="Arial" w:hAnsi="Arial"/>
                <w:sz w:val="18"/>
                <w:szCs w:val="18"/>
                <w:color w:val="auto"/>
                <w:w w:val="91"/>
              </w:rPr>
              <w:t>Stephen Christopher Linthwaite</w:t>
            </w:r>
          </w:p>
        </w:tc>
        <w:tc>
          <w:tcPr>
            <w:tcW w:w="1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4"/>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(Principal Financial and Accounting</w:t>
            </w: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February 27, 2020</w:t>
            </w:r>
          </w:p>
        </w:tc>
        <w:tc>
          <w:tcPr>
            <w:tcW w:w="100" w:type="dxa"/>
            <w:vAlign w:val="bottom"/>
          </w:tcPr>
          <w:p>
            <w:pPr>
              <w:spacing w:after="0"/>
              <w:rPr>
                <w:sz w:val="18"/>
                <w:szCs w:val="18"/>
                <w:color w:val="auto"/>
              </w:rPr>
            </w:pPr>
          </w:p>
        </w:tc>
      </w:tr>
      <w:tr>
        <w:trPr>
          <w:trHeight w:val="230"/>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Vikram Jog</w:t>
            </w:r>
          </w:p>
        </w:tc>
        <w:tc>
          <w:tcPr>
            <w:tcW w:w="120" w:type="dxa"/>
            <w:vAlign w:val="bottom"/>
          </w:tcPr>
          <w:p>
            <w:pPr>
              <w:spacing w:after="0"/>
              <w:rPr>
                <w:sz w:val="20"/>
                <w:szCs w:val="20"/>
                <w:color w:val="auto"/>
              </w:rPr>
            </w:pPr>
          </w:p>
        </w:tc>
        <w:tc>
          <w:tcPr>
            <w:tcW w:w="46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Officer)</w:t>
            </w: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4"/>
        </w:trPr>
        <w:tc>
          <w:tcPr>
            <w:tcW w:w="4360" w:type="dxa"/>
            <w:vAlign w:val="bottom"/>
          </w:tcPr>
          <w:p>
            <w:pPr>
              <w:jc w:val="center"/>
              <w:spacing w:after="0"/>
              <w:rPr>
                <w:sz w:val="20"/>
                <w:szCs w:val="20"/>
                <w:color w:val="auto"/>
              </w:rPr>
            </w:pPr>
            <w:r>
              <w:rPr>
                <w:rFonts w:ascii="Arial" w:cs="Arial" w:eastAsia="Arial" w:hAnsi="Arial"/>
                <w:sz w:val="18"/>
                <w:szCs w:val="18"/>
                <w:color w:val="auto"/>
                <w:w w:val="93"/>
              </w:rPr>
              <w:t>Vikram Jog</w:t>
            </w:r>
          </w:p>
        </w:tc>
        <w:tc>
          <w:tcPr>
            <w:tcW w:w="1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8"/>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6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Chairman of the Board of Directors</w:t>
            </w: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February 27, 2020</w:t>
            </w:r>
          </w:p>
        </w:tc>
        <w:tc>
          <w:tcPr>
            <w:tcW w:w="100" w:type="dxa"/>
            <w:vAlign w:val="bottom"/>
          </w:tcPr>
          <w:p>
            <w:pPr>
              <w:spacing w:after="0"/>
              <w:rPr>
                <w:sz w:val="24"/>
                <w:szCs w:val="24"/>
                <w:color w:val="auto"/>
              </w:rPr>
            </w:pPr>
          </w:p>
        </w:tc>
      </w:tr>
      <w:tr>
        <w:trPr>
          <w:trHeight w:val="224"/>
        </w:trPr>
        <w:tc>
          <w:tcPr>
            <w:tcW w:w="4360" w:type="dxa"/>
            <w:vAlign w:val="bottom"/>
          </w:tcPr>
          <w:p>
            <w:pPr>
              <w:jc w:val="center"/>
              <w:spacing w:after="0"/>
              <w:rPr>
                <w:sz w:val="20"/>
                <w:szCs w:val="20"/>
                <w:color w:val="auto"/>
              </w:rPr>
            </w:pPr>
            <w:r>
              <w:rPr>
                <w:rFonts w:ascii="Arial" w:cs="Arial" w:eastAsia="Arial" w:hAnsi="Arial"/>
                <w:sz w:val="18"/>
                <w:szCs w:val="18"/>
                <w:color w:val="auto"/>
                <w:w w:val="90"/>
              </w:rPr>
              <w:t>Samuel Colella</w:t>
            </w:r>
          </w:p>
        </w:tc>
        <w:tc>
          <w:tcPr>
            <w:tcW w:w="1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8"/>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6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February 27, 2020</w:t>
            </w:r>
          </w:p>
        </w:tc>
        <w:tc>
          <w:tcPr>
            <w:tcW w:w="100" w:type="dxa"/>
            <w:vAlign w:val="bottom"/>
          </w:tcPr>
          <w:p>
            <w:pPr>
              <w:spacing w:after="0"/>
              <w:rPr>
                <w:sz w:val="24"/>
                <w:szCs w:val="24"/>
                <w:color w:val="auto"/>
              </w:rPr>
            </w:pPr>
          </w:p>
        </w:tc>
      </w:tr>
      <w:tr>
        <w:trPr>
          <w:trHeight w:val="224"/>
        </w:trPr>
        <w:tc>
          <w:tcPr>
            <w:tcW w:w="4360" w:type="dxa"/>
            <w:vAlign w:val="bottom"/>
          </w:tcPr>
          <w:p>
            <w:pPr>
              <w:jc w:val="center"/>
              <w:spacing w:after="0"/>
              <w:rPr>
                <w:sz w:val="20"/>
                <w:szCs w:val="20"/>
                <w:color w:val="auto"/>
              </w:rPr>
            </w:pPr>
            <w:r>
              <w:rPr>
                <w:rFonts w:ascii="Arial" w:cs="Arial" w:eastAsia="Arial" w:hAnsi="Arial"/>
                <w:sz w:val="18"/>
                <w:szCs w:val="18"/>
                <w:color w:val="auto"/>
                <w:w w:val="92"/>
              </w:rPr>
              <w:t>Nicolas Barthelemy</w:t>
            </w:r>
          </w:p>
        </w:tc>
        <w:tc>
          <w:tcPr>
            <w:tcW w:w="1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8"/>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6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February 27, 2020</w:t>
            </w:r>
          </w:p>
        </w:tc>
        <w:tc>
          <w:tcPr>
            <w:tcW w:w="100" w:type="dxa"/>
            <w:vAlign w:val="bottom"/>
          </w:tcPr>
          <w:p>
            <w:pPr>
              <w:spacing w:after="0"/>
              <w:rPr>
                <w:sz w:val="24"/>
                <w:szCs w:val="24"/>
                <w:color w:val="auto"/>
              </w:rPr>
            </w:pPr>
          </w:p>
        </w:tc>
      </w:tr>
      <w:tr>
        <w:trPr>
          <w:trHeight w:val="224"/>
        </w:trPr>
        <w:tc>
          <w:tcPr>
            <w:tcW w:w="4360" w:type="dxa"/>
            <w:vAlign w:val="bottom"/>
          </w:tcPr>
          <w:p>
            <w:pPr>
              <w:jc w:val="center"/>
              <w:spacing w:after="0"/>
              <w:rPr>
                <w:sz w:val="20"/>
                <w:szCs w:val="20"/>
                <w:color w:val="auto"/>
              </w:rPr>
            </w:pPr>
            <w:r>
              <w:rPr>
                <w:rFonts w:ascii="Arial" w:cs="Arial" w:eastAsia="Arial" w:hAnsi="Arial"/>
                <w:sz w:val="18"/>
                <w:szCs w:val="18"/>
                <w:color w:val="auto"/>
                <w:w w:val="89"/>
              </w:rPr>
              <w:t>Gerhard F. Burbach</w:t>
            </w:r>
          </w:p>
        </w:tc>
        <w:tc>
          <w:tcPr>
            <w:tcW w:w="1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661"/>
        </w:trPr>
        <w:tc>
          <w:tcPr>
            <w:tcW w:w="4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1"/>
              </w:rPr>
              <w:t>Signature</w:t>
            </w:r>
          </w:p>
        </w:tc>
        <w:tc>
          <w:tcPr>
            <w:tcW w:w="1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jc w:val="center"/>
              <w:ind w:right="1150"/>
              <w:spacing w:after="0"/>
              <w:rPr>
                <w:sz w:val="20"/>
                <w:szCs w:val="20"/>
                <w:color w:val="auto"/>
              </w:rPr>
            </w:pPr>
            <w:r>
              <w:rPr>
                <w:rFonts w:ascii="Arial" w:cs="Arial" w:eastAsia="Arial" w:hAnsi="Arial"/>
                <w:sz w:val="18"/>
                <w:szCs w:val="18"/>
                <w:b w:val="1"/>
                <w:bCs w:val="1"/>
                <w:color w:val="auto"/>
                <w:w w:val="97"/>
              </w:rPr>
              <w:t>Title</w:t>
            </w:r>
          </w:p>
        </w:tc>
        <w:tc>
          <w:tcPr>
            <w:tcW w:w="12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Pr>
          <w:p>
            <w:pPr>
              <w:spacing w:after="0"/>
              <w:rPr>
                <w:sz w:val="20"/>
                <w:szCs w:val="20"/>
                <w:color w:val="auto"/>
              </w:rPr>
            </w:pPr>
          </w:p>
        </w:tc>
      </w:tr>
      <w:tr>
        <w:trPr>
          <w:trHeight w:val="426"/>
        </w:trPr>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40" w:type="dxa"/>
            <w:vAlign w:val="bottom"/>
            <w:gridSpan w:val="2"/>
          </w:tcPr>
          <w:p>
            <w:pPr>
              <w:jc w:val="center"/>
              <w:ind w:right="136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February 27, 2020</w:t>
            </w:r>
          </w:p>
        </w:tc>
        <w:tc>
          <w:tcPr>
            <w:tcW w:w="100" w:type="dxa"/>
            <w:vAlign w:val="bottom"/>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3780" w:type="dxa"/>
            <w:vAlign w:val="bottom"/>
          </w:tcPr>
          <w:p>
            <w:pPr>
              <w:jc w:val="center"/>
              <w:ind w:right="490"/>
              <w:spacing w:after="0"/>
              <w:rPr>
                <w:sz w:val="20"/>
                <w:szCs w:val="20"/>
                <w:color w:val="auto"/>
              </w:rPr>
            </w:pPr>
            <w:r>
              <w:rPr>
                <w:rFonts w:ascii="Arial" w:cs="Arial" w:eastAsia="Arial" w:hAnsi="Arial"/>
                <w:sz w:val="18"/>
                <w:szCs w:val="18"/>
                <w:color w:val="auto"/>
                <w:w w:val="88"/>
              </w:rPr>
              <w:t>Laura Clague</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8"/>
        </w:trPr>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40" w:type="dxa"/>
            <w:vAlign w:val="bottom"/>
            <w:gridSpan w:val="2"/>
          </w:tcPr>
          <w:p>
            <w:pPr>
              <w:jc w:val="center"/>
              <w:ind w:right="136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February 27, 2020</w:t>
            </w:r>
          </w:p>
        </w:tc>
        <w:tc>
          <w:tcPr>
            <w:tcW w:w="100" w:type="dxa"/>
            <w:vAlign w:val="bottom"/>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3780" w:type="dxa"/>
            <w:vAlign w:val="bottom"/>
          </w:tcPr>
          <w:p>
            <w:pPr>
              <w:jc w:val="center"/>
              <w:ind w:right="490"/>
              <w:spacing w:after="0"/>
              <w:rPr>
                <w:sz w:val="20"/>
                <w:szCs w:val="20"/>
                <w:color w:val="auto"/>
              </w:rPr>
            </w:pPr>
            <w:r>
              <w:rPr>
                <w:rFonts w:ascii="Arial" w:cs="Arial" w:eastAsia="Arial" w:hAnsi="Arial"/>
                <w:sz w:val="18"/>
                <w:szCs w:val="18"/>
                <w:color w:val="auto"/>
                <w:w w:val="89"/>
              </w:rPr>
              <w:t>Patrick S. Jones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8"/>
        </w:trPr>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40" w:type="dxa"/>
            <w:vAlign w:val="bottom"/>
            <w:gridSpan w:val="2"/>
          </w:tcPr>
          <w:p>
            <w:pPr>
              <w:jc w:val="center"/>
              <w:ind w:right="136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February 27, 2020</w:t>
            </w:r>
          </w:p>
        </w:tc>
        <w:tc>
          <w:tcPr>
            <w:tcW w:w="100" w:type="dxa"/>
            <w:vAlign w:val="bottom"/>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3780" w:type="dxa"/>
            <w:vAlign w:val="bottom"/>
          </w:tcPr>
          <w:p>
            <w:pPr>
              <w:jc w:val="center"/>
              <w:ind w:right="470"/>
              <w:spacing w:after="0"/>
              <w:rPr>
                <w:sz w:val="20"/>
                <w:szCs w:val="20"/>
                <w:color w:val="auto"/>
              </w:rPr>
            </w:pPr>
            <w:r>
              <w:rPr>
                <w:rFonts w:ascii="Arial" w:cs="Arial" w:eastAsia="Arial" w:hAnsi="Arial"/>
                <w:sz w:val="18"/>
                <w:szCs w:val="18"/>
                <w:color w:val="auto"/>
                <w:w w:val="87"/>
              </w:rPr>
              <w:t>Carlos Paya</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8"/>
        </w:trPr>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40" w:type="dxa"/>
            <w:vAlign w:val="bottom"/>
            <w:gridSpan w:val="2"/>
          </w:tcPr>
          <w:p>
            <w:pPr>
              <w:jc w:val="center"/>
              <w:ind w:right="136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February 27, 2020</w:t>
            </w:r>
          </w:p>
        </w:tc>
        <w:tc>
          <w:tcPr>
            <w:tcW w:w="100" w:type="dxa"/>
            <w:vAlign w:val="bottom"/>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3780" w:type="dxa"/>
            <w:vAlign w:val="bottom"/>
          </w:tcPr>
          <w:p>
            <w:pPr>
              <w:jc w:val="center"/>
              <w:ind w:right="490"/>
              <w:spacing w:after="0"/>
              <w:rPr>
                <w:sz w:val="20"/>
                <w:szCs w:val="20"/>
                <w:color w:val="auto"/>
              </w:rPr>
            </w:pPr>
            <w:r>
              <w:rPr>
                <w:rFonts w:ascii="Arial" w:cs="Arial" w:eastAsia="Arial" w:hAnsi="Arial"/>
                <w:sz w:val="18"/>
                <w:szCs w:val="18"/>
                <w:color w:val="auto"/>
                <w:w w:val="97"/>
              </w:rPr>
              <w:t>Bill Colston</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8"/>
        </w:trPr>
        <w:tc>
          <w:tcPr>
            <w:tcW w:w="4360" w:type="dxa"/>
            <w:vAlign w:val="bottom"/>
            <w:gridSpan w:val="2"/>
          </w:tcPr>
          <w:p>
            <w:pPr>
              <w:spacing w:after="0"/>
              <w:rPr>
                <w:sz w:val="20"/>
                <w:szCs w:val="20"/>
                <w:color w:val="auto"/>
              </w:rPr>
            </w:pPr>
            <w:r>
              <w:rPr>
                <w:rFonts w:ascii="Arial" w:cs="Arial" w:eastAsia="Arial" w:hAnsi="Arial"/>
                <w:sz w:val="18"/>
                <w:szCs w:val="18"/>
                <w:color w:val="auto"/>
              </w:rPr>
              <w:t>* By:  /s/ Vikram Jog</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580" w:type="dxa"/>
            <w:vAlign w:val="bottom"/>
          </w:tcPr>
          <w:p>
            <w:pPr>
              <w:spacing w:after="0"/>
              <w:rPr>
                <w:sz w:val="16"/>
                <w:szCs w:val="16"/>
                <w:color w:val="auto"/>
              </w:rPr>
            </w:pPr>
          </w:p>
        </w:tc>
        <w:tc>
          <w:tcPr>
            <w:tcW w:w="3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Vikram Jog</w:t>
            </w: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58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i w:val="1"/>
                <w:iCs w:val="1"/>
                <w:color w:val="auto"/>
              </w:rPr>
              <w:t>Attorney-in-Fact</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27,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7000 Shoreline Court,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 94080</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Fluidigm Corporation—Registration Statement on Form S-3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At your request, we have examined the Post-Effective Amendment No. 2 to the Registration Statement on Form S-3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to be filed by Fluidigm Corporation,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in connection with the registration pursuant to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of the offer and sale of the Securities (as defined below). The Registration Statement relates to the proposed offer, issuance and sale by the Company, from time to time pursuant to Rule 415 under the Act as set forth in the Registration Statement, the prospectus contained therein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and the supplements to the prospectus referred to therein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Supplements</w:t>
      </w:r>
      <w:r>
        <w:rPr>
          <w:rFonts w:ascii="Arial" w:cs="Arial" w:eastAsia="Arial" w:hAnsi="Arial"/>
          <w:sz w:val="16"/>
          <w:szCs w:val="16"/>
          <w:color w:val="auto"/>
        </w:rPr>
        <w:t>”) of (a) shares of the Company’s common stock, $0.001 par value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(b) shares of the Company’s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$0.001 par value per share (the “</w:t>
      </w: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 (c) the Company’s debt securities (the “</w:t>
      </w:r>
      <w:r>
        <w:rPr>
          <w:rFonts w:ascii="Arial" w:cs="Arial" w:eastAsia="Arial" w:hAnsi="Arial"/>
          <w:sz w:val="16"/>
          <w:szCs w:val="16"/>
          <w:b w:val="1"/>
          <w:bCs w:val="1"/>
          <w:i w:val="1"/>
          <w:iCs w:val="1"/>
          <w:color w:val="auto"/>
        </w:rPr>
        <w:t>Debt Securities</w:t>
      </w:r>
      <w:r>
        <w:rPr>
          <w:rFonts w:ascii="Arial" w:cs="Arial" w:eastAsia="Arial" w:hAnsi="Arial"/>
          <w:sz w:val="16"/>
          <w:szCs w:val="16"/>
          <w:color w:val="auto"/>
        </w:rPr>
        <w:t>”), (d) warrants to purchase shares of the Company’s Common Stock or Preferred Stock (the “</w:t>
      </w:r>
      <w:r>
        <w:rPr>
          <w:rFonts w:ascii="Arial" w:cs="Arial" w:eastAsia="Arial" w:hAnsi="Arial"/>
          <w:sz w:val="16"/>
          <w:szCs w:val="16"/>
          <w:b w:val="1"/>
          <w:bCs w:val="1"/>
          <w:i w:val="1"/>
          <w:iCs w:val="1"/>
          <w:color w:val="auto"/>
        </w:rPr>
        <w:t>Warrants</w:t>
      </w:r>
      <w:r>
        <w:rPr>
          <w:rFonts w:ascii="Arial" w:cs="Arial" w:eastAsia="Arial" w:hAnsi="Arial"/>
          <w:sz w:val="16"/>
          <w:szCs w:val="16"/>
          <w:color w:val="auto"/>
        </w:rPr>
        <w:t>”), or (e) units (the “</w:t>
      </w:r>
      <w:r>
        <w:rPr>
          <w:rFonts w:ascii="Arial" w:cs="Arial" w:eastAsia="Arial" w:hAnsi="Arial"/>
          <w:sz w:val="16"/>
          <w:szCs w:val="16"/>
          <w:b w:val="1"/>
          <w:bCs w:val="1"/>
          <w:i w:val="1"/>
          <w:iCs w:val="1"/>
          <w:color w:val="auto"/>
        </w:rPr>
        <w:t>Units</w:t>
      </w:r>
      <w:r>
        <w:rPr>
          <w:rFonts w:ascii="Arial" w:cs="Arial" w:eastAsia="Arial" w:hAnsi="Arial"/>
          <w:sz w:val="16"/>
          <w:szCs w:val="16"/>
          <w:color w:val="auto"/>
        </w:rPr>
        <w:t>”) consisting of Common Stock, Preferred Stock, Debt Securities, Warrants or any combination of the foregoing (the Common Stock, the Preferred Stock, the Debt Securities, the Warrants and the Units are collectively referred to herein as the “</w:t>
      </w:r>
      <w:r>
        <w:rPr>
          <w:rFonts w:ascii="Arial" w:cs="Arial" w:eastAsia="Arial" w:hAnsi="Arial"/>
          <w:sz w:val="16"/>
          <w:szCs w:val="16"/>
          <w:b w:val="1"/>
          <w:bCs w:val="1"/>
          <w:i w:val="1"/>
          <w:iCs w:val="1"/>
          <w:color w:val="auto"/>
        </w:rPr>
        <w:t>Securities</w:t>
      </w:r>
      <w:r>
        <w:rPr>
          <w:rFonts w:ascii="Arial" w:cs="Arial" w:eastAsia="Arial" w:hAnsi="Arial"/>
          <w:sz w:val="16"/>
          <w:szCs w:val="16"/>
          <w:color w:val="auto"/>
        </w:rPr>
        <w:t>”). The maximum aggregate offering price of the Securities sold pursuant to the Registration Statement shall not exceed $125,000,000 (or the equivalent thereof in United States dollars).</w:t>
      </w:r>
    </w:p>
    <w:p>
      <w:pPr>
        <w:spacing w:after="0" w:line="1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Debt Securities are to be issued pursuant to a debt securities indenture (the “</w:t>
      </w:r>
      <w:r>
        <w:rPr>
          <w:rFonts w:ascii="Arial" w:cs="Arial" w:eastAsia="Arial" w:hAnsi="Arial"/>
          <w:sz w:val="17"/>
          <w:szCs w:val="17"/>
          <w:b w:val="1"/>
          <w:bCs w:val="1"/>
          <w:i w:val="1"/>
          <w:iCs w:val="1"/>
          <w:color w:val="auto"/>
        </w:rPr>
        <w:t>Indenture</w:t>
      </w:r>
      <w:r>
        <w:rPr>
          <w:rFonts w:ascii="Arial" w:cs="Arial" w:eastAsia="Arial" w:hAnsi="Arial"/>
          <w:sz w:val="17"/>
          <w:szCs w:val="17"/>
          <w:color w:val="auto"/>
        </w:rPr>
        <w:t>”), which has been filed as an exhibit to the Registration Statement and is to be entered into between the Company and a trustee to be identified (the “</w:t>
      </w:r>
      <w:r>
        <w:rPr>
          <w:rFonts w:ascii="Arial" w:cs="Arial" w:eastAsia="Arial" w:hAnsi="Arial"/>
          <w:sz w:val="17"/>
          <w:szCs w:val="17"/>
          <w:b w:val="1"/>
          <w:bCs w:val="1"/>
          <w:i w:val="1"/>
          <w:iCs w:val="1"/>
          <w:color w:val="auto"/>
        </w:rPr>
        <w:t>Trustee</w:t>
      </w:r>
      <w:r>
        <w:rPr>
          <w:rFonts w:ascii="Arial" w:cs="Arial" w:eastAsia="Arial" w:hAnsi="Arial"/>
          <w:sz w:val="17"/>
          <w:szCs w:val="17"/>
          <w:color w:val="auto"/>
        </w:rPr>
        <w:t>”). The Debt Securities are to be issued in the forms contemplated by the Indenture. Each indenture may be supplemented, as applicable, in connection with the issuance of each such series of Debt Securities, by a supplemental indenture or other appropriate action of the Company creating such series (each, a “</w:t>
      </w:r>
      <w:r>
        <w:rPr>
          <w:rFonts w:ascii="Arial" w:cs="Arial" w:eastAsia="Arial" w:hAnsi="Arial"/>
          <w:sz w:val="17"/>
          <w:szCs w:val="17"/>
          <w:b w:val="1"/>
          <w:bCs w:val="1"/>
          <w:i w:val="1"/>
          <w:iCs w:val="1"/>
          <w:color w:val="auto"/>
        </w:rPr>
        <w:t>Supplemental Indenture</w:t>
      </w:r>
      <w:r>
        <w:rPr>
          <w:rFonts w:ascii="Arial" w:cs="Arial" w:eastAsia="Arial" w:hAnsi="Arial"/>
          <w:sz w:val="17"/>
          <w:szCs w:val="17"/>
          <w:color w:val="auto"/>
        </w:rPr>
        <w:t>”). The shares of Common Stock and Preferred Stock and the Debt Securities, Warrants, and Units are to be sold pursuant to a purchase, underwriting, placement agency or similar agreement in substantially the form to be filed under a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Fluidigm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have examined instruments, documents, certificates and records which we have deemed relevant and necessary for the basis of our opinion hereinafter expressed. In such examination, we have assumed (a) the authenticity of original documents and the genuineness of all signatures; (b) the conformity to the originals of all documents submitted to us as copies; (c) the truth, accuracy, and completeness of the information, representations and warranties contained in the records, documents, instruments and certificates we have reviewed; (d) the Registration Statement, and any amendments thereto (including post-effective amendments), will have become effective under the Act; (e) a Prospectus Supplement will have been filed with the Commission describing the Securities offered thereby; (f) all Securities will be issued and sold in compliance with applicable Federal and state securities laws and in the manner stated in the Registration Statement and the applicable Prospectus Supplement; (g) a definitive purchase, underwriting, placement agency or similar agreement with respect to any Securities offered will have been duly authorized and validly executed and delivered by the Company and the other parties thereto; (h) any Securities issuable upon conversion, exchange, redemption, or exercise of any Securities being offered will be duly authorized, created and, if appropriate, reserved for issuance upon such conversion, exchange, redemption, or exercise; (i) with respect to shares of Common Stock or Preferred Stock offered, there will be sufficient shares of Common Stock or Preferred Stock authorized under the Company’s organizational documents and not otherwise reserved for issuance; and (j) the legal capacity of all natural persons. As to any facts material to the opinions expressed herein that were not independently established or verified, we have relied upon oral or written statements and representations of officers and other representatives of the Company.</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on such examination, we are of the opinion that:</w:t>
      </w:r>
    </w:p>
    <w:p>
      <w:pPr>
        <w:spacing w:after="0" w:line="225" w:lineRule="exact"/>
        <w:rPr>
          <w:sz w:val="20"/>
          <w:szCs w:val="20"/>
          <w:color w:val="auto"/>
        </w:rPr>
      </w:pPr>
    </w:p>
    <w:p>
      <w:pPr>
        <w:jc w:val="both"/>
        <w:ind w:firstLine="332"/>
        <w:spacing w:after="0" w:line="290" w:lineRule="auto"/>
        <w:tabs>
          <w:tab w:leader="none" w:pos="742" w:val="left"/>
        </w:tabs>
        <w:numPr>
          <w:ilvl w:val="0"/>
          <w:numId w:val="38"/>
        </w:numPr>
        <w:rPr>
          <w:rFonts w:ascii="Arial" w:cs="Arial" w:eastAsia="Arial" w:hAnsi="Arial"/>
          <w:sz w:val="16"/>
          <w:szCs w:val="16"/>
          <w:color w:val="auto"/>
        </w:rPr>
      </w:pPr>
      <w:r>
        <w:rPr>
          <w:rFonts w:ascii="Arial" w:cs="Arial" w:eastAsia="Arial" w:hAnsi="Arial"/>
          <w:sz w:val="16"/>
          <w:szCs w:val="16"/>
          <w:color w:val="auto"/>
        </w:rPr>
        <w:t>with respect to shares of Common Stock, when (a) the Board of Directors of the Company or a duly constituted and acting committee thereof (such Board of Directors or committee being hereinafter referred to as the “Board”) has taken all necessary corporate action to approve the issuance of and the terms of the offering of such shares of Common Stock and related matters and (b) certificates representing such shares of Common Stock have been duly executed, countersigned, registered and delivered either (i) in accordance with the applicable definitive purchase, underwriting, placement agency or similar agreement approved by the Board, or upon the exercise of Warrants to purchase Common Stock, upon payment of the consideration therefor (not less than the par value of the Common Stock) provided for therein, or (ii) upon conversion or exercise of any other Security, in accordance with the terms of such Security or the instrument governing such Security providing for such conversion or exercise as approved by the Board, for the consideration approved by the Board (not less than the par value of the Common Stock), then such shares of Common Stock will be validly issued, fully paid and nonassessable;</w:t>
      </w:r>
    </w:p>
    <w:p>
      <w:pPr>
        <w:spacing w:after="0" w:line="166" w:lineRule="exact"/>
        <w:rPr>
          <w:rFonts w:ascii="Arial" w:cs="Arial" w:eastAsia="Arial" w:hAnsi="Arial"/>
          <w:sz w:val="16"/>
          <w:szCs w:val="16"/>
          <w:color w:val="auto"/>
        </w:rPr>
      </w:pPr>
    </w:p>
    <w:p>
      <w:pPr>
        <w:jc w:val="both"/>
        <w:ind w:firstLine="332"/>
        <w:spacing w:after="0" w:line="270" w:lineRule="auto"/>
        <w:tabs>
          <w:tab w:leader="none" w:pos="85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with respect to any particular series of shares of Preferred Stock, when (a) the Board has taken all necessary corporate action to approve the issuance and terms of the shares of Preferred Stock, the terms of the offering thereof, and related matters, including the adoption of a certificate of designation relating to such Preferred Stock conforming to the Delaware General Corporation Law (a “</w:t>
      </w:r>
      <w:r>
        <w:rPr>
          <w:rFonts w:ascii="Arial" w:cs="Arial" w:eastAsia="Arial" w:hAnsi="Arial"/>
          <w:sz w:val="17"/>
          <w:szCs w:val="17"/>
          <w:b w:val="1"/>
          <w:bCs w:val="1"/>
          <w:i w:val="1"/>
          <w:iCs w:val="1"/>
          <w:color w:val="auto"/>
        </w:rPr>
        <w:t>Certificate</w:t>
      </w:r>
      <w:r>
        <w:rPr>
          <w:rFonts w:ascii="Arial" w:cs="Arial" w:eastAsia="Arial" w:hAnsi="Arial"/>
          <w:sz w:val="17"/>
          <w:szCs w:val="17"/>
          <w:color w:val="auto"/>
        </w:rPr>
        <w:t>”) and the filing of the Certificate with the Secretary of State of the State of Delaware and (b) certificates representing the shares of Preferred Stock have been duly executed, countersigned, registered and delivered either (i) in accordance with the applicable definitive purchase, underwriting, placement agency or similar agreement approved by the Board, or upon exercise of Warrants to purchase Preferred Stock, upon payment of consideration (not less than the par value of the Preferred Stock) provided for therein, or (ii) upon conversion or exercise of any other Security, in accordance with the terms of such Security or the instrument governing such Security providing for such conversion or exercise as approved by the Board, for the consideration approved by the Board (not less than the par value of the Preferred Stock), then the shares of Preferred Stock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Fluidigm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jc w:val="both"/>
        <w:ind w:firstLine="332"/>
        <w:spacing w:after="0" w:line="291" w:lineRule="auto"/>
        <w:tabs>
          <w:tab w:leader="none" w:pos="81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with respect to Debt Securities to be issued under the Indenture, when (a) the Trustee is qualified to act as Trustee under the Indenture, (b) the Trustee has duly executed and delivered the Indenture, (c) the Indenture has been duly authorized and validly executed and delivered by the Company to the Trustee, (d) the Indenture has been duly qualified under the Trust Indenture Act of 1939, as amended, (e) the Board has taken all necessary corporate action to approve the issuance and terms of such Debt Securities, the terms of the offering thereof and related matters, and (f) such Debt Securities have been duly executed, authenticated, issued and delivered in accordance with the provisions of the Indenture and the applicable definitive purchase, underwriting, placement agency or similar agreement approved by the Board, such Debt Securities will be validly issued and will constitute valid and binding obligations of the Company, enforceable against the Company, in accordance with their terms, and entitled to the benefits of the applicable Indenture;</w:t>
      </w:r>
    </w:p>
    <w:p>
      <w:pPr>
        <w:spacing w:after="0" w:line="167" w:lineRule="exact"/>
        <w:rPr>
          <w:rFonts w:ascii="Arial" w:cs="Arial" w:eastAsia="Arial" w:hAnsi="Arial"/>
          <w:sz w:val="16"/>
          <w:szCs w:val="16"/>
          <w:color w:val="auto"/>
        </w:rPr>
      </w:pPr>
    </w:p>
    <w:p>
      <w:pPr>
        <w:jc w:val="both"/>
        <w:ind w:firstLine="332"/>
        <w:spacing w:after="0" w:line="297" w:lineRule="auto"/>
        <w:tabs>
          <w:tab w:leader="none" w:pos="756" w:val="left"/>
        </w:tabs>
        <w:numPr>
          <w:ilvl w:val="0"/>
          <w:numId w:val="39"/>
        </w:numPr>
        <w:rPr>
          <w:rFonts w:ascii="Arial" w:cs="Arial" w:eastAsia="Arial" w:hAnsi="Arial"/>
          <w:sz w:val="16"/>
          <w:szCs w:val="16"/>
          <w:color w:val="auto"/>
        </w:rPr>
      </w:pPr>
      <w:r>
        <w:rPr>
          <w:rFonts w:ascii="Arial" w:cs="Arial" w:eastAsia="Arial" w:hAnsi="Arial"/>
          <w:sz w:val="16"/>
          <w:szCs w:val="16"/>
          <w:color w:val="auto"/>
        </w:rPr>
        <w:t>with respect to the Warrants, when (a) the Board has taken all necessary corporate action to approve the issuance of and the terms of the Warrants and related matters and (b) the Warrants have been duly executed and delivered against payment therefor, pursuant to the applicable definitive purchase, underwriting, warrant, placement agency or similar agreement duly authorized, executed and delivered by the Company and a warrant agent and the certificates for the Warrants have been duly executed and delivered by the Company and such warrant agent, then the Warrants will be validly issued and will constitute valid and binding obligations of the Company, enforceable against the Company in accordance with their terms; and</w:t>
      </w:r>
    </w:p>
    <w:p>
      <w:pPr>
        <w:spacing w:after="0" w:line="158" w:lineRule="exact"/>
        <w:rPr>
          <w:rFonts w:ascii="Arial" w:cs="Arial" w:eastAsia="Arial" w:hAnsi="Arial"/>
          <w:sz w:val="16"/>
          <w:szCs w:val="16"/>
          <w:color w:val="auto"/>
        </w:rPr>
      </w:pPr>
    </w:p>
    <w:p>
      <w:pPr>
        <w:jc w:val="both"/>
        <w:ind w:firstLine="332"/>
        <w:spacing w:after="0" w:line="276" w:lineRule="auto"/>
        <w:tabs>
          <w:tab w:leader="none" w:pos="796" w:val="left"/>
        </w:tabs>
        <w:numPr>
          <w:ilvl w:val="0"/>
          <w:numId w:val="39"/>
        </w:numPr>
        <w:rPr>
          <w:rFonts w:ascii="Arial" w:cs="Arial" w:eastAsia="Arial" w:hAnsi="Arial"/>
          <w:sz w:val="17"/>
          <w:szCs w:val="17"/>
          <w:color w:val="auto"/>
        </w:rPr>
      </w:pPr>
      <w:r>
        <w:rPr>
          <w:rFonts w:ascii="Arial" w:cs="Arial" w:eastAsia="Arial" w:hAnsi="Arial"/>
          <w:sz w:val="17"/>
          <w:szCs w:val="17"/>
          <w:color w:val="auto"/>
        </w:rPr>
        <w:t>with respect to the Units, when (a) the Board has taken all necessary corporate action to approve the issuance of and the terms of the Units and related matters and (b) the Units have been duly executed and delivered against payment therefor, pursuant to the applicable definitive purchase, underwriting, unit, placement agency or similar agreement duly authorized, executed and delivered by the Company and the certificates for the Units have been duly executed and delivered in accordance with such purchase, underwriting, unit, placement agency or similar agreement, then the Units will be validly issued and will constitute valid and binding obligations of the Company, enforceable against the Company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Fluidigm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opinion that any document is legal, valid and binding is qualified as to:</w:t>
      </w:r>
    </w:p>
    <w:p>
      <w:pPr>
        <w:spacing w:after="0" w:line="225" w:lineRule="exact"/>
        <w:rPr>
          <w:sz w:val="20"/>
          <w:szCs w:val="20"/>
          <w:color w:val="auto"/>
        </w:rPr>
      </w:pPr>
    </w:p>
    <w:p>
      <w:pPr>
        <w:ind w:firstLine="449"/>
        <w:spacing w:after="0" w:line="277" w:lineRule="auto"/>
        <w:tabs>
          <w:tab w:leader="none" w:pos="726"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limitations imposed by bankruptcy, insolvency, reorganization, arrangement, fraudulent conveyance, moratorium or other laws relating to or affecting the rights of creditors generally;</w:t>
      </w:r>
    </w:p>
    <w:p>
      <w:pPr>
        <w:spacing w:after="0" w:line="170" w:lineRule="exact"/>
        <w:rPr>
          <w:rFonts w:ascii="Arial" w:cs="Arial" w:eastAsia="Arial" w:hAnsi="Arial"/>
          <w:sz w:val="18"/>
          <w:szCs w:val="18"/>
          <w:color w:val="auto"/>
        </w:rPr>
      </w:pPr>
    </w:p>
    <w:p>
      <w:pPr>
        <w:ind w:left="700" w:hanging="251"/>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rights to indemnification and contribution which may be limited by applicable law or equitable principles; and</w:t>
      </w:r>
    </w:p>
    <w:p>
      <w:pPr>
        <w:spacing w:after="0" w:line="225" w:lineRule="exact"/>
        <w:rPr>
          <w:rFonts w:ascii="Arial" w:cs="Arial" w:eastAsia="Arial" w:hAnsi="Arial"/>
          <w:sz w:val="18"/>
          <w:szCs w:val="18"/>
          <w:color w:val="auto"/>
        </w:rPr>
      </w:pPr>
    </w:p>
    <w:p>
      <w:pPr>
        <w:jc w:val="both"/>
        <w:ind w:firstLine="449"/>
        <w:spacing w:after="0" w:line="264" w:lineRule="auto"/>
        <w:tabs>
          <w:tab w:leader="none" w:pos="714"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principles of equity, including without limitation concepts of materiality, reasonableness, good faith and fair dealing, and the possible unavailability of specific performance or injunctive relief and limitation of rights of acceleration, regardless of whether such enforceability is considered in a proceeding in equity or at law.</w:t>
      </w:r>
    </w:p>
    <w:p>
      <w:pPr>
        <w:spacing w:after="0" w:line="181" w:lineRule="exact"/>
        <w:rPr>
          <w:sz w:val="20"/>
          <w:szCs w:val="20"/>
          <w:color w:val="auto"/>
        </w:rPr>
      </w:pPr>
    </w:p>
    <w:p>
      <w:pPr>
        <w:ind w:firstLine="441"/>
        <w:spacing w:after="0" w:line="308" w:lineRule="auto"/>
        <w:rPr>
          <w:sz w:val="20"/>
          <w:szCs w:val="20"/>
          <w:color w:val="auto"/>
        </w:rPr>
      </w:pPr>
      <w:r>
        <w:rPr>
          <w:rFonts w:ascii="Arial" w:cs="Arial" w:eastAsia="Arial" w:hAnsi="Arial"/>
          <w:sz w:val="17"/>
          <w:szCs w:val="17"/>
          <w:color w:val="auto"/>
        </w:rPr>
        <w:t>We express no opinion herein as to the laws of any state or jurisdiction other than the General Corporation Law of the State of Delaware (including the statutory provisions and all applicable judicial decisions interpreting those laws) and the federal laws of the United States of America.</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Fluidigm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hereby consent to the filing of this opinion as an exhibit to the above-referenced Registration Statement and to the use of our name wherever it appears in the Registration Statement, the Prospectus, any Prospectus Supplement, and in any amendment or supplement thereto. In giving such consent, we do not believe that we are “experts” within the meaning of such term as used in the Act or the rules and regulations of the Commission issued thereunder with respect to any part of the Registration Statement, including this opinion as an exhibit or otherwise.</w:t>
      </w: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Wilson Sonsini Goodrich &amp; Rosati P.C.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S-3 of Fluidigm Corporation of our report dated February 27, 2020 relating to the financial statements, financial statement schedule and the effectiveness of internal control over financial reporting, which appears in Fluidigm Corporation's Annual Report on Form 10-K for the year ended December 31, 2019. We also consent to the reference to us under the heading “Experts” in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lvl w:ilvl="1">
      <w:lvlJc w:val="left"/>
      <w:lvlText w:val="(%2)"/>
      <w:numFmt w:val="decimal"/>
      <w:start w:val="1"/>
    </w:lvl>
  </w:abstractNum>
  <w:abstractNum w:abstractNumId="1">
    <w:nsid w:val="628C895D"/>
    <w:multiLevelType w:val="hybridMultilevel"/>
    <w:lvl w:ilvl="0">
      <w:lvlJc w:val="left"/>
      <w:lvlText w:val="(%1)"/>
      <w:numFmt w:val="decimal"/>
      <w:start w:val="2"/>
    </w:lvl>
    <w:lvl w:ilvl="1">
      <w:lvlJc w:val="left"/>
      <w:lvlText w:val="%2"/>
      <w:numFmt w:val="decimal"/>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1)"/>
      <w:numFmt w:val="lowerLetter"/>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2">
    <w:nsid w:val="3804823E"/>
    <w:multiLevelType w:val="hybridMultilevel"/>
    <w:lvl w:ilvl="0">
      <w:lvlJc w:val="left"/>
      <w:lvlText w:val="(%1)"/>
      <w:numFmt w:val="lowerRoman"/>
      <w:start w:val="3"/>
    </w:lvl>
  </w:abstractNum>
  <w:abstractNum w:abstractNumId="33">
    <w:nsid w:val="77465F01"/>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34">
    <w:nsid w:val="7724C67E"/>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35">
    <w:nsid w:val="5C482A97"/>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6">
    <w:nsid w:val="2463B9EA"/>
    <w:multiLevelType w:val="hybridMultilevel"/>
    <w:lvl w:ilvl="0">
      <w:lvlJc w:val="left"/>
      <w:lvlText w:val="(%1)"/>
      <w:numFmt w:val="lowerLetter"/>
      <w:start w:val="4"/>
    </w:lvl>
    <w:lvl w:ilvl="1">
      <w:lvlJc w:val="left"/>
      <w:lvlText w:val="(%2)"/>
      <w:numFmt w:val="decimal"/>
      <w:start w:val="1"/>
    </w:lvl>
  </w:abstractNum>
  <w:abstractNum w:abstractNumId="37">
    <w:nsid w:val="5E884ADC"/>
    <w:multiLevelType w:val="hybridMultilevel"/>
    <w:lvl w:ilvl="0">
      <w:lvlJc w:val="left"/>
      <w:lvlText w:val="%1."/>
      <w:numFmt w:val="decimal"/>
      <w:start w:val="1"/>
    </w:lvl>
  </w:abstractNum>
  <w:abstractNum w:abstractNumId="38">
    <w:nsid w:val="51EAD36B"/>
    <w:multiLevelType w:val="hybridMultilevel"/>
    <w:lvl w:ilvl="0">
      <w:lvlJc w:val="left"/>
      <w:lvlText w:val="%1."/>
      <w:numFmt w:val="decimal"/>
      <w:start w:val="3"/>
    </w:lvl>
  </w:abstractNum>
  <w:abstractNum w:abstractNumId="39">
    <w:nsid w:val="2D51779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57" Type="http://schemas.openxmlformats.org/officeDocument/2006/relationships/hyperlink" Target="http://www.sec.gov/Archives/edgar/data/1162194/000116219419000020/fye2018form10-k.htm" TargetMode="External"/><Relationship Id="rId58" Type="http://schemas.openxmlformats.org/officeDocument/2006/relationships/hyperlink" Target="http://www.sec.gov/Archives/edgar/data/1162194/000119312511025057/d8a12b.htm" TargetMode="External"/><Relationship Id="rId62" Type="http://schemas.openxmlformats.org/officeDocument/2006/relationships/hyperlink" Target="http://www.sec.gov/Archives/edgar/data/1162194/000119312511078412/dex31.htm" TargetMode="External"/><Relationship Id="rId63" Type="http://schemas.openxmlformats.org/officeDocument/2006/relationships/hyperlink" Target="http://www.sec.gov/Archives/edgar/data/1162194/000119312511078412/dex32.htm" TargetMode="External"/><Relationship Id="rId64" Type="http://schemas.openxmlformats.org/officeDocument/2006/relationships/hyperlink" Target="http://www.sec.gov/Archives/edgar/data/1162194/000119312516774501/d294669dex31.htm" TargetMode="External"/><Relationship Id="rId65" Type="http://schemas.openxmlformats.org/officeDocument/2006/relationships/hyperlink" Target="http://www.sec.gov/Archives/edgar/data/1162194/000114420417039703/v471897_ex3-1.htm" TargetMode="External"/><Relationship Id="rId66" Type="http://schemas.openxmlformats.org/officeDocument/2006/relationships/hyperlink" Target="http://www.sec.gov/Archives/edgar/data/1162194/000157104917007218/t1702250_ex4-1.htm" TargetMode="External"/><Relationship Id="rId67" Type="http://schemas.openxmlformats.org/officeDocument/2006/relationships/hyperlink" Target="http://www.sec.gov/Archives/edgar/data/1162194/000119312514034901/d669277dex41.htm" TargetMode="External"/><Relationship Id="rId68" Type="http://schemas.openxmlformats.org/officeDocument/2006/relationships/hyperlink" Target="http://www.sec.gov/Archives/edgar/data/1162194/000119312514034901/d669277dex42.htm" TargetMode="External"/><Relationship Id="rId69" Type="http://schemas.openxmlformats.org/officeDocument/2006/relationships/hyperlink" Target="http://www.sec.gov/Archives/edgar/data/1162194/000110465919066659/tm1923592d1_ex4-1.htm" TargetMode="External"/><Relationship Id="rId70" Type="http://schemas.openxmlformats.org/officeDocument/2006/relationships/hyperlink" Target="http://www.sec.gov/Archives/edgar/data/1162194/000114420419014691/tv515713_ex4-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2020-02-27T18:03:23Z</dcterms:created>
  <dcterms:modified xsi:type="dcterms:W3CDTF">2020-02-27T18:03:23Z</dcterms:modified>
</cp:coreProperties>
</file>