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04/26/2018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w w:val="88"/>
              </w:rPr>
              <w:t>By: Managed</w:t>
            </w: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2340" w:type="dxa"/>
            <w:vAlign w:val="bottom"/>
            <w:vMerge w:val="restart"/>
          </w:tcPr>
          <w:p>
            <w:pPr>
              <w:jc w:val="right"/>
              <w:ind w:right="652"/>
              <w:spacing w:after="0"/>
              <w:rPr>
                <w:sz w:val="20"/>
                <w:szCs w:val="20"/>
                <w:color w:val="auto"/>
              </w:rPr>
            </w:pPr>
            <w:r>
              <w:rPr>
                <w:rFonts w:ascii="Arial" w:cs="Arial" w:eastAsia="Arial" w:hAnsi="Arial"/>
                <w:sz w:val="18"/>
                <w:szCs w:val="18"/>
                <w:color w:val="0000FF"/>
              </w:rPr>
              <w:t>04/26/2018</w:t>
            </w:r>
          </w:p>
        </w:tc>
        <w:tc>
          <w:tcPr>
            <w:tcW w:w="1200" w:type="dxa"/>
            <w:vAlign w:val="bottom"/>
            <w:vMerge w:val="restart"/>
          </w:tcPr>
          <w:p>
            <w:pPr>
              <w:ind w:left="760"/>
              <w:spacing w:after="0"/>
              <w:rPr>
                <w:sz w:val="20"/>
                <w:szCs w:val="20"/>
                <w:color w:val="auto"/>
              </w:rPr>
            </w:pPr>
            <w:r>
              <w:rPr>
                <w:rFonts w:ascii="Arial" w:cs="Arial" w:eastAsia="Arial" w:hAnsi="Arial"/>
                <w:sz w:val="14"/>
                <w:szCs w:val="14"/>
                <w:color w:val="0000FF"/>
              </w:rPr>
              <w:t>P</w:t>
            </w:r>
          </w:p>
        </w:tc>
        <w:tc>
          <w:tcPr>
            <w:tcW w:w="960" w:type="dxa"/>
            <w:vAlign w:val="bottom"/>
            <w:vMerge w:val="restart"/>
          </w:tcPr>
          <w:p>
            <w:pPr>
              <w:jc w:val="right"/>
              <w:ind w:right="112"/>
              <w:spacing w:after="0"/>
              <w:rPr>
                <w:sz w:val="20"/>
                <w:szCs w:val="20"/>
                <w:color w:val="auto"/>
              </w:rPr>
            </w:pPr>
            <w:r>
              <w:rPr>
                <w:rFonts w:ascii="Arial" w:cs="Arial" w:eastAsia="Arial" w:hAnsi="Arial"/>
                <w:sz w:val="18"/>
                <w:szCs w:val="18"/>
                <w:color w:val="0000FF"/>
              </w:rPr>
              <w:t>9,609</w:t>
            </w:r>
          </w:p>
        </w:tc>
        <w:tc>
          <w:tcPr>
            <w:tcW w:w="2660" w:type="dxa"/>
            <w:vAlign w:val="bottom"/>
            <w:vMerge w:val="restart"/>
          </w:tcPr>
          <w:p>
            <w:pPr>
              <w:ind w:left="180"/>
              <w:spacing w:after="0"/>
              <w:rPr>
                <w:sz w:val="20"/>
                <w:szCs w:val="20"/>
                <w:color w:val="auto"/>
              </w:rPr>
            </w:pPr>
            <w:r>
              <w:rPr>
                <w:rFonts w:ascii="Arial" w:cs="Arial" w:eastAsia="Arial" w:hAnsi="Arial"/>
                <w:sz w:val="18"/>
                <w:szCs w:val="18"/>
                <w:color w:val="0000FF"/>
              </w:rPr>
              <w:t xml:space="preserve">A   </w:t>
            </w:r>
            <w:r>
              <w:rPr>
                <w:rFonts w:ascii="Arial" w:cs="Arial" w:eastAsia="Arial" w:hAnsi="Arial"/>
                <w:sz w:val="18"/>
                <w:szCs w:val="18"/>
                <w:color w:val="000000"/>
              </w:rPr>
              <w:t>$</w:t>
            </w:r>
            <w:r>
              <w:rPr>
                <w:rFonts w:ascii="Arial" w:cs="Arial" w:eastAsia="Arial" w:hAnsi="Arial"/>
                <w:sz w:val="18"/>
                <w:szCs w:val="18"/>
                <w:color w:val="0000FF"/>
              </w:rPr>
              <w:t>5.9601</w:t>
            </w:r>
            <w:r>
              <w:rPr>
                <w:rFonts w:ascii="Arial" w:cs="Arial" w:eastAsia="Arial" w:hAnsi="Arial"/>
                <w:sz w:val="22"/>
                <w:szCs w:val="22"/>
                <w:color w:val="008000"/>
                <w:vertAlign w:val="superscript"/>
              </w:rPr>
              <w:t>(10)</w:t>
            </w:r>
            <w:r>
              <w:rPr>
                <w:rFonts w:ascii="Arial" w:cs="Arial" w:eastAsia="Arial" w:hAnsi="Arial"/>
                <w:sz w:val="18"/>
                <w:szCs w:val="18"/>
                <w:color w:val="0000FF"/>
              </w:rPr>
              <w:t xml:space="preserve">     11,072,378</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0000FF"/>
              </w:rPr>
              <w:t>I</w:t>
            </w:r>
          </w:p>
        </w:tc>
        <w:tc>
          <w:tcPr>
            <w:tcW w:w="1220" w:type="dxa"/>
            <w:vAlign w:val="bottom"/>
          </w:tcPr>
          <w:p>
            <w:pPr>
              <w:ind w:left="260"/>
              <w:spacing w:after="0"/>
              <w:rPr>
                <w:sz w:val="20"/>
                <w:szCs w:val="20"/>
                <w:color w:val="auto"/>
              </w:rPr>
            </w:pPr>
            <w:r>
              <w:rPr>
                <w:rFonts w:ascii="Arial" w:cs="Arial" w:eastAsia="Arial" w:hAnsi="Arial"/>
                <w:sz w:val="18"/>
                <w:szCs w:val="18"/>
                <w:color w:val="0000FF"/>
                <w:w w:val="99"/>
              </w:rPr>
              <w:t>Accounts of</w:t>
            </w: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20"/>
                <w:szCs w:val="20"/>
                <w:color w:val="auto"/>
              </w:rPr>
            </w:pPr>
          </w:p>
        </w:tc>
        <w:tc>
          <w:tcPr>
            <w:tcW w:w="23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66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0000FF"/>
                <w:w w:val="90"/>
              </w:rPr>
              <w:t>Levin Capital</w:t>
            </w:r>
          </w:p>
        </w:tc>
        <w:tc>
          <w:tcPr>
            <w:tcW w:w="0" w:type="dxa"/>
            <w:vAlign w:val="bottom"/>
          </w:tcPr>
          <w:p>
            <w:pPr>
              <w:spacing w:after="0"/>
              <w:rPr>
                <w:sz w:val="1"/>
                <w:szCs w:val="1"/>
                <w:color w:val="auto"/>
              </w:rPr>
            </w:pPr>
          </w:p>
        </w:tc>
      </w:tr>
    </w:tbl>
    <w:p>
      <w:pPr>
        <w:ind w:left="10280"/>
        <w:spacing w:after="0"/>
        <w:rPr>
          <w:sz w:val="20"/>
          <w:szCs w:val="20"/>
          <w:color w:val="auto"/>
        </w:rPr>
      </w:pPr>
      <w:r>
        <w:rPr>
          <w:rFonts w:ascii="Arial" w:cs="Arial" w:eastAsia="Arial" w:hAnsi="Arial"/>
          <w:sz w:val="16"/>
          <w:szCs w:val="16"/>
          <w:color w:val="0000FF"/>
        </w:rPr>
        <w:t>Strategies, L.P.</w:t>
      </w:r>
    </w:p>
    <w:p>
      <w:pPr>
        <w:spacing w:after="0" w:line="21" w:lineRule="exact"/>
        <w:rPr>
          <w:sz w:val="20"/>
          <w:szCs w:val="20"/>
          <w:color w:val="auto"/>
        </w:rPr>
      </w:pPr>
    </w:p>
    <w:p>
      <w:pPr>
        <w:ind w:left="10280"/>
        <w:spacing w:after="0"/>
        <w:rPr>
          <w:sz w:val="20"/>
          <w:szCs w:val="20"/>
          <w:color w:val="auto"/>
        </w:rPr>
      </w:pPr>
      <w:r>
        <w:rPr>
          <w:rFonts w:ascii="Arial" w:cs="Arial" w:eastAsia="Arial" w:hAnsi="Arial"/>
          <w:sz w:val="11"/>
          <w:szCs w:val="11"/>
          <w:color w:val="008000"/>
        </w:rPr>
        <w:t>(3)(4)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7"/>
              </w:rPr>
              <w:t>89,363</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Master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w w:val="83"/>
              </w:rPr>
              <w:t>Ltd.</w:t>
            </w:r>
            <w:r>
              <w:rPr>
                <w:rFonts w:ascii="Arial" w:cs="Arial" w:eastAsia="Arial" w:hAnsi="Arial"/>
                <w:sz w:val="22"/>
                <w:szCs w:val="22"/>
                <w:color w:val="008000"/>
                <w:w w:val="83"/>
                <w:vertAlign w:val="superscript"/>
              </w:rPr>
              <w:t>(6)</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ind w:left="420"/>
              <w:spacing w:after="0"/>
              <w:rPr>
                <w:sz w:val="20"/>
                <w:szCs w:val="20"/>
                <w:color w:val="auto"/>
              </w:rPr>
            </w:pPr>
            <w:r>
              <w:rPr>
                <w:rFonts w:ascii="Arial" w:cs="Arial" w:eastAsia="Arial" w:hAnsi="Arial"/>
                <w:sz w:val="18"/>
                <w:szCs w:val="18"/>
                <w:color w:val="0000FF"/>
              </w:rPr>
              <w:t>By: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1,275,129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560" w:type="dxa"/>
            <w:vAlign w:val="bottom"/>
            <w:gridSpan w:val="3"/>
            <w:vMerge w:val="restart"/>
          </w:tcPr>
          <w:p>
            <w:pPr>
              <w:ind w:left="4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vMerge w:val="restart"/>
          </w:tcPr>
          <w:p>
            <w:pPr>
              <w:jc w:val="center"/>
              <w:ind w:left="224"/>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20"/>
              <w:spacing w:after="0"/>
              <w:rPr>
                <w:sz w:val="20"/>
                <w:szCs w:val="20"/>
                <w:color w:val="auto"/>
              </w:rPr>
            </w:pPr>
            <w:r>
              <w:rPr>
                <w:rFonts w:ascii="Arial" w:cs="Arial" w:eastAsia="Arial" w:hAnsi="Arial"/>
                <w:sz w:val="11"/>
                <w:szCs w:val="11"/>
                <w:color w:val="008000"/>
              </w:rPr>
              <w:t>(8)</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line="217" w:lineRule="exact"/>
              <w:rPr>
                <w:sz w:val="20"/>
                <w:szCs w:val="20"/>
                <w:color w:val="auto"/>
              </w:rPr>
            </w:pPr>
            <w:r>
              <w:rPr>
                <w:rFonts w:ascii="Arial" w:cs="Arial" w:eastAsia="Arial" w:hAnsi="Arial"/>
                <w:sz w:val="18"/>
                <w:szCs w:val="18"/>
                <w:color w:val="0000FF"/>
                <w:w w:val="91"/>
              </w:rPr>
              <w:t>Common Stock</w:t>
            </w:r>
            <w:r>
              <w:rPr>
                <w:rFonts w:ascii="Arial" w:cs="Arial" w:eastAsia="Arial" w:hAnsi="Arial"/>
                <w:sz w:val="22"/>
                <w:szCs w:val="22"/>
                <w:color w:val="008000"/>
                <w:w w:val="91"/>
                <w:vertAlign w:val="superscript"/>
              </w:rPr>
              <w:t>(1)(2)</w:t>
            </w: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jc w:val="center"/>
              <w:ind w:left="224"/>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4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20" w:type="dxa"/>
            <w:vAlign w:val="bottom"/>
            <w:gridSpan w:val="10"/>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16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Bi-Directional Disequilibrium Master Fund, Ltd.</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w w:val="95"/>
              </w:rPr>
            </w:pPr>
            <w:hyperlink r:id="rId18">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sectPr>
          <w:pgSz w:w="11900" w:h="16843" w:orient="portrait"/>
          <w:cols w:equalWidth="0" w:num="1">
            <w:col w:w="10199"/>
          </w:cols>
          <w:pgMar w:left="260" w:top="140" w:right="1440" w:bottom="0" w:gutter="0" w:footer="0" w:header="0"/>
        </w:sectPr>
      </w:pPr>
    </w:p>
    <w:p>
      <w:pPr>
        <w:ind w:left="100"/>
        <w:spacing w:after="0"/>
        <w:rPr>
          <w:sz w:val="20"/>
          <w:szCs w:val="20"/>
          <w:color w:val="auto"/>
        </w:rPr>
      </w:pPr>
      <w:r>
        <w:rPr>
          <w:rFonts w:ascii="Arial" w:cs="Arial" w:eastAsia="Arial" w:hAnsi="Arial"/>
          <w:sz w:val="16"/>
          <w:szCs w:val="16"/>
          <w:color w:val="0000FF"/>
        </w:rPr>
        <w:t>595 MADISON AVENUE</w:t>
      </w:r>
    </w:p>
    <w:p>
      <w:pPr>
        <w:sectPr>
          <w:pgSz w:w="11900" w:h="16843" w:orient="portrait"/>
          <w:cols w:equalWidth="0" w:num="1">
            <w:col w:w="10199"/>
          </w:cols>
          <w:pgMar w:left="260" w:top="140"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600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924175" cy="4600575"/>
                    </a:xfrm>
                    <a:prstGeom prst="rect">
                      <a:avLst/>
                    </a:prstGeom>
                    <a:noFill/>
                  </pic:spPr>
                </pic:pic>
              </a:graphicData>
            </a:graphic>
          </wp:anchor>
        </w:drawing>
        <w:t>17TH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right="22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10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right="8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$5.94 to $5.97.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ectPr>
          <w:pgSz w:w="11900" w:h="16838" w:orient="portrait"/>
          <w:cols w:equalWidth="0" w:num="1">
            <w:col w:w="11340"/>
          </w:cols>
          <w:pgMar w:left="260" w:top="158" w:right="299" w:bottom="0"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Master Fund, Ltd.;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5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LLC; 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54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04/30/2018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04/30/2018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04/30/2018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9060" w:space="80"/>
            <w:col w:w="2200"/>
          </w:cols>
          <w:pgMar w:left="260" w:top="158" w:right="299" w:bottom="0" w:gutter="0" w:footer="0" w:header="0"/>
          <w:type w:val="continuous"/>
        </w:sectPr>
      </w:pPr>
    </w:p>
    <w:p>
      <w:pPr>
        <w:ind w:left="684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8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04/30/2018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04/30/2018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04/30/2018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20" w:space="120"/>
            <w:col w:w="2200"/>
          </w:cols>
          <w:pgMar w:left="260" w:top="158"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57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04/30/2018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04/30/2018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04/30/2018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1"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0" Type="http://schemas.openxmlformats.org/officeDocument/2006/relationships/hyperlink" Target="http://www.sec.gov/cgi-bin/browse-edgar?action=getcompany&amp;CIK=0001539456" TargetMode="External"/><Relationship Id="rId22"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2019-12-23T16:25:12Z</dcterms:created>
  <dcterms:modified xsi:type="dcterms:W3CDTF">2019-12-23T16:25:12Z</dcterms:modified>
</cp:coreProperties>
</file>