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12/26/2017</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6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0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vMerge w:val="restart"/>
          </w:tcPr>
          <w:p>
            <w:pPr>
              <w:jc w:val="center"/>
              <w:ind w:left="466"/>
              <w:spacing w:after="0"/>
              <w:rPr>
                <w:sz w:val="20"/>
                <w:szCs w:val="20"/>
                <w:color w:val="auto"/>
              </w:rPr>
            </w:pPr>
            <w:r>
              <w:rPr>
                <w:rFonts w:ascii="Arial" w:cs="Arial" w:eastAsia="Arial" w:hAnsi="Arial"/>
                <w:sz w:val="18"/>
                <w:szCs w:val="18"/>
                <w:color w:val="0000FF"/>
                <w:w w:val="88"/>
              </w:rPr>
              <w:t>12/26/2017</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5,755</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5.9961</w:t>
            </w:r>
            <w:r>
              <w:rPr>
                <w:rFonts w:ascii="Arial" w:cs="Arial" w:eastAsia="Arial" w:hAnsi="Arial"/>
                <w:sz w:val="22"/>
                <w:szCs w:val="22"/>
                <w:color w:val="008000"/>
                <w:w w:val="84"/>
                <w:vertAlign w:val="superscript"/>
              </w:rPr>
              <w:t>(9)</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10,372,892</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vMerge w:val="restart"/>
          </w:tcPr>
          <w:p>
            <w:pPr>
              <w:jc w:val="center"/>
              <w:ind w:left="466"/>
              <w:spacing w:after="0"/>
              <w:rPr>
                <w:sz w:val="20"/>
                <w:szCs w:val="20"/>
                <w:color w:val="auto"/>
              </w:rPr>
            </w:pPr>
            <w:r>
              <w:rPr>
                <w:rFonts w:ascii="Arial" w:cs="Arial" w:eastAsia="Arial" w:hAnsi="Arial"/>
                <w:sz w:val="18"/>
                <w:szCs w:val="18"/>
                <w:color w:val="0000FF"/>
                <w:w w:val="88"/>
              </w:rPr>
              <w:t>12/27/2017</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6,957</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5.9389</w:t>
            </w:r>
            <w:r>
              <w:rPr>
                <w:rFonts w:ascii="Arial" w:cs="Arial" w:eastAsia="Arial" w:hAnsi="Arial"/>
                <w:sz w:val="22"/>
                <w:szCs w:val="22"/>
                <w:color w:val="008000"/>
                <w:w w:val="85"/>
                <w:vertAlign w:val="superscript"/>
              </w:rPr>
              <w:t>(10)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10,379,849</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vMerge w:val="restart"/>
          </w:tcPr>
          <w:p>
            <w:pPr>
              <w:jc w:val="center"/>
              <w:ind w:left="466"/>
              <w:spacing w:after="0"/>
              <w:rPr>
                <w:sz w:val="20"/>
                <w:szCs w:val="20"/>
                <w:color w:val="auto"/>
              </w:rPr>
            </w:pPr>
            <w:r>
              <w:rPr>
                <w:rFonts w:ascii="Arial" w:cs="Arial" w:eastAsia="Arial" w:hAnsi="Arial"/>
                <w:sz w:val="18"/>
                <w:szCs w:val="18"/>
                <w:color w:val="0000FF"/>
                <w:w w:val="88"/>
              </w:rPr>
              <w:t>12/27/2017</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7"/>
              </w:rPr>
              <w:t>14,388</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5.8138</w:t>
            </w:r>
            <w:r>
              <w:rPr>
                <w:rFonts w:ascii="Arial" w:cs="Arial" w:eastAsia="Arial" w:hAnsi="Arial"/>
                <w:sz w:val="22"/>
                <w:szCs w:val="22"/>
                <w:color w:val="008000"/>
                <w:w w:val="83"/>
                <w:vertAlign w:val="superscript"/>
              </w:rPr>
              <w:t>(11)</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1,181,345</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w w:val="90"/>
              </w:rPr>
              <w:t>Transamerica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Large Cap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Value Fund</w:t>
            </w:r>
            <w:r>
              <w:rPr>
                <w:rFonts w:ascii="Arial" w:cs="Arial" w:eastAsia="Arial" w:hAnsi="Arial"/>
                <w:sz w:val="22"/>
                <w:szCs w:val="22"/>
                <w:color w:val="008000"/>
                <w:w w:val="9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 Levin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82,884</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Trilogy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Master 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 Levcap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56,820</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Alternative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Fund, L.P.</w:t>
            </w:r>
            <w:r>
              <w:rPr>
                <w:rFonts w:ascii="Arial" w:cs="Arial" w:eastAsia="Arial" w:hAnsi="Arial"/>
                <w:sz w:val="22"/>
                <w:szCs w:val="22"/>
                <w:color w:val="008000"/>
                <w:w w:val="98"/>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19,818</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By: Safinia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0"/>
              </w:rPr>
              <w:t>Partners,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ind w:left="60"/>
              <w:spacing w:after="0"/>
              <w:rPr>
                <w:sz w:val="20"/>
                <w:szCs w:val="20"/>
                <w:color w:val="auto"/>
              </w:rPr>
            </w:pPr>
            <w:r>
              <w:rPr>
                <w:rFonts w:ascii="Arial" w:cs="Arial" w:eastAsia="Arial" w:hAnsi="Arial"/>
                <w:sz w:val="11"/>
                <w:szCs w:val="11"/>
                <w:color w:val="008000"/>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8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Levin Capital Trilogy Master Fund, Ltd.</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8">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0219"/>
          </w:cols>
          <w:pgMar w:left="240" w:top="140" w:right="1440" w:bottom="0" w:gutter="0" w:footer="0" w:header="0"/>
        </w:sectPr>
      </w:pPr>
    </w:p>
    <w:bookmarkStart w:id="2" w:name="page3"/>
    <w:bookmarkEnd w:id="2"/>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Safinia Partners,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526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924175" cy="526097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4 is filed jointly by Levin Capital Strategies, L.P. ("LCS"), Levin Capital Strategies GP, LLC ("LCS GP"), Levin Capital Trilogy Master Fund, Ltd. ("Trilogy"),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31" w:lineRule="exact"/>
        <w:rPr>
          <w:rFonts w:ascii="Arial" w:cs="Arial" w:eastAsia="Arial" w:hAnsi="Arial"/>
          <w:sz w:val="14"/>
          <w:szCs w:val="14"/>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Trilogy,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Trilogy,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Trilogy. LCSL, as the general partner of the domestic feeder fund which owns a controlling interest in Trilogy, may be deemed to share voting and dispositive power over the shares owned directly by Trilogy. LCS, as the investment advisor of Trilogy, may be deemed to share voting and dispositive power over the shares owned directly by Trilogy. Mr. Levin, as the Chief Executive Officer of LCS, may be deemed to share voting and dispositive power over the shares owned directly by Trilogy.</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20" w:right="1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purchased in multiple transactions at prices ranging from $5.99 to $6.00.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9.</w:t>
      </w:r>
    </w:p>
    <w:p>
      <w:pPr>
        <w:spacing w:after="0" w:line="30" w:lineRule="exact"/>
        <w:rPr>
          <w:rFonts w:ascii="Arial" w:cs="Arial" w:eastAsia="Arial" w:hAnsi="Arial"/>
          <w:sz w:val="14"/>
          <w:szCs w:val="14"/>
          <w:color w:val="008000"/>
        </w:rPr>
      </w:pPr>
    </w:p>
    <w:p>
      <w:pPr>
        <w:ind w:left="20" w:right="8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$5.79 to $6.00.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10.</w:t>
      </w:r>
    </w:p>
    <w:p>
      <w:pPr>
        <w:spacing w:after="0" w:line="2" w:lineRule="exact"/>
        <w:rPr>
          <w:rFonts w:ascii="Arial" w:cs="Arial" w:eastAsia="Arial" w:hAnsi="Arial"/>
          <w:sz w:val="12"/>
          <w:szCs w:val="12"/>
          <w:color w:val="008000"/>
        </w:rPr>
      </w:pPr>
    </w:p>
    <w:p>
      <w:pPr>
        <w:ind w:left="20" w:right="80" w:firstLine="9"/>
        <w:spacing w:after="0" w:line="288"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$5.79 to $5.83.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11.</w:t>
      </w:r>
    </w:p>
    <w:p>
      <w:pPr>
        <w:sectPr>
          <w:pgSz w:w="11900" w:h="16838" w:orient="portrait"/>
          <w:cols w:equalWidth="0" w:num="1">
            <w:col w:w="11340"/>
          </w:cols>
          <w:pgMar w:left="260" w:top="118" w:right="299" w:bottom="0" w:gutter="0" w:footer="0" w:header="0"/>
        </w:sectPr>
      </w:pP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Trilogy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05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Fund, Ltd.; By: LCS,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000FF"/>
        </w:rPr>
        <w:t>12/28/2017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12/28/2017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60" w:space="80"/>
            <w:col w:w="2200"/>
          </w:cols>
          <w:pgMar w:left="260" w:top="118"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757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988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12/28/2017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12/28/2017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12/28/2017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12/28/2017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12/28/2017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2"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474048" TargetMode="External"/><Relationship Id="rId19" Type="http://schemas.openxmlformats.org/officeDocument/2006/relationships/hyperlink" Target="http://www.sec.gov/cgi-bin/browse-edgar?action=getcompany&amp;CIK=0001688302" TargetMode="External"/><Relationship Id="rId21" Type="http://schemas.openxmlformats.org/officeDocument/2006/relationships/hyperlink" Target="http://www.sec.gov/cgi-bin/browse-edgar?action=getcompany&amp;CIK=0001539456" TargetMode="External"/><Relationship Id="rId23" Type="http://schemas.openxmlformats.org/officeDocument/2006/relationships/hyperlink" Target="http://www.sec.gov/cgi-bin/browse-edgar?action=getcompany&amp;CIK=0001688301" TargetMode="External"/><Relationship Id="rId24"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2019-12-23T16:26:01Z</dcterms:created>
  <dcterms:modified xsi:type="dcterms:W3CDTF">2019-12-23T16:26:01Z</dcterms:modified>
</cp:coreProperties>
</file>