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jc w:val="left"/>
        <w:rPr/>
      </w:pPr>
      <w:bookmarkStart w:id="0" w:name="lab-20250801.htm"/>
      <w:bookmarkStart w:id="1" w:name="kslab20250801"/>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color w:val="000000"/>
          <w:sz w:val="20"/>
        </w:rPr>
      </w:pPr>
      <w:r>
        <w:rPr>
          <w:rFonts w:ascii="Times New Roman" w:hAnsi="Times New Roman"/>
          <w:color w:val="000000"/>
          <w:sz w:val="20"/>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July 29, 2025</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2506"/>
        <w:gridCol w:w="2296"/>
        <w:gridCol w:w="3391"/>
      </w:tblGrid>
      <w:tr>
        <w:trPr/>
        <w:tc>
          <w:tcPr>
            <w:tcW w:w="250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w:t>
            </w:r>
          </w:p>
        </w:tc>
        <w:tc>
          <w:tcPr>
            <w:tcW w:w="22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r>
        <w:trPr/>
        <w:tc>
          <w:tcPr>
            <w:tcW w:w="8193"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 Tower Place, Suite 2000</w:t>
            </w:r>
          </w:p>
          <w:p>
            <w:pPr>
              <w:pStyle w:val="TableContents"/>
              <w:bidi w:val="0"/>
              <w:spacing w:before="0" w:after="283"/>
              <w:jc w:val="center"/>
              <w:rPr>
                <w:rFonts w:ascii="Times New Roman" w:hAnsi="Times New Roman"/>
                <w:sz w:val="20"/>
              </w:rPr>
            </w:pPr>
            <w:r>
              <w:rPr>
                <w:rFonts w:ascii="Times New Roman" w:hAnsi="Times New Roman"/>
                <w:b/>
                <w:color w:val="000000"/>
                <w:sz w:val="20"/>
              </w:rPr>
              <w:t>South San Francisco, California</w:t>
            </w:r>
            <w:r>
              <w:rPr>
                <w:rFonts w:ascii="Times New Roman" w:hAnsi="Times New Roman"/>
                <w:color w:val="000000"/>
                <w:sz w:val="20"/>
              </w:rPr>
              <w:t xml:space="preserve"> </w:t>
            </w:r>
            <w:r>
              <w:rPr>
                <w:rFonts w:ascii="Times New Roman" w:hAnsi="Times New Roman"/>
                <w:b/>
                <w:color w:val="000000"/>
                <w:sz w:val="20"/>
              </w:rPr>
              <w:t>94080</w:t>
            </w:r>
          </w:p>
        </w:tc>
      </w:tr>
      <w:tr>
        <w:trPr/>
        <w:tc>
          <w:tcPr>
            <w:tcW w:w="8193" w:type="dxa"/>
            <w:gridSpan w:val="3"/>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(Address of principal executive offices and zip code)</w:t>
            </w:r>
          </w:p>
        </w:tc>
      </w:tr>
      <w:tr>
        <w:trPr/>
        <w:tc>
          <w:tcPr>
            <w:tcW w:w="819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19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July 29, 2025, the Board of Directors (the “Board”) of Standard BioTools Inc. (the “Company”) approved restricted stock unit (“RSU”) retention awards for Michael Egholm, Ph.D., President &amp; Chief Executive Officer of the Company, and Alex Kim, Chief Financial Officer of the Company, under the Company’s Amended and Restated 2011 Equity Incentive Plan, as amended (the “2011 Plan”), effective as of August 1, 2025, consisting of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to Dr. Egholm remaining actively employed with the Company through the applicable vesting dates, Dr. Egholm shall receive 3,000,000 RSUs, with 25% of the shares underlying the RSUs vesting on August 1, 2026, and the remaining 75% of the shares underlying the RSUs vesting in three equal annual installments thereafter.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Mr. Kim remaining actively employed with the Company through the applicable vesting dates, Mr. Kim shall receive 1,500,000 RSUs, with 40% of the shares underlying the RSUs vesting on July 20, 2026, and the remaining 60% of the shares underlying the RSUs vesting on July 20, 2027.</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RSU retention awards are subject to the terms and conditions of the 2011 Plan and the applicable RSU award agreements thereunder. The RSU retention awards are also subject to the provisions of the Company’s 2023 Change of Control and Severance Plan and 2024 Change of Control and Severance Plan, as applicable, under which Dr. Egholm and Mr. Kim participate, respectively, and their respective Participation Agreements thereunder. </w:t>
      </w:r>
    </w:p>
    <w:p>
      <w:pPr>
        <w:pStyle w:val="TextBody"/>
        <w:bidi w:val="0"/>
        <w:jc w:val="left"/>
        <w:rPr>
          <w:rFonts w:ascii="Times New Roman" w:hAnsi="Times New Roman"/>
          <w:color w:val="000000"/>
          <w:sz w:val="20"/>
        </w:rPr>
      </w:pPr>
      <w:r>
        <w:rPr>
          <w:rFonts w:ascii="Times New Roman" w:hAnsi="Times New Roman"/>
          <w:color w:val="000000"/>
          <w:sz w:val="20"/>
        </w:rPr>
        <w:t>Additionally, on August 1, 2025, the Human Capital Committee of the Board approved an increase to the target amount of the annual performance bonus for Mr. Kim to 80% of Mr. Kim’s base salary, effective as of January 1, 2025.</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20"/>
        <w:jc w:val="left"/>
        <w:rPr/>
      </w:pPr>
      <w:r>
        <w:rPr/>
        <w:t> </w:t>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20"/>
        <w:jc w:val="left"/>
        <w:rPr/>
      </w:pPr>
      <w:r>
        <w:rPr/>
        <w:t> </w:t>
      </w:r>
    </w:p>
    <w:tbl>
      <w:tblPr>
        <w:tblW w:w="5067" w:type="dxa"/>
        <w:jc w:val="left"/>
        <w:tblInd w:w="0" w:type="dxa"/>
        <w:tblLayout w:type="fixed"/>
        <w:tblCellMar>
          <w:top w:w="28" w:type="dxa"/>
          <w:left w:w="28" w:type="dxa"/>
          <w:bottom w:w="28" w:type="dxa"/>
          <w:right w:w="28" w:type="dxa"/>
        </w:tblCellMar>
      </w:tblPr>
      <w:tblGrid>
        <w:gridCol w:w="556"/>
        <w:gridCol w:w="146"/>
        <w:gridCol w:w="1351"/>
        <w:gridCol w:w="166"/>
        <w:gridCol w:w="651"/>
        <w:gridCol w:w="166"/>
        <w:gridCol w:w="203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 2025</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84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/s/ Alex Kim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Alex Kim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0" w:after="12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3471</Characters>
  <CharactersWithSpaces>4103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