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09/05/2018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840" w:type="dxa"/>
            <w:vAlign w:val="bottom"/>
            <w:gridSpan w:val="2"/>
            <w:vMerge w:val="restart"/>
          </w:tcPr>
          <w:p>
            <w:pPr>
              <w:ind w:left="460"/>
              <w:spacing w:after="0"/>
              <w:rPr>
                <w:sz w:val="20"/>
                <w:szCs w:val="20"/>
                <w:color w:val="auto"/>
              </w:rPr>
            </w:pPr>
            <w:r>
              <w:rPr>
                <w:rFonts w:ascii="Arial" w:cs="Arial" w:eastAsia="Arial" w:hAnsi="Arial"/>
                <w:sz w:val="18"/>
                <w:szCs w:val="18"/>
                <w:color w:val="0000FF"/>
              </w:rPr>
              <w:t>09/05/2018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ind w:left="760"/>
              <w:spacing w:after="0"/>
              <w:rPr>
                <w:sz w:val="20"/>
                <w:szCs w:val="20"/>
                <w:color w:val="auto"/>
              </w:rPr>
            </w:pPr>
            <w:r>
              <w:rPr>
                <w:rFonts w:ascii="Arial" w:cs="Arial" w:eastAsia="Arial" w:hAnsi="Arial"/>
                <w:sz w:val="14"/>
                <w:szCs w:val="14"/>
                <w:color w:val="0000FF"/>
                <w:w w:val="85"/>
              </w:rPr>
              <w:t>P</w:t>
            </w:r>
          </w:p>
        </w:tc>
        <w:tc>
          <w:tcPr>
            <w:tcW w:w="740" w:type="dxa"/>
            <w:vAlign w:val="bottom"/>
          </w:tcPr>
          <w:p>
            <w:pPr>
              <w:spacing w:after="0"/>
              <w:rPr>
                <w:sz w:val="18"/>
                <w:szCs w:val="18"/>
                <w:color w:val="auto"/>
              </w:rPr>
            </w:pPr>
          </w:p>
        </w:tc>
        <w:tc>
          <w:tcPr>
            <w:tcW w:w="720" w:type="dxa"/>
            <w:vAlign w:val="bottom"/>
            <w:vMerge w:val="restart"/>
          </w:tcPr>
          <w:p>
            <w:pPr>
              <w:jc w:val="right"/>
              <w:ind w:right="326"/>
              <w:spacing w:after="0"/>
              <w:rPr>
                <w:sz w:val="20"/>
                <w:szCs w:val="20"/>
                <w:color w:val="auto"/>
              </w:rPr>
            </w:pPr>
            <w:r>
              <w:rPr>
                <w:rFonts w:ascii="Arial" w:cs="Arial" w:eastAsia="Arial" w:hAnsi="Arial"/>
                <w:sz w:val="18"/>
                <w:szCs w:val="18"/>
                <w:color w:val="0000FF"/>
                <w:w w:val="99"/>
              </w:rPr>
              <w:t>152</w:t>
            </w: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A</w:t>
            </w:r>
          </w:p>
        </w:tc>
        <w:tc>
          <w:tcPr>
            <w:tcW w:w="740" w:type="dxa"/>
            <w:vAlign w:val="bottom"/>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7.8499</w:t>
            </w:r>
          </w:p>
        </w:tc>
        <w:tc>
          <w:tcPr>
            <w:tcW w:w="1540" w:type="dxa"/>
            <w:vAlign w:val="bottom"/>
            <w:gridSpan w:val="2"/>
            <w:vMerge w:val="restart"/>
          </w:tcPr>
          <w:p>
            <w:pPr>
              <w:jc w:val="center"/>
              <w:ind w:right="439"/>
              <w:spacing w:after="0"/>
              <w:rPr>
                <w:sz w:val="20"/>
                <w:szCs w:val="20"/>
                <w:color w:val="auto"/>
              </w:rPr>
            </w:pPr>
            <w:r>
              <w:rPr>
                <w:rFonts w:ascii="Arial" w:cs="Arial" w:eastAsia="Arial" w:hAnsi="Arial"/>
                <w:sz w:val="18"/>
                <w:szCs w:val="18"/>
                <w:color w:val="0000FF"/>
                <w:w w:val="88"/>
              </w:rPr>
              <w:t>11,465,818</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840" w:type="dxa"/>
            <w:vAlign w:val="bottom"/>
            <w:gridSpan w:val="2"/>
            <w:vMerge w:val="restart"/>
          </w:tcPr>
          <w:p>
            <w:pPr>
              <w:ind w:left="460"/>
              <w:spacing w:after="0"/>
              <w:rPr>
                <w:sz w:val="20"/>
                <w:szCs w:val="20"/>
                <w:color w:val="auto"/>
              </w:rPr>
            </w:pPr>
            <w:r>
              <w:rPr>
                <w:rFonts w:ascii="Arial" w:cs="Arial" w:eastAsia="Arial" w:hAnsi="Arial"/>
                <w:sz w:val="18"/>
                <w:szCs w:val="18"/>
                <w:color w:val="0000FF"/>
              </w:rPr>
              <w:t>09/06/2018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ind w:left="760"/>
              <w:spacing w:after="0"/>
              <w:rPr>
                <w:sz w:val="20"/>
                <w:szCs w:val="20"/>
                <w:color w:val="auto"/>
              </w:rPr>
            </w:pPr>
            <w:r>
              <w:rPr>
                <w:rFonts w:ascii="Arial" w:cs="Arial" w:eastAsia="Arial" w:hAnsi="Arial"/>
                <w:sz w:val="14"/>
                <w:szCs w:val="14"/>
                <w:color w:val="0000FF"/>
                <w:w w:val="85"/>
              </w:rPr>
              <w:t>P</w:t>
            </w:r>
          </w:p>
        </w:tc>
        <w:tc>
          <w:tcPr>
            <w:tcW w:w="740" w:type="dxa"/>
            <w:vAlign w:val="bottom"/>
          </w:tcPr>
          <w:p>
            <w:pPr>
              <w:spacing w:after="0"/>
              <w:rPr>
                <w:sz w:val="18"/>
                <w:szCs w:val="18"/>
                <w:color w:val="auto"/>
              </w:rPr>
            </w:pPr>
          </w:p>
        </w:tc>
        <w:tc>
          <w:tcPr>
            <w:tcW w:w="720" w:type="dxa"/>
            <w:vAlign w:val="bottom"/>
            <w:vMerge w:val="restart"/>
          </w:tcPr>
          <w:p>
            <w:pPr>
              <w:jc w:val="right"/>
              <w:ind w:right="366"/>
              <w:spacing w:after="0"/>
              <w:rPr>
                <w:sz w:val="20"/>
                <w:szCs w:val="20"/>
                <w:color w:val="auto"/>
              </w:rPr>
            </w:pPr>
            <w:r>
              <w:rPr>
                <w:rFonts w:ascii="Arial" w:cs="Arial" w:eastAsia="Arial" w:hAnsi="Arial"/>
                <w:sz w:val="18"/>
                <w:szCs w:val="18"/>
                <w:color w:val="0000FF"/>
              </w:rPr>
              <w:t>49</w:t>
            </w: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A</w:t>
            </w:r>
          </w:p>
        </w:tc>
        <w:tc>
          <w:tcPr>
            <w:tcW w:w="740" w:type="dxa"/>
            <w:vAlign w:val="bottom"/>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7.8399</w:t>
            </w:r>
          </w:p>
        </w:tc>
        <w:tc>
          <w:tcPr>
            <w:tcW w:w="1540" w:type="dxa"/>
            <w:vAlign w:val="bottom"/>
            <w:gridSpan w:val="2"/>
            <w:vMerge w:val="restart"/>
          </w:tcPr>
          <w:p>
            <w:pPr>
              <w:jc w:val="center"/>
              <w:ind w:right="439"/>
              <w:spacing w:after="0"/>
              <w:rPr>
                <w:sz w:val="20"/>
                <w:szCs w:val="20"/>
                <w:color w:val="auto"/>
              </w:rPr>
            </w:pPr>
            <w:r>
              <w:rPr>
                <w:rFonts w:ascii="Arial" w:cs="Arial" w:eastAsia="Arial" w:hAnsi="Arial"/>
                <w:sz w:val="18"/>
                <w:szCs w:val="18"/>
                <w:color w:val="0000FF"/>
                <w:w w:val="88"/>
              </w:rPr>
              <w:t>11,465,867</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jc w:val="center"/>
              <w:ind w:left="182"/>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0000FF"/>
              </w:rPr>
              <w:t>By:</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gridSpan w:val="2"/>
            <w:vMerge w:val="restart"/>
          </w:tcPr>
          <w:p>
            <w:pPr>
              <w:jc w:val="center"/>
              <w:ind w:right="459"/>
              <w:spacing w:after="0"/>
              <w:rPr>
                <w:sz w:val="20"/>
                <w:szCs w:val="20"/>
                <w:color w:val="auto"/>
              </w:rPr>
            </w:pPr>
            <w:r>
              <w:rPr>
                <w:rFonts w:ascii="Arial" w:cs="Arial" w:eastAsia="Arial" w:hAnsi="Arial"/>
                <w:sz w:val="18"/>
                <w:szCs w:val="18"/>
                <w:color w:val="0000FF"/>
                <w:w w:val="87"/>
              </w:rPr>
              <w:t>1,305,269</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jc w:val="center"/>
              <w:ind w:left="182"/>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vMerge w:val="restart"/>
          </w:tcPr>
          <w:p>
            <w:pPr>
              <w:jc w:val="center"/>
              <w:ind w:left="182"/>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jc w:val="center"/>
              <w:ind w:left="182"/>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3"/>
              </w:rPr>
              <w:t>Form:</w:t>
            </w:r>
          </w:p>
        </w:tc>
        <w:tc>
          <w:tcPr>
            <w:tcW w:w="3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Bi-Directional Disequilibrium Fund, L.P.</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0219"/>
          </w:cols>
          <w:pgMar w:left="240" w:top="140" w:right="1440" w:bottom="0" w:gutter="0" w:footer="0" w:header="0"/>
        </w:sectPr>
      </w:pPr>
    </w:p>
    <w:bookmarkStart w:id="2" w:name="page3"/>
    <w:bookmarkEnd w:id="2"/>
    <w:p>
      <w:pPr>
        <w:spacing w:after="0" w:line="79" w:lineRule="exact"/>
        <w:rPr>
          <w:sz w:val="20"/>
          <w:szCs w:val="20"/>
          <w:color w:val="auto"/>
        </w:rPr>
      </w:pPr>
    </w:p>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LCS L/S,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451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924175" cy="345186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Fund, L.P. ("BDD")(formerly known as Levin Capital Trilogy Master Fund, Ltd.),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ind w:left="20" w:right="2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ectPr>
          <w:pgSz w:w="11900" w:h="16918" w:orient="portrait"/>
          <w:cols w:equalWidth="0" w:num="1">
            <w:col w:w="11340"/>
          </w:cols>
          <w:pgMar w:left="260" w:top="118" w:right="299" w:bottom="0" w:gutter="0" w:footer="0" w:header="0"/>
        </w:sectPr>
      </w:pPr>
    </w:p>
    <w:p>
      <w:pPr>
        <w:spacing w:after="0" w:line="7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Fund, L.P.; By: LCS;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3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23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0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74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677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09/07/2018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09/07/2018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09/07/2018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09/07/2018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09/07/2018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09/07/2018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09/07/2018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09/07/2018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918" w:orient="portrait"/>
          <w:cols w:equalWidth="0" w:num="2">
            <w:col w:w="9060" w:space="80"/>
            <w:col w:w="2200"/>
          </w:cols>
          <w:pgMar w:left="260" w:top="118" w:right="299" w:bottom="0" w:gutter="0" w:footer="0" w:header="0"/>
          <w:type w:val="continuous"/>
        </w:sectPr>
      </w:pPr>
    </w:p>
    <w:p>
      <w:pPr>
        <w:jc w:val="right"/>
        <w:ind w:right="1920"/>
        <w:spacing w:after="0"/>
        <w:tabs>
          <w:tab w:leader="none" w:pos="26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418"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18" w:orient="portrait"/>
          <w:cols w:equalWidth="0" w:num="1">
            <w:col w:w="11340"/>
          </w:cols>
          <w:pgMar w:left="260" w:top="118" w:right="299" w:bottom="0" w:gutter="0" w:footer="0" w:header="0"/>
          <w:type w:val="continuous"/>
        </w:sectPr>
      </w:pPr>
    </w:p>
    <w:bookmarkStart w:id="3" w:name="page4"/>
    <w:bookmarkEnd w:id="3"/>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2"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474048" TargetMode="External"/><Relationship Id="rId18" Type="http://schemas.openxmlformats.org/officeDocument/2006/relationships/hyperlink" Target="http://www.sec.gov/cgi-bin/browse-edgar?action=getcompany&amp;CIK=0001688302" TargetMode="External"/><Relationship Id="rId19" Type="http://schemas.openxmlformats.org/officeDocument/2006/relationships/hyperlink" Target="http://www.sec.gov/cgi-bin/browse-edgar?action=getcompany&amp;CIK=0001539456" TargetMode="External"/><Relationship Id="rId21"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2019-12-23T16:25:46Z</dcterms:created>
  <dcterms:modified xsi:type="dcterms:W3CDTF">2019-12-23T16:25:46Z</dcterms:modified>
</cp:coreProperties>
</file>