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1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18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HIBBS KATHY 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 TOWER PLACE, STE 2000</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60" w:type="dxa"/>
            <w:vAlign w:val="bottom"/>
          </w:tcPr>
          <w:p>
            <w:pPr>
              <w:spacing w:after="0"/>
              <w:rPr>
                <w:sz w:val="18"/>
                <w:szCs w:val="18"/>
                <w:color w:val="auto"/>
              </w:rPr>
            </w:pP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06/28/2024</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06/28/2024</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43,128</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43,128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1.77</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06/28/2024</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72,213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06/28/2034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72,213</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72,213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28, 2025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declined and forfeited the 79,412 RSUs previously granted to the Reporting Person on January 5, 2024 in connection with the transactions contemplated by the Agreement and Plan of Merger, dated October 4, 2023, by and among Standard BioTools Inc., Martis Merger Sub, Inc. and SomaLogic, Inc.</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28, 2024, subject to the Reporting Person's continued service through the applicable vesting date.</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Kathy L. Hibbs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19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Agnieszka Gallagher, Attorney- 07/02/2024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748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2024-07-02T16:41:36Z</dcterms:created>
  <dcterms:modified xsi:type="dcterms:W3CDTF">2024-07-02T16:41:36Z</dcterms:modified>
</cp:coreProperties>
</file>