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November 1,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1, 2018, Fluidigm Corporation issued a press release reporting its financial results for the third quarter ended September 30, 2018.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Fluidigm Corporation Press Release dated November 1, 2018</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18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 2018</w:t>
            </w:r>
          </w:p>
        </w:tc>
        <w:tc>
          <w:tcPr>
            <w:tcW w:w="7760" w:type="dxa"/>
            <w:vAlign w:val="bottom"/>
            <w:gridSpan w:val="3"/>
          </w:tcPr>
          <w:p>
            <w:pPr>
              <w:ind w:left="1880"/>
              <w:spacing w:after="0"/>
              <w:rPr>
                <w:sz w:val="20"/>
                <w:szCs w:val="20"/>
                <w:color w:val="auto"/>
              </w:rPr>
            </w:pPr>
            <w:r>
              <w:rPr>
                <w:rFonts w:ascii="Arial" w:cs="Arial" w:eastAsia="Arial" w:hAnsi="Arial"/>
                <w:sz w:val="18"/>
                <w:szCs w:val="18"/>
                <w:color w:val="auto"/>
              </w:rPr>
              <w:t>By: /s/ Vikram Jog</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6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Fluidigm Corporation Press Release dated November 1, 2018</w:t>
        </w:r>
      </w:hyperlink>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Third Quarter 2018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Total revenue increases 17 percent to $29.0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Mass cytometry revenue growth of 50 percent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Instrument revenue growth of 32 percent</w:t>
      </w:r>
    </w:p>
    <w:p>
      <w:pPr>
        <w:spacing w:after="0" w:line="20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SOUTH SAN FRANCISCO, Calif., Nov. 01, 2018 (GLOBE NEWSWIRE) -- Fluidigm Corporation (NASDAQ:FLDM) today announced financial results for the third quarter ended September 30,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Highlights</w:t>
      </w:r>
    </w:p>
    <w:p>
      <w:pPr>
        <w:spacing w:after="0" w:line="212" w:lineRule="exact"/>
        <w:rPr>
          <w:sz w:val="20"/>
          <w:szCs w:val="20"/>
          <w:color w:val="auto"/>
        </w:rPr>
      </w:pPr>
    </w:p>
    <w:p>
      <w:pPr>
        <w:ind w:left="540" w:right="440"/>
        <w:spacing w:after="0" w:line="287" w:lineRule="auto"/>
        <w:rPr>
          <w:sz w:val="20"/>
          <w:szCs w:val="20"/>
          <w:color w:val="auto"/>
        </w:rPr>
      </w:pPr>
      <w:r>
        <w:rPr>
          <w:rFonts w:ascii="Arial" w:cs="Arial" w:eastAsia="Arial" w:hAnsi="Arial"/>
          <w:sz w:val="19"/>
          <w:szCs w:val="19"/>
          <w:color w:val="auto"/>
        </w:rPr>
        <w:t>Total revenue increased 17 percent to $29.0 million from $24.7 million in the third quarter of 2017, with mass cytometry revenue growth of 50 percent and total instrument revenue growth of 32 percent compared to the year ago period. GAAP net loss was $14.8 million, compared with a GAAP net loss of $15.9 million for the third quarter of 2017. Non-GAAP net loss was $5.2 million, compared with a $8.6 million non-GAAP net loss for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-293370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-139065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3"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“We are pleased with the strong operational performance this quarter driven by revenue growth around the world, led by mass cytometry,” said Chris Linthwaite, President and CEO.</w:t>
      </w:r>
    </w:p>
    <w:p>
      <w:pPr>
        <w:spacing w:after="0" w:line="200"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“This quarter, we delivered robust global sales in mass cytometry for instruments and consumables with strong global placements of Hyperion Imaging System, leading a new path forward for high-multiplex imaging. Driving future market expansion for our Hyperion Imaging System, a new contract research organization just announced the launch of their Imaging Mass Cytometry services with a pipeline of pharma research projects,” added Linthwaite.</w:t>
      </w:r>
    </w:p>
    <w:p>
      <w:pPr>
        <w:spacing w:after="0" w:line="174"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“Our technologies continue to generate pioneering multi-omic insights with the publication of the 10,000 Immunome Project, the launch of two total RNA single cell sequencing applications for C1 and an important clinical study that used mass cytometry to characterize T cells. This progress represents the achievement of key milestones in accelerating our market expansion efforts. Looking ahead, we are focused on driving growth in 2019 and beyond as we execute on our long-term strategy to provide indispensable tools to power future health care insights.”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 full reconciliation of GAAP to non-GAAP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2018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by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Category</w:t>
            </w:r>
          </w:p>
        </w:tc>
        <w:tc>
          <w:tcPr>
            <w:tcW w:w="3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 by Category</w:t>
            </w:r>
          </w:p>
        </w:tc>
        <w:tc>
          <w:tcPr>
            <w:tcW w:w="3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2"/>
                <w:szCs w:val="22"/>
                <w:b w:val="1"/>
                <w:bCs w:val="1"/>
                <w:color w:val="auto"/>
              </w:rPr>
              <w:t>Year-over-Year Change</w:t>
            </w:r>
          </w:p>
        </w:tc>
        <w:tc>
          <w:tcPr>
            <w:tcW w:w="2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 of Total Revenue</w:t>
            </w:r>
          </w:p>
        </w:tc>
      </w:tr>
      <w:tr>
        <w:trPr>
          <w:trHeight w:val="256"/>
        </w:trPr>
        <w:tc>
          <w:tcPr>
            <w:tcW w:w="1880" w:type="dxa"/>
            <w:vAlign w:val="bottom"/>
          </w:tcPr>
          <w:p>
            <w:pPr>
              <w:ind w:left="20"/>
              <w:spacing w:after="0"/>
              <w:rPr>
                <w:sz w:val="20"/>
                <w:szCs w:val="20"/>
                <w:color w:val="auto"/>
              </w:rPr>
            </w:pPr>
            <w:r>
              <w:rPr>
                <w:rFonts w:ascii="Arial" w:cs="Arial" w:eastAsia="Arial" w:hAnsi="Arial"/>
                <w:sz w:val="22"/>
                <w:szCs w:val="22"/>
                <w:color w:val="auto"/>
              </w:rPr>
              <w:t>Instruments</w:t>
            </w:r>
          </w:p>
        </w:tc>
        <w:tc>
          <w:tcPr>
            <w:tcW w:w="3280" w:type="dxa"/>
            <w:vAlign w:val="bottom"/>
          </w:tcPr>
          <w:p>
            <w:pPr>
              <w:jc w:val="center"/>
              <w:spacing w:after="0"/>
              <w:rPr>
                <w:sz w:val="20"/>
                <w:szCs w:val="20"/>
                <w:color w:val="auto"/>
              </w:rPr>
            </w:pPr>
            <w:r>
              <w:rPr>
                <w:rFonts w:ascii="Arial" w:cs="Arial" w:eastAsia="Arial" w:hAnsi="Arial"/>
                <w:sz w:val="22"/>
                <w:szCs w:val="22"/>
                <w:color w:val="auto"/>
                <w:w w:val="93"/>
              </w:rPr>
              <w:t>$13.9 million</w:t>
            </w:r>
          </w:p>
        </w:tc>
        <w:tc>
          <w:tcPr>
            <w:tcW w:w="3360" w:type="dxa"/>
            <w:vAlign w:val="bottom"/>
          </w:tcPr>
          <w:p>
            <w:pPr>
              <w:jc w:val="center"/>
              <w:spacing w:after="0"/>
              <w:rPr>
                <w:sz w:val="20"/>
                <w:szCs w:val="20"/>
                <w:color w:val="auto"/>
              </w:rPr>
            </w:pPr>
            <w:r>
              <w:rPr>
                <w:rFonts w:ascii="Arial" w:cs="Arial" w:eastAsia="Arial" w:hAnsi="Arial"/>
                <w:sz w:val="22"/>
                <w:szCs w:val="22"/>
                <w:color w:val="auto"/>
                <w:w w:val="86"/>
              </w:rPr>
              <w:t>32%</w:t>
            </w:r>
          </w:p>
        </w:tc>
        <w:tc>
          <w:tcPr>
            <w:tcW w:w="2900" w:type="dxa"/>
            <w:vAlign w:val="bottom"/>
          </w:tcPr>
          <w:p>
            <w:pPr>
              <w:jc w:val="center"/>
              <w:spacing w:after="0"/>
              <w:rPr>
                <w:sz w:val="20"/>
                <w:szCs w:val="20"/>
                <w:color w:val="auto"/>
              </w:rPr>
            </w:pPr>
            <w:r>
              <w:rPr>
                <w:rFonts w:ascii="Arial" w:cs="Arial" w:eastAsia="Arial" w:hAnsi="Arial"/>
                <w:sz w:val="22"/>
                <w:szCs w:val="22"/>
                <w:color w:val="auto"/>
                <w:w w:val="90"/>
              </w:rPr>
              <w:t>48%</w:t>
            </w:r>
          </w:p>
        </w:tc>
      </w:tr>
      <w:tr>
        <w:trPr>
          <w:trHeight w:val="270"/>
        </w:trPr>
        <w:tc>
          <w:tcPr>
            <w:tcW w:w="1880" w:type="dxa"/>
            <w:vAlign w:val="bottom"/>
          </w:tcPr>
          <w:p>
            <w:pPr>
              <w:ind w:left="20"/>
              <w:spacing w:after="0"/>
              <w:rPr>
                <w:sz w:val="20"/>
                <w:szCs w:val="20"/>
                <w:color w:val="auto"/>
              </w:rPr>
            </w:pPr>
            <w:r>
              <w:rPr>
                <w:rFonts w:ascii="Arial" w:cs="Arial" w:eastAsia="Arial" w:hAnsi="Arial"/>
                <w:sz w:val="22"/>
                <w:szCs w:val="22"/>
                <w:color w:val="auto"/>
              </w:rPr>
              <w:t>Consumables</w:t>
            </w:r>
          </w:p>
        </w:tc>
        <w:tc>
          <w:tcPr>
            <w:tcW w:w="3280" w:type="dxa"/>
            <w:vAlign w:val="bottom"/>
          </w:tcPr>
          <w:p>
            <w:pPr>
              <w:jc w:val="center"/>
              <w:spacing w:after="0"/>
              <w:rPr>
                <w:sz w:val="20"/>
                <w:szCs w:val="20"/>
                <w:color w:val="auto"/>
              </w:rPr>
            </w:pPr>
            <w:r>
              <w:rPr>
                <w:rFonts w:ascii="Arial" w:cs="Arial" w:eastAsia="Arial" w:hAnsi="Arial"/>
                <w:sz w:val="22"/>
                <w:szCs w:val="22"/>
                <w:color w:val="auto"/>
                <w:w w:val="93"/>
              </w:rPr>
              <w:t>$10.4 million</w:t>
            </w:r>
          </w:p>
        </w:tc>
        <w:tc>
          <w:tcPr>
            <w:tcW w:w="3360" w:type="dxa"/>
            <w:vAlign w:val="bottom"/>
          </w:tcPr>
          <w:p>
            <w:pPr>
              <w:jc w:val="center"/>
              <w:spacing w:after="0"/>
              <w:rPr>
                <w:sz w:val="20"/>
                <w:szCs w:val="20"/>
                <w:color w:val="auto"/>
              </w:rPr>
            </w:pPr>
            <w:r>
              <w:rPr>
                <w:rFonts w:ascii="Arial" w:cs="Arial" w:eastAsia="Arial" w:hAnsi="Arial"/>
                <w:sz w:val="22"/>
                <w:szCs w:val="22"/>
                <w:color w:val="auto"/>
                <w:w w:val="94"/>
              </w:rPr>
              <w:t>3%</w:t>
            </w:r>
          </w:p>
        </w:tc>
        <w:tc>
          <w:tcPr>
            <w:tcW w:w="2900" w:type="dxa"/>
            <w:vAlign w:val="bottom"/>
          </w:tcPr>
          <w:p>
            <w:pPr>
              <w:jc w:val="center"/>
              <w:spacing w:after="0"/>
              <w:rPr>
                <w:sz w:val="20"/>
                <w:szCs w:val="20"/>
                <w:color w:val="auto"/>
              </w:rPr>
            </w:pPr>
            <w:r>
              <w:rPr>
                <w:rFonts w:ascii="Arial" w:cs="Arial" w:eastAsia="Arial" w:hAnsi="Arial"/>
                <w:sz w:val="22"/>
                <w:szCs w:val="22"/>
                <w:color w:val="auto"/>
                <w:w w:val="90"/>
              </w:rPr>
              <w:t>36%</w:t>
            </w:r>
          </w:p>
        </w:tc>
      </w:tr>
      <w:tr>
        <w:trPr>
          <w:trHeight w:val="276"/>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Service</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$4.7 million</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14%</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16%</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jc w:val="both"/>
        <w:ind w:left="540" w:right="440"/>
        <w:spacing w:after="0"/>
        <w:rPr>
          <w:sz w:val="20"/>
          <w:szCs w:val="20"/>
          <w:color w:val="auto"/>
        </w:rPr>
      </w:pPr>
      <w:r>
        <w:rPr>
          <w:rFonts w:ascii="Arial" w:cs="Arial" w:eastAsia="Arial" w:hAnsi="Arial"/>
          <w:sz w:val="22"/>
          <w:szCs w:val="22"/>
          <w:color w:val="auto"/>
        </w:rPr>
        <w:t>Mass cytometry revenue, comprising instruments, consumables, and service, increased 50 percent to $17.9 million from $11.9 million in the prior year period. Mass cytometry product revenue increased 48 percent to $15.2 million from $10.3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right="340"/>
        <w:spacing w:after="0" w:line="258" w:lineRule="auto"/>
        <w:rPr>
          <w:sz w:val="20"/>
          <w:szCs w:val="20"/>
          <w:color w:val="auto"/>
        </w:rPr>
      </w:pPr>
      <w:r>
        <w:rPr>
          <w:rFonts w:ascii="Arial" w:cs="Arial" w:eastAsia="Arial" w:hAnsi="Arial"/>
          <w:sz w:val="21"/>
          <w:szCs w:val="21"/>
          <w:color w:val="auto"/>
        </w:rPr>
        <w:t>Genomics revenue, comprising instruments, consumables, and service, decreased 13 percent to $11.1 million from $12.8 million in the prior year period. Genomics product revenue decreased 12 percent to $9.0 million from $10.3 million in the prior year period due to lower sales of high-throughput and single-cell genomics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revenue by geographic area: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Geographic Area</w:t>
            </w:r>
          </w:p>
        </w:tc>
        <w:tc>
          <w:tcPr>
            <w:tcW w:w="3460" w:type="dxa"/>
            <w:vAlign w:val="bottom"/>
            <w:tcBorders>
              <w:top w:val="single" w:sz="8" w:color="auto"/>
              <w:bottom w:val="single" w:sz="8" w:color="auto"/>
            </w:tcBorders>
          </w:tcPr>
          <w:p>
            <w:pPr>
              <w:jc w:val="center"/>
              <w:ind w:left="392"/>
              <w:spacing w:after="0"/>
              <w:rPr>
                <w:sz w:val="20"/>
                <w:szCs w:val="20"/>
                <w:color w:val="auto"/>
              </w:rPr>
            </w:pPr>
            <w:r>
              <w:rPr>
                <w:rFonts w:ascii="Arial" w:cs="Arial" w:eastAsia="Arial" w:hAnsi="Arial"/>
                <w:sz w:val="22"/>
                <w:szCs w:val="22"/>
                <w:b w:val="1"/>
                <w:bCs w:val="1"/>
                <w:color w:val="auto"/>
                <w:w w:val="87"/>
              </w:rPr>
              <w:t>Revenue by Geography</w:t>
            </w:r>
          </w:p>
        </w:tc>
        <w:tc>
          <w:tcPr>
            <w:tcW w:w="2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Year-over-Year Change</w:t>
            </w:r>
          </w:p>
        </w:tc>
        <w:tc>
          <w:tcPr>
            <w:tcW w:w="2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22"/>
                <w:szCs w:val="22"/>
                <w:b w:val="1"/>
                <w:bCs w:val="1"/>
                <w:color w:val="auto"/>
              </w:rPr>
              <w:t>% of Total Revenue</w:t>
            </w:r>
          </w:p>
        </w:tc>
      </w:tr>
      <w:tr>
        <w:trPr>
          <w:trHeight w:val="256"/>
        </w:trPr>
        <w:tc>
          <w:tcPr>
            <w:tcW w:w="2500" w:type="dxa"/>
            <w:vAlign w:val="bottom"/>
          </w:tcPr>
          <w:p>
            <w:pPr>
              <w:ind w:left="20"/>
              <w:spacing w:after="0"/>
              <w:rPr>
                <w:sz w:val="20"/>
                <w:szCs w:val="20"/>
                <w:color w:val="auto"/>
              </w:rPr>
            </w:pPr>
            <w:r>
              <w:rPr>
                <w:rFonts w:ascii="Arial" w:cs="Arial" w:eastAsia="Arial" w:hAnsi="Arial"/>
                <w:sz w:val="22"/>
                <w:szCs w:val="22"/>
                <w:color w:val="auto"/>
              </w:rPr>
              <w:t>United States</w:t>
            </w:r>
          </w:p>
        </w:tc>
        <w:tc>
          <w:tcPr>
            <w:tcW w:w="3460" w:type="dxa"/>
            <w:vAlign w:val="bottom"/>
          </w:tcPr>
          <w:p>
            <w:pPr>
              <w:jc w:val="center"/>
              <w:ind w:left="392"/>
              <w:spacing w:after="0"/>
              <w:rPr>
                <w:sz w:val="20"/>
                <w:szCs w:val="20"/>
                <w:color w:val="auto"/>
              </w:rPr>
            </w:pPr>
            <w:r>
              <w:rPr>
                <w:rFonts w:ascii="Arial" w:cs="Arial" w:eastAsia="Arial" w:hAnsi="Arial"/>
                <w:sz w:val="22"/>
                <w:szCs w:val="22"/>
                <w:color w:val="auto"/>
                <w:w w:val="93"/>
              </w:rPr>
              <w:t>$13.3 million</w:t>
            </w:r>
          </w:p>
        </w:tc>
        <w:tc>
          <w:tcPr>
            <w:tcW w:w="2860" w:type="dxa"/>
            <w:vAlign w:val="bottom"/>
          </w:tcPr>
          <w:p>
            <w:pPr>
              <w:jc w:val="right"/>
              <w:ind w:right="1072"/>
              <w:spacing w:after="0"/>
              <w:rPr>
                <w:sz w:val="20"/>
                <w:szCs w:val="20"/>
                <w:color w:val="auto"/>
              </w:rPr>
            </w:pPr>
            <w:r>
              <w:rPr>
                <w:rFonts w:ascii="Arial" w:cs="Arial" w:eastAsia="Arial" w:hAnsi="Arial"/>
                <w:sz w:val="22"/>
                <w:szCs w:val="22"/>
                <w:color w:val="auto"/>
              </w:rPr>
              <w:t>19%</w:t>
            </w:r>
          </w:p>
        </w:tc>
        <w:tc>
          <w:tcPr>
            <w:tcW w:w="2600" w:type="dxa"/>
            <w:vAlign w:val="bottom"/>
          </w:tcPr>
          <w:p>
            <w:pPr>
              <w:jc w:val="center"/>
              <w:ind w:right="12"/>
              <w:spacing w:after="0"/>
              <w:rPr>
                <w:sz w:val="20"/>
                <w:szCs w:val="20"/>
                <w:color w:val="auto"/>
              </w:rPr>
            </w:pPr>
            <w:r>
              <w:rPr>
                <w:rFonts w:ascii="Arial" w:cs="Arial" w:eastAsia="Arial" w:hAnsi="Arial"/>
                <w:sz w:val="22"/>
                <w:szCs w:val="22"/>
                <w:color w:val="auto"/>
                <w:w w:val="90"/>
              </w:rPr>
              <w:t>46%</w:t>
            </w:r>
          </w:p>
        </w:tc>
      </w:tr>
      <w:tr>
        <w:trPr>
          <w:trHeight w:val="270"/>
        </w:trPr>
        <w:tc>
          <w:tcPr>
            <w:tcW w:w="2500" w:type="dxa"/>
            <w:vAlign w:val="bottom"/>
          </w:tcPr>
          <w:p>
            <w:pPr>
              <w:ind w:left="20"/>
              <w:spacing w:after="0"/>
              <w:rPr>
                <w:sz w:val="20"/>
                <w:szCs w:val="20"/>
                <w:color w:val="auto"/>
              </w:rPr>
            </w:pPr>
            <w:r>
              <w:rPr>
                <w:rFonts w:ascii="Arial" w:cs="Arial" w:eastAsia="Arial" w:hAnsi="Arial"/>
                <w:sz w:val="22"/>
                <w:szCs w:val="22"/>
                <w:color w:val="auto"/>
              </w:rPr>
              <w:t>Europe</w:t>
            </w:r>
          </w:p>
        </w:tc>
        <w:tc>
          <w:tcPr>
            <w:tcW w:w="3460" w:type="dxa"/>
            <w:vAlign w:val="bottom"/>
          </w:tcPr>
          <w:p>
            <w:pPr>
              <w:jc w:val="center"/>
              <w:ind w:left="392"/>
              <w:spacing w:after="0"/>
              <w:rPr>
                <w:sz w:val="20"/>
                <w:szCs w:val="20"/>
                <w:color w:val="auto"/>
              </w:rPr>
            </w:pPr>
            <w:r>
              <w:rPr>
                <w:rFonts w:ascii="Arial" w:cs="Arial" w:eastAsia="Arial" w:hAnsi="Arial"/>
                <w:sz w:val="22"/>
                <w:szCs w:val="22"/>
                <w:color w:val="auto"/>
                <w:w w:val="93"/>
              </w:rPr>
              <w:t>$8.8 million</w:t>
            </w:r>
          </w:p>
        </w:tc>
        <w:tc>
          <w:tcPr>
            <w:tcW w:w="2860" w:type="dxa"/>
            <w:vAlign w:val="bottom"/>
          </w:tcPr>
          <w:p>
            <w:pPr>
              <w:jc w:val="right"/>
              <w:ind w:right="1072"/>
              <w:spacing w:after="0"/>
              <w:rPr>
                <w:sz w:val="20"/>
                <w:szCs w:val="20"/>
                <w:color w:val="auto"/>
              </w:rPr>
            </w:pPr>
            <w:r>
              <w:rPr>
                <w:rFonts w:ascii="Arial" w:cs="Arial" w:eastAsia="Arial" w:hAnsi="Arial"/>
                <w:sz w:val="22"/>
                <w:szCs w:val="22"/>
                <w:color w:val="auto"/>
              </w:rPr>
              <w:t>14%</w:t>
            </w:r>
          </w:p>
        </w:tc>
        <w:tc>
          <w:tcPr>
            <w:tcW w:w="2600" w:type="dxa"/>
            <w:vAlign w:val="bottom"/>
          </w:tcPr>
          <w:p>
            <w:pPr>
              <w:jc w:val="center"/>
              <w:ind w:right="12"/>
              <w:spacing w:after="0"/>
              <w:rPr>
                <w:sz w:val="20"/>
                <w:szCs w:val="20"/>
                <w:color w:val="auto"/>
              </w:rPr>
            </w:pPr>
            <w:r>
              <w:rPr>
                <w:rFonts w:ascii="Arial" w:cs="Arial" w:eastAsia="Arial" w:hAnsi="Arial"/>
                <w:sz w:val="22"/>
                <w:szCs w:val="22"/>
                <w:color w:val="auto"/>
                <w:w w:val="90"/>
              </w:rPr>
              <w:t>30%</w:t>
            </w:r>
          </w:p>
        </w:tc>
      </w:tr>
      <w:tr>
        <w:trPr>
          <w:trHeight w:val="270"/>
        </w:trPr>
        <w:tc>
          <w:tcPr>
            <w:tcW w:w="250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3460" w:type="dxa"/>
            <w:vAlign w:val="bottom"/>
          </w:tcPr>
          <w:p>
            <w:pPr>
              <w:jc w:val="center"/>
              <w:ind w:left="392"/>
              <w:spacing w:after="0"/>
              <w:rPr>
                <w:sz w:val="20"/>
                <w:szCs w:val="20"/>
                <w:color w:val="auto"/>
              </w:rPr>
            </w:pPr>
            <w:r>
              <w:rPr>
                <w:rFonts w:ascii="Arial" w:cs="Arial" w:eastAsia="Arial" w:hAnsi="Arial"/>
                <w:sz w:val="22"/>
                <w:szCs w:val="22"/>
                <w:color w:val="auto"/>
                <w:w w:val="93"/>
              </w:rPr>
              <w:t>$6.5 million</w:t>
            </w:r>
          </w:p>
        </w:tc>
        <w:tc>
          <w:tcPr>
            <w:tcW w:w="2860" w:type="dxa"/>
            <w:vAlign w:val="bottom"/>
          </w:tcPr>
          <w:p>
            <w:pPr>
              <w:jc w:val="right"/>
              <w:ind w:right="1072"/>
              <w:spacing w:after="0"/>
              <w:rPr>
                <w:sz w:val="20"/>
                <w:szCs w:val="20"/>
                <w:color w:val="auto"/>
              </w:rPr>
            </w:pPr>
            <w:r>
              <w:rPr>
                <w:rFonts w:ascii="Arial" w:cs="Arial" w:eastAsia="Arial" w:hAnsi="Arial"/>
                <w:sz w:val="22"/>
                <w:szCs w:val="22"/>
                <w:color w:val="auto"/>
              </w:rPr>
              <w:t>34%</w:t>
            </w:r>
          </w:p>
        </w:tc>
        <w:tc>
          <w:tcPr>
            <w:tcW w:w="2600" w:type="dxa"/>
            <w:vAlign w:val="bottom"/>
          </w:tcPr>
          <w:p>
            <w:pPr>
              <w:jc w:val="center"/>
              <w:ind w:right="12"/>
              <w:spacing w:after="0"/>
              <w:rPr>
                <w:sz w:val="20"/>
                <w:szCs w:val="20"/>
                <w:color w:val="auto"/>
              </w:rPr>
            </w:pPr>
            <w:r>
              <w:rPr>
                <w:rFonts w:ascii="Arial" w:cs="Arial" w:eastAsia="Arial" w:hAnsi="Arial"/>
                <w:sz w:val="22"/>
                <w:szCs w:val="22"/>
                <w:color w:val="auto"/>
                <w:w w:val="90"/>
              </w:rPr>
              <w:t>23%</w:t>
            </w:r>
          </w:p>
        </w:tc>
      </w:tr>
      <w:tr>
        <w:trPr>
          <w:trHeight w:val="27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3460" w:type="dxa"/>
            <w:vAlign w:val="bottom"/>
            <w:tcBorders>
              <w:bottom w:val="single" w:sz="8" w:color="auto"/>
            </w:tcBorders>
          </w:tcPr>
          <w:p>
            <w:pPr>
              <w:jc w:val="center"/>
              <w:ind w:left="392"/>
              <w:spacing w:after="0"/>
              <w:rPr>
                <w:sz w:val="20"/>
                <w:szCs w:val="20"/>
                <w:color w:val="auto"/>
              </w:rPr>
            </w:pPr>
            <w:r>
              <w:rPr>
                <w:rFonts w:ascii="Arial" w:cs="Arial" w:eastAsia="Arial" w:hAnsi="Arial"/>
                <w:sz w:val="22"/>
                <w:szCs w:val="22"/>
                <w:color w:val="auto"/>
                <w:w w:val="93"/>
              </w:rPr>
              <w:t>$0.4 million</w:t>
            </w:r>
          </w:p>
        </w:tc>
        <w:tc>
          <w:tcPr>
            <w:tcW w:w="2860" w:type="dxa"/>
            <w:vAlign w:val="bottom"/>
            <w:tcBorders>
              <w:bottom w:val="single" w:sz="8" w:color="auto"/>
            </w:tcBorders>
          </w:tcPr>
          <w:p>
            <w:pPr>
              <w:jc w:val="right"/>
              <w:ind w:right="992"/>
              <w:spacing w:after="0"/>
              <w:rPr>
                <w:sz w:val="20"/>
                <w:szCs w:val="20"/>
                <w:color w:val="auto"/>
              </w:rPr>
            </w:pPr>
            <w:r>
              <w:rPr>
                <w:rFonts w:ascii="Arial" w:cs="Arial" w:eastAsia="Arial" w:hAnsi="Arial"/>
                <w:sz w:val="22"/>
                <w:szCs w:val="22"/>
                <w:color w:val="auto"/>
              </w:rPr>
              <w:t>(59%)</w:t>
            </w:r>
          </w:p>
        </w:tc>
        <w:tc>
          <w:tcPr>
            <w:tcW w:w="260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color w:val="auto"/>
                <w:w w:val="87"/>
              </w:rPr>
              <w:t>1%</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Product margin: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GAAP product margin was 52.0 percent in the third quarter of 2018 compared to 44.5 percent in the year ago period and 48.8</w:t>
      </w:r>
    </w:p>
    <w:p>
      <w:pPr>
        <w:sectPr>
          <w:pgSz w:w="11900" w:h="16838" w:orient="portrait"/>
          <w:cols w:equalWidth="0" w:num="1">
            <w:col w:w="11420"/>
          </w:cols>
          <w:pgMar w:left="240" w:top="112" w:right="239" w:bottom="0" w:gutter="0" w:footer="0" w:header="0"/>
        </w:sectPr>
      </w:pPr>
    </w:p>
    <w:bookmarkStart w:id="5" w:name="page6"/>
    <w:bookmarkEnd w:id="5"/>
    <w:p>
      <w:pPr>
        <w:ind w:right="40"/>
        <w:spacing w:after="0" w:line="238" w:lineRule="auto"/>
        <w:rPr>
          <w:sz w:val="20"/>
          <w:szCs w:val="20"/>
          <w:color w:val="auto"/>
        </w:rPr>
      </w:pPr>
      <w:r>
        <w:rPr>
          <w:rFonts w:ascii="Arial" w:cs="Arial" w:eastAsia="Arial" w:hAnsi="Arial"/>
          <w:sz w:val="22"/>
          <w:szCs w:val="22"/>
          <w:color w:val="auto"/>
        </w:rPr>
        <w:t>percent in the second quarter. Non-GAAP product margin was 66.0 percent in the third quarter of 2018 compared to 62.1 percent in the year ago period and 65.0 percent in the second quarter. The year-over-year and sequential increases in product margins were due to higher plant utilization and favorable product mix, and in the case of GAAP margin, were coupled with fixed amortization over higher revenue.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investments as of September 30, 2018:</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Cash, cash equivalents, and investments as of September 30, 2018, were $35.8 million. Cash, cash equivalents, and investments as of June 30, 2018, were $40.4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expansion:</w:t>
      </w:r>
    </w:p>
    <w:p>
      <w:pPr>
        <w:spacing w:after="0" w:line="212" w:lineRule="exact"/>
        <w:rPr>
          <w:sz w:val="20"/>
          <w:szCs w:val="20"/>
          <w:color w:val="auto"/>
        </w:rPr>
      </w:pPr>
    </w:p>
    <w:p>
      <w:pPr>
        <w:ind w:left="540" w:right="100"/>
        <w:spacing w:after="0" w:line="287" w:lineRule="auto"/>
        <w:rPr>
          <w:sz w:val="20"/>
          <w:szCs w:val="20"/>
          <w:color w:val="auto"/>
        </w:rPr>
      </w:pPr>
      <w:r>
        <w:rPr>
          <w:rFonts w:ascii="Arial" w:cs="Arial" w:eastAsia="Arial" w:hAnsi="Arial"/>
          <w:sz w:val="19"/>
          <w:szCs w:val="19"/>
          <w:b w:val="1"/>
          <w:bCs w:val="1"/>
          <w:i w:val="1"/>
          <w:iCs w:val="1"/>
          <w:color w:val="auto"/>
        </w:rPr>
        <w:t>Sirona Dx Introduces Imaging Mass Cytometry Services to Advance Biomarker Discovery and Therapeutic Development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SironaDx, a specialized contract research organization that provides high-quality clinical research services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pharmaceutical and clinical research clients, announced the introduction of Imaging Mass Cytometry™ services on the Fluidigm Hyperion™ Imaging System to advance biomarker discovery and therapeutic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ind w:left="540"/>
        <w:spacing w:after="0" w:line="248" w:lineRule="auto"/>
        <w:rPr>
          <w:sz w:val="20"/>
          <w:szCs w:val="20"/>
          <w:color w:val="auto"/>
        </w:rPr>
      </w:pPr>
      <w:r>
        <w:rPr>
          <w:rFonts w:ascii="Arial" w:cs="Arial" w:eastAsia="Arial" w:hAnsi="Arial"/>
          <w:sz w:val="21"/>
          <w:szCs w:val="21"/>
          <w:b w:val="1"/>
          <w:bCs w:val="1"/>
          <w:i w:val="1"/>
          <w:iCs w:val="1"/>
          <w:color w:val="auto"/>
        </w:rPr>
        <w:t>Foundational 10,000 Immunomes Project Uses Mass Cytometry to Establish a Reference Standard for the Human Immune System</w:t>
      </w:r>
      <w:r>
        <w:rPr>
          <w:rFonts w:ascii="Arial" w:cs="Arial" w:eastAsia="Arial" w:hAnsi="Arial"/>
          <w:sz w:val="21"/>
          <w:szCs w:val="21"/>
          <w:color w:val="auto"/>
        </w:rPr>
        <w:t>: In October, Fluidigm announced the publication of the 10,000 Immunomes Project, a seminal human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immune reference standard containing mass cytometry immune cell profiles, by investigators at the University of California, San Francisco, and the Northrop Grumman Information Systems Health IT. Released in </w:t>
      </w:r>
      <w:r>
        <w:rPr>
          <w:rFonts w:ascii="Arial" w:cs="Arial" w:eastAsia="Arial" w:hAnsi="Arial"/>
          <w:sz w:val="21"/>
          <w:szCs w:val="21"/>
          <w:i w:val="1"/>
          <w:iCs w:val="1"/>
          <w:color w:val="auto"/>
        </w:rPr>
        <w:t>Cell Reports</w:t>
      </w:r>
      <w:r>
        <w:rPr>
          <w:rFonts w:ascii="Arial" w:cs="Arial" w:eastAsia="Arial" w:hAnsi="Arial"/>
          <w:sz w:val="21"/>
          <w:szCs w:val="21"/>
          <w:color w:val="auto"/>
        </w:rPr>
        <w:t>, the 10,000 Immunomes Project reference includes standardized measurements of the immune system from 10,344 healthy human subjects varying by age, sex, ethnicity, and state of pregnancy.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product innovations:</w:t>
      </w:r>
    </w:p>
    <w:p>
      <w:pPr>
        <w:spacing w:after="0" w:line="212" w:lineRule="exact"/>
        <w:rPr>
          <w:sz w:val="20"/>
          <w:szCs w:val="20"/>
          <w:color w:val="auto"/>
        </w:rPr>
      </w:pPr>
    </w:p>
    <w:p>
      <w:pPr>
        <w:jc w:val="both"/>
        <w:ind w:left="540" w:right="60"/>
        <w:spacing w:after="0"/>
        <w:rPr>
          <w:sz w:val="20"/>
          <w:szCs w:val="20"/>
          <w:color w:val="auto"/>
        </w:rPr>
      </w:pPr>
      <w:r>
        <w:rPr>
          <w:rFonts w:ascii="Arial" w:cs="Arial" w:eastAsia="Arial" w:hAnsi="Arial"/>
          <w:sz w:val="22"/>
          <w:szCs w:val="22"/>
          <w:b w:val="1"/>
          <w:bCs w:val="1"/>
          <w:i w:val="1"/>
          <w:iCs w:val="1"/>
          <w:color w:val="auto"/>
        </w:rPr>
        <w:t>Single-Cell Total RNA Sequencing Applications for the C1™ system</w:t>
      </w:r>
      <w:r>
        <w:rPr>
          <w:rFonts w:ascii="Arial" w:cs="Arial" w:eastAsia="Arial" w:hAnsi="Arial"/>
          <w:sz w:val="22"/>
          <w:szCs w:val="22"/>
          <w:color w:val="auto"/>
        </w:rPr>
        <w:t>: In September, Fluidigm launched two new total RNA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sequencing applications for the C1, providing researchers with new tools to deeply characterize unique cellular subtypes and functional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agreements:</w:t>
      </w:r>
    </w:p>
    <w:p>
      <w:pPr>
        <w:spacing w:after="0" w:line="212" w:lineRule="exact"/>
        <w:rPr>
          <w:sz w:val="20"/>
          <w:szCs w:val="20"/>
          <w:color w:val="auto"/>
        </w:rPr>
      </w:pPr>
    </w:p>
    <w:p>
      <w:pPr>
        <w:ind w:left="540" w:right="80"/>
        <w:spacing w:after="0" w:line="249" w:lineRule="auto"/>
        <w:rPr>
          <w:sz w:val="20"/>
          <w:szCs w:val="20"/>
          <w:color w:val="auto"/>
        </w:rPr>
      </w:pPr>
      <w:r>
        <w:rPr>
          <w:rFonts w:ascii="Arial" w:cs="Arial" w:eastAsia="Arial" w:hAnsi="Arial"/>
          <w:sz w:val="21"/>
          <w:szCs w:val="21"/>
          <w:b w:val="1"/>
          <w:bCs w:val="1"/>
          <w:i w:val="1"/>
          <w:iCs w:val="1"/>
          <w:color w:val="auto"/>
        </w:rPr>
        <w:t>Agreement with Visiopharm to Expand and Simplify Imaging Mass Cytometry™ Data Analysis</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September, Fluidigm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Visiopharm A/S announced a co-marketing agreement to expand the suite of Hyperion™ Imaging System data analysis tools for translational and clinical research. Visiopharm® Phenomap™ software automates image analysis for Imaging Mass Cytometry, providing automated cell segmentation and phenotyping of cell classes in addition to powerful visualization of cell populations with phenotypic charting and t-SNE clustering.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-734060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220"/>
        <w:spacing w:after="0" w:line="279" w:lineRule="auto"/>
        <w:rPr>
          <w:sz w:val="20"/>
          <w:szCs w:val="20"/>
          <w:color w:val="auto"/>
        </w:rPr>
      </w:pPr>
      <w:r>
        <w:rPr>
          <w:rFonts w:ascii="Arial" w:cs="Arial" w:eastAsia="Arial" w:hAnsi="Arial"/>
          <w:sz w:val="19"/>
          <w:szCs w:val="19"/>
          <w:b w:val="1"/>
          <w:bCs w:val="1"/>
          <w:i w:val="1"/>
          <w:iCs w:val="1"/>
          <w:color w:val="auto"/>
        </w:rPr>
        <w:t>Agreement with GenomOncology to Provide a Comprehensive Immuno-Oncology Gene Expression Solution on the Biomark™ HD system</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September, Fluidigm and GenomOncology announced an expanded Immuno-Oncology Gene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Expression Workflow providing a best-in-class solution for immuno-oncology research from RNA extraction to comprehensive data analysis to advance therapeutic development. The GO Immuno-Oncology Workbench is a powerful software tool that enables comprehensive analysis of immuno-oncology cohorts, integrating molecular and phenotypic data together with immuno-oncology-specific annotations to power translational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-906145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2018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$29 million to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$28.5 million to $29.5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$25.5 million to $26.5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expenses of approximately $2 million and $1 million, respectively.</w:t>
      </w:r>
    </w:p>
    <w:p>
      <w:pPr>
        <w:ind w:left="540"/>
        <w:spacing w:after="0"/>
        <w:rPr>
          <w:sz w:val="20"/>
          <w:szCs w:val="20"/>
          <w:color w:val="auto"/>
        </w:rPr>
      </w:pPr>
      <w:r>
        <w:rPr>
          <w:rFonts w:ascii="Arial" w:cs="Arial" w:eastAsia="Arial" w:hAnsi="Arial"/>
          <w:sz w:val="22"/>
          <w:szCs w:val="22"/>
          <w:color w:val="auto"/>
        </w:rPr>
        <w:t>Total cash outflow of $3 million to $4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Fluidigm will host a conference call today, November 1, 2018, at 2:00 p.m. PT (5:00 p.m. ET) to discuss third quarter 2018 financial results and operational progress. Individuals interested in listening to the conference call may do so by dialing (877) 556-5248 for domestic callers, or (720) 545-0029 for international callers. Please reference Conference ID 6099918. A live webcast of the conference call will be available online from the Investor Relations page of the company’s website at http://investors.fluidigm.com/events.cfm. The link will not be active until 1:45 p.m. PT (4:45 p.m. ET) on November 1, 2018.</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After the live webcast, the call will be archived on Fluidigm’s Investor Relations page at http://investors.fluidigm.com/. In addition, a telephone replay of the teleconference will be available 90 minutes after the end of the call. The replay dial-in numbers are (855) 859-2056 for domestic callers and (404) 537-3406 for international callers. Please use the conference ID number: 6099918. The telephone replay will be available until November 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w:t>
      </w:r>
    </w:p>
    <w:p>
      <w:pPr>
        <w:sectPr>
          <w:pgSz w:w="11900" w:h="16838" w:orient="portrait"/>
          <w:cols w:equalWidth="0" w:num="1">
            <w:col w:w="11420"/>
          </w:cols>
          <w:pgMar w:left="240" w:top="118" w:right="239" w:bottom="0" w:gutter="0" w:footer="0" w:header="0"/>
        </w:sectPr>
      </w:pPr>
    </w:p>
    <w:bookmarkStart w:id="6" w:name="page7"/>
    <w:bookmarkEnd w:id="6"/>
    <w:p>
      <w:pPr>
        <w:spacing w:after="0" w:line="18" w:lineRule="exact"/>
        <w:rPr>
          <w:sz w:val="20"/>
          <w:szCs w:val="20"/>
          <w:color w:val="auto"/>
        </w:rPr>
      </w:pPr>
    </w:p>
    <w:p>
      <w:pPr>
        <w:ind w:right="300"/>
        <w:spacing w:after="0" w:line="271" w:lineRule="auto"/>
        <w:rPr>
          <w:sz w:val="20"/>
          <w:szCs w:val="20"/>
          <w:color w:val="auto"/>
        </w:rPr>
      </w:pPr>
      <w:r>
        <w:rPr>
          <w:rFonts w:ascii="Arial" w:cs="Arial" w:eastAsia="Arial" w:hAnsi="Arial"/>
          <w:sz w:val="19"/>
          <w:szCs w:val="19"/>
          <w:color w:val="auto"/>
        </w:rPr>
        <w:t>month periods ended September 30, 2018, and September 30, 2017, as well as projected for the fourth quarter of 2018.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ind w:right="40"/>
        <w:spacing w:after="0" w:line="245"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anticipated applications and benefits of collaborations and new tools, progress in market expansion efforts, and projected revenues, expenses, and cash flows for the fourth quarter of 2018.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the Fluidigm Annual Report on Form 10-K for the year ended December 31, 2017, and in its other filings with the Securities and Exchange Commission, including the Fluidigm Quarterly Report on Form 10-Q for the quarter ended June 30, 2018.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0"/>
        <w:spacing w:after="0" w:line="245" w:lineRule="exact"/>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w:t>
      </w:r>
      <w:r>
        <w:rPr>
          <w:rFonts w:ascii="MS PGothic" w:cs="MS PGothic" w:eastAsia="MS PGothic" w:hAnsi="MS PGothic"/>
          <w:sz w:val="21"/>
          <w:szCs w:val="21"/>
          <w:color w:val="auto"/>
        </w:rPr>
        <w:t>‑</w:t>
      </w:r>
      <w:r>
        <w:rPr>
          <w:rFonts w:ascii="Arial" w:cs="Arial" w:eastAsia="Arial" w:hAnsi="Arial"/>
          <w:sz w:val="21"/>
          <w:szCs w:val="21"/>
          <w:color w:val="auto"/>
        </w:rPr>
        <w:t>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Fluidigm, the Fluidigm logo, Biomark, C1, Hyperion, and Imaging Mass Cytometry are trademarks and/or registered trademarks of Fluidigm Corporation in the United States and/or other countries. All other trademarks are the sole property of their respective owners.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324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89"/>
              </w:rPr>
              <w:t>Three Months Ended September</w:t>
            </w:r>
          </w:p>
        </w:tc>
        <w:tc>
          <w:tcPr>
            <w:tcW w:w="3140" w:type="dxa"/>
            <w:vAlign w:val="bottom"/>
          </w:tcPr>
          <w:p>
            <w:pPr>
              <w:jc w:val="center"/>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3120" w:type="dxa"/>
            <w:vAlign w:val="bottom"/>
            <w:tcBorders>
              <w:bottom w:val="single" w:sz="8" w:color="auto"/>
            </w:tcBorders>
          </w:tcPr>
          <w:p>
            <w:pPr>
              <w:jc w:val="right"/>
              <w:ind w:right="1332"/>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4"/>
                <w:szCs w:val="24"/>
                <w:color w:val="auto"/>
              </w:rPr>
            </w:pPr>
          </w:p>
        </w:tc>
        <w:tc>
          <w:tcPr>
            <w:tcW w:w="3140" w:type="dxa"/>
            <w:vAlign w:val="bottom"/>
            <w:tcBorders>
              <w:bottom w:val="single" w:sz="8" w:color="auto"/>
            </w:tcBorders>
          </w:tcPr>
          <w:p>
            <w:pPr>
              <w:jc w:val="right"/>
              <w:ind w:right="1332"/>
              <w:spacing w:after="0"/>
              <w:rPr>
                <w:sz w:val="20"/>
                <w:szCs w:val="20"/>
                <w:color w:val="auto"/>
              </w:rPr>
            </w:pPr>
            <w:r>
              <w:rPr>
                <w:rFonts w:ascii="Arial" w:cs="Arial" w:eastAsia="Arial" w:hAnsi="Arial"/>
                <w:sz w:val="22"/>
                <w:szCs w:val="22"/>
                <w:b w:val="1"/>
                <w:bCs w:val="1"/>
                <w:color w:val="auto"/>
              </w:rPr>
              <w:t>30,</w:t>
            </w:r>
          </w:p>
        </w:tc>
      </w:tr>
    </w:tbl>
    <w:p>
      <w:pPr>
        <w:sectPr>
          <w:pgSz w:w="11900" w:h="16857" w:orient="portrait"/>
          <w:cols w:equalWidth="0" w:num="1">
            <w:col w:w="11420"/>
          </w:cols>
          <w:pgMar w:left="240" w:top="1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22"/>
                <w:szCs w:val="22"/>
                <w:color w:val="auto"/>
              </w:rPr>
              <w:t>Revenue:</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400"/>
              <w:spacing w:after="0"/>
              <w:rPr>
                <w:sz w:val="20"/>
                <w:szCs w:val="20"/>
                <w:color w:val="auto"/>
              </w:rPr>
            </w:pPr>
            <w:r>
              <w:rPr>
                <w:rFonts w:ascii="Arial" w:cs="Arial" w:eastAsia="Arial" w:hAnsi="Arial"/>
                <w:sz w:val="22"/>
                <w:szCs w:val="22"/>
                <w:color w:val="auto"/>
              </w:rPr>
              <w:t>Instruments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13,890</w:t>
            </w:r>
          </w:p>
        </w:tc>
        <w:tc>
          <w:tcPr>
            <w:tcW w:w="12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10,518</w:t>
            </w:r>
          </w:p>
        </w:tc>
        <w:tc>
          <w:tcPr>
            <w:tcW w:w="12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31,831</w:t>
            </w:r>
          </w:p>
        </w:tc>
        <w:tc>
          <w:tcPr>
            <w:tcW w:w="120" w:type="dxa"/>
            <w:vAlign w:val="bottom"/>
          </w:tcPr>
          <w:p>
            <w:pPr>
              <w:spacing w:after="0"/>
              <w:rPr>
                <w:sz w:val="23"/>
                <w:szCs w:val="23"/>
                <w:color w:val="auto"/>
              </w:rPr>
            </w:pPr>
          </w:p>
        </w:tc>
        <w:tc>
          <w:tcPr>
            <w:tcW w:w="3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31,183</w:t>
            </w:r>
          </w:p>
        </w:tc>
        <w:tc>
          <w:tcPr>
            <w:tcW w:w="0" w:type="dxa"/>
            <w:vAlign w:val="bottom"/>
          </w:tcPr>
          <w:p>
            <w:pPr>
              <w:spacing w:after="0"/>
              <w:rPr>
                <w:sz w:val="1"/>
                <w:szCs w:val="1"/>
                <w:color w:val="auto"/>
              </w:rPr>
            </w:pPr>
          </w:p>
        </w:tc>
      </w:tr>
      <w:tr>
        <w:trPr>
          <w:trHeight w:val="275"/>
        </w:trPr>
        <w:tc>
          <w:tcPr>
            <w:tcW w:w="5020" w:type="dxa"/>
            <w:vAlign w:val="bottom"/>
          </w:tcPr>
          <w:p>
            <w:pPr>
              <w:ind w:left="400"/>
              <w:spacing w:after="0"/>
              <w:rPr>
                <w:sz w:val="20"/>
                <w:szCs w:val="20"/>
                <w:color w:val="auto"/>
              </w:rPr>
            </w:pPr>
            <w:r>
              <w:rPr>
                <w:rFonts w:ascii="Arial" w:cs="Arial" w:eastAsia="Arial" w:hAnsi="Arial"/>
                <w:sz w:val="22"/>
                <w:szCs w:val="22"/>
                <w:color w:val="auto"/>
              </w:rPr>
              <w:t>Consumables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10,352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10,058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34,665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30,200</w:t>
            </w:r>
          </w:p>
        </w:tc>
        <w:tc>
          <w:tcPr>
            <w:tcW w:w="0" w:type="dxa"/>
            <w:vAlign w:val="bottom"/>
          </w:tcPr>
          <w:p>
            <w:pPr>
              <w:spacing w:after="0"/>
              <w:rPr>
                <w:sz w:val="1"/>
                <w:szCs w:val="1"/>
                <w:color w:val="auto"/>
              </w:rPr>
            </w:pPr>
          </w:p>
        </w:tc>
      </w:tr>
      <w:tr>
        <w:trPr>
          <w:trHeight w:val="259"/>
        </w:trPr>
        <w:tc>
          <w:tcPr>
            <w:tcW w:w="5020" w:type="dxa"/>
            <w:vAlign w:val="bottom"/>
          </w:tcPr>
          <w:p>
            <w:pPr>
              <w:ind w:left="200"/>
              <w:spacing w:after="0"/>
              <w:rPr>
                <w:sz w:val="20"/>
                <w:szCs w:val="20"/>
                <w:color w:val="auto"/>
              </w:rPr>
            </w:pPr>
            <w:r>
              <w:rPr>
                <w:rFonts w:ascii="Arial" w:cs="Arial" w:eastAsia="Arial" w:hAnsi="Arial"/>
                <w:sz w:val="22"/>
                <w:szCs w:val="22"/>
                <w:color w:val="auto"/>
              </w:rPr>
              <w:t>Product revenue</w:t>
            </w:r>
          </w:p>
        </w:tc>
        <w:tc>
          <w:tcPr>
            <w:tcW w:w="38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24,242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20,576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66,496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61,383</w:t>
            </w:r>
          </w:p>
        </w:tc>
        <w:tc>
          <w:tcPr>
            <w:tcW w:w="0" w:type="dxa"/>
            <w:vAlign w:val="bottom"/>
          </w:tcPr>
          <w:p>
            <w:pPr>
              <w:spacing w:after="0"/>
              <w:rPr>
                <w:sz w:val="1"/>
                <w:szCs w:val="1"/>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22"/>
                <w:szCs w:val="22"/>
                <w:color w:val="auto"/>
              </w:rPr>
              <w:t>Service revenue</w:t>
            </w:r>
          </w:p>
        </w:tc>
        <w:tc>
          <w:tcPr>
            <w:tcW w:w="38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4,721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4,133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14,143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12,620</w:t>
            </w:r>
          </w:p>
        </w:tc>
        <w:tc>
          <w:tcPr>
            <w:tcW w:w="0" w:type="dxa"/>
            <w:vAlign w:val="bottom"/>
          </w:tcPr>
          <w:p>
            <w:pPr>
              <w:spacing w:after="0"/>
              <w:rPr>
                <w:sz w:val="1"/>
                <w:szCs w:val="1"/>
                <w:color w:val="auto"/>
              </w:rPr>
            </w:pPr>
          </w:p>
        </w:tc>
      </w:tr>
      <w:tr>
        <w:trPr>
          <w:trHeight w:val="275"/>
        </w:trPr>
        <w:tc>
          <w:tcPr>
            <w:tcW w:w="5020" w:type="dxa"/>
            <w:vAlign w:val="bottom"/>
          </w:tcPr>
          <w:p>
            <w:pPr>
              <w:ind w:left="200"/>
              <w:spacing w:after="0"/>
              <w:rPr>
                <w:sz w:val="20"/>
                <w:szCs w:val="20"/>
                <w:color w:val="auto"/>
              </w:rPr>
            </w:pPr>
            <w:r>
              <w:rPr>
                <w:rFonts w:ascii="Arial" w:cs="Arial" w:eastAsia="Arial" w:hAnsi="Arial"/>
                <w:sz w:val="22"/>
                <w:szCs w:val="22"/>
                <w:color w:val="auto"/>
              </w:rPr>
              <w:t>License revenue</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22"/>
                <w:szCs w:val="22"/>
                <w:color w:val="auto"/>
              </w:rPr>
              <w:t>Total revenue</w:t>
            </w:r>
          </w:p>
        </w:tc>
        <w:tc>
          <w:tcPr>
            <w:tcW w:w="38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28,963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24,747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80,639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74,193</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Costs and expenses:</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22"/>
                <w:szCs w:val="22"/>
                <w:color w:val="auto"/>
              </w:rPr>
              <w:t>Cost of product revenue</w:t>
            </w:r>
          </w:p>
        </w:tc>
        <w:tc>
          <w:tcPr>
            <w:tcW w:w="38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11,635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11,414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33,017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33,060</w:t>
            </w:r>
          </w:p>
        </w:tc>
        <w:tc>
          <w:tcPr>
            <w:tcW w:w="0" w:type="dxa"/>
            <w:vAlign w:val="bottom"/>
          </w:tcPr>
          <w:p>
            <w:pPr>
              <w:spacing w:after="0"/>
              <w:rPr>
                <w:sz w:val="1"/>
                <w:szCs w:val="1"/>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22"/>
                <w:szCs w:val="22"/>
                <w:color w:val="auto"/>
              </w:rPr>
              <w:t>Cost of service revenue</w:t>
            </w:r>
          </w:p>
        </w:tc>
        <w:tc>
          <w:tcPr>
            <w:tcW w:w="38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1,506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1,150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4,784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3,437</w:t>
            </w:r>
          </w:p>
        </w:tc>
        <w:tc>
          <w:tcPr>
            <w:tcW w:w="0" w:type="dxa"/>
            <w:vAlign w:val="bottom"/>
          </w:tcPr>
          <w:p>
            <w:pPr>
              <w:spacing w:after="0"/>
              <w:rPr>
                <w:sz w:val="1"/>
                <w:szCs w:val="1"/>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22"/>
                <w:szCs w:val="22"/>
                <w:color w:val="auto"/>
              </w:rPr>
              <w:t>Research and development</w:t>
            </w:r>
          </w:p>
        </w:tc>
        <w:tc>
          <w:tcPr>
            <w:tcW w:w="38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7,430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7,683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22,072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23,668</w:t>
            </w:r>
          </w:p>
        </w:tc>
        <w:tc>
          <w:tcPr>
            <w:tcW w:w="0" w:type="dxa"/>
            <w:vAlign w:val="bottom"/>
          </w:tcPr>
          <w:p>
            <w:pPr>
              <w:spacing w:after="0"/>
              <w:rPr>
                <w:sz w:val="1"/>
                <w:szCs w:val="1"/>
                <w:color w:val="auto"/>
              </w:rPr>
            </w:pPr>
          </w:p>
        </w:tc>
      </w:tr>
      <w:tr>
        <w:trPr>
          <w:trHeight w:val="275"/>
        </w:trPr>
        <w:tc>
          <w:tcPr>
            <w:tcW w:w="5020" w:type="dxa"/>
            <w:vAlign w:val="bottom"/>
          </w:tcPr>
          <w:p>
            <w:pPr>
              <w:ind w:left="200"/>
              <w:spacing w:after="0"/>
              <w:rPr>
                <w:sz w:val="20"/>
                <w:szCs w:val="20"/>
                <w:color w:val="auto"/>
              </w:rPr>
            </w:pPr>
            <w:r>
              <w:rPr>
                <w:rFonts w:ascii="Arial" w:cs="Arial" w:eastAsia="Arial" w:hAnsi="Arial"/>
                <w:sz w:val="22"/>
                <w:szCs w:val="22"/>
                <w:color w:val="auto"/>
              </w:rPr>
              <w:t>Selling, general and administrative</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20,020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20,102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57,812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63,653</w:t>
            </w:r>
          </w:p>
        </w:tc>
        <w:tc>
          <w:tcPr>
            <w:tcW w:w="0" w:type="dxa"/>
            <w:vAlign w:val="bottom"/>
          </w:tcPr>
          <w:p>
            <w:pPr>
              <w:spacing w:after="0"/>
              <w:rPr>
                <w:sz w:val="1"/>
                <w:szCs w:val="1"/>
                <w:color w:val="auto"/>
              </w:rPr>
            </w:pPr>
          </w:p>
        </w:tc>
      </w:tr>
      <w:tr>
        <w:trPr>
          <w:trHeight w:val="267"/>
        </w:trPr>
        <w:tc>
          <w:tcPr>
            <w:tcW w:w="502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40,591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40,349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117,685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123,818</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color w:val="auto"/>
              </w:rPr>
              <w:t>Loss from operations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(11,628)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(15,602)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(37,046)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(49,625)</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Interest expense</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(4,019)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(1,456)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(9,824)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(4,367)</w:t>
            </w:r>
          </w:p>
        </w:tc>
        <w:tc>
          <w:tcPr>
            <w:tcW w:w="0" w:type="dxa"/>
            <w:vAlign w:val="bottom"/>
          </w:tcPr>
          <w:p>
            <w:pPr>
              <w:spacing w:after="0"/>
              <w:rPr>
                <w:sz w:val="1"/>
                <w:szCs w:val="1"/>
                <w:color w:val="auto"/>
              </w:rPr>
            </w:pPr>
          </w:p>
        </w:tc>
      </w:tr>
      <w:tr>
        <w:trPr>
          <w:trHeight w:val="275"/>
        </w:trPr>
        <w:tc>
          <w:tcPr>
            <w:tcW w:w="5020" w:type="dxa"/>
            <w:vAlign w:val="bottom"/>
          </w:tcPr>
          <w:p>
            <w:pPr>
              <w:spacing w:after="0"/>
              <w:rPr>
                <w:sz w:val="20"/>
                <w:szCs w:val="20"/>
                <w:color w:val="auto"/>
              </w:rPr>
            </w:pPr>
            <w:r>
              <w:rPr>
                <w:rFonts w:ascii="Arial" w:cs="Arial" w:eastAsia="Arial" w:hAnsi="Arial"/>
                <w:sz w:val="22"/>
                <w:szCs w:val="22"/>
                <w:color w:val="auto"/>
              </w:rPr>
              <w:t>Other income, net</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117</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465</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571</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(15,530)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(16,679)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(46,405)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(53,421)</w:t>
            </w:r>
          </w:p>
        </w:tc>
        <w:tc>
          <w:tcPr>
            <w:tcW w:w="0" w:type="dxa"/>
            <w:vAlign w:val="bottom"/>
          </w:tcPr>
          <w:p>
            <w:pPr>
              <w:spacing w:after="0"/>
              <w:rPr>
                <w:sz w:val="1"/>
                <w:szCs w:val="1"/>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22"/>
                <w:szCs w:val="22"/>
                <w:color w:val="auto"/>
              </w:rPr>
              <w:t>Income tax benefit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780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735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2,167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3,343</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0"/>
                <w:szCs w:val="20"/>
                <w:color w:val="auto"/>
              </w:rPr>
            </w:pPr>
            <w:r>
              <w:rPr>
                <w:rFonts w:ascii="Arial" w:cs="Arial" w:eastAsia="Arial" w:hAnsi="Arial"/>
                <w:sz w:val="22"/>
                <w:szCs w:val="22"/>
                <w:color w:val="auto"/>
              </w:rPr>
              <w:t>Net loss</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(14,750)</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(15,944)</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(44,238)</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(50,078)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02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(1.13)</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(1.61)</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Arial" w:cs="Arial" w:eastAsia="Arial" w:hAnsi="Arial"/>
                <w:sz w:val="22"/>
                <w:szCs w:val="22"/>
                <w:color w:val="auto"/>
                <w:w w:val="92"/>
              </w:rPr>
              <w:t>Shares used in computing net loss per share, basic and</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5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22"/>
                <w:szCs w:val="22"/>
                <w:color w:val="auto"/>
              </w:rPr>
              <w:t>39,235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22"/>
                <w:szCs w:val="22"/>
                <w:color w:val="auto"/>
              </w:rPr>
              <w:t>34,513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39,033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22"/>
                <w:szCs w:val="22"/>
                <w:color w:val="auto"/>
              </w:rPr>
              <w:t>31,051</w:t>
            </w:r>
          </w:p>
        </w:tc>
        <w:tc>
          <w:tcPr>
            <w:tcW w:w="0" w:type="dxa"/>
            <w:vAlign w:val="bottom"/>
          </w:tcPr>
          <w:p>
            <w:pPr>
              <w:spacing w:after="0"/>
              <w:rPr>
                <w:sz w:val="1"/>
                <w:szCs w:val="1"/>
                <w:color w:val="auto"/>
              </w:rPr>
            </w:pPr>
          </w:p>
        </w:tc>
      </w:tr>
      <w:tr>
        <w:trPr>
          <w:trHeight w:val="251"/>
        </w:trPr>
        <w:tc>
          <w:tcPr>
            <w:tcW w:w="5020" w:type="dxa"/>
            <w:vAlign w:val="bottom"/>
          </w:tcPr>
          <w:p>
            <w:pPr>
              <w:spacing w:after="0" w:line="251"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22"/>
                <w:szCs w:val="22"/>
                <w:b w:val="1"/>
                <w:bCs w:val="1"/>
                <w:color w:val="auto"/>
              </w:rPr>
              <w:t>September 30, 2018</w:t>
            </w:r>
          </w:p>
        </w:tc>
        <w:tc>
          <w:tcPr>
            <w:tcW w:w="284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 xml:space="preserve">December 31, 2017 </w:t>
            </w:r>
            <w:r>
              <w:rPr>
                <w:rFonts w:ascii="Arial" w:cs="Arial" w:eastAsia="Arial" w:hAnsi="Arial"/>
                <w:sz w:val="36"/>
                <w:szCs w:val="36"/>
                <w:b w:val="1"/>
                <w:bCs w:val="1"/>
                <w:color w:val="auto"/>
                <w:vertAlign w:val="subscript"/>
              </w:rPr>
              <w:t>(1)</w:t>
            </w:r>
          </w:p>
        </w:tc>
        <w:tc>
          <w:tcPr>
            <w:tcW w:w="0" w:type="dxa"/>
            <w:vAlign w:val="bottom"/>
          </w:tcPr>
          <w:p>
            <w:pPr>
              <w:spacing w:after="0"/>
              <w:rPr>
                <w:sz w:val="1"/>
                <w:szCs w:val="1"/>
                <w:color w:val="auto"/>
              </w:rPr>
            </w:pPr>
          </w:p>
        </w:tc>
      </w:tr>
      <w:tr>
        <w:trPr>
          <w:trHeight w:val="278"/>
        </w:trPr>
        <w:tc>
          <w:tcPr>
            <w:tcW w:w="594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34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(Unaudited)</w:t>
            </w: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9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Current assets:</w:t>
            </w:r>
          </w:p>
        </w:tc>
        <w:tc>
          <w:tcPr>
            <w:tcW w:w="3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180" w:type="dxa"/>
            <w:vAlign w:val="bottom"/>
          </w:tcPr>
          <w:p>
            <w:pPr>
              <w:jc w:val="right"/>
              <w:spacing w:after="0"/>
              <w:rPr>
                <w:sz w:val="20"/>
                <w:szCs w:val="20"/>
                <w:color w:val="auto"/>
              </w:rPr>
            </w:pPr>
            <w:r>
              <w:rPr>
                <w:rFonts w:ascii="Arial" w:cs="Arial" w:eastAsia="Arial" w:hAnsi="Arial"/>
                <w:sz w:val="22"/>
                <w:szCs w:val="22"/>
                <w:color w:val="auto"/>
              </w:rPr>
              <w:t>35,829</w:t>
            </w:r>
          </w:p>
        </w:tc>
        <w:tc>
          <w:tcPr>
            <w:tcW w:w="100" w:type="dxa"/>
            <w:vAlign w:val="bottom"/>
          </w:tcPr>
          <w:p>
            <w:pPr>
              <w:spacing w:after="0"/>
              <w:rPr>
                <w:sz w:val="23"/>
                <w:szCs w:val="23"/>
                <w:color w:val="auto"/>
              </w:rPr>
            </w:pPr>
          </w:p>
        </w:tc>
        <w:tc>
          <w:tcPr>
            <w:tcW w:w="1280" w:type="dxa"/>
            <w:vAlign w:val="bottom"/>
          </w:tcPr>
          <w:p>
            <w:pPr>
              <w:jc w:val="right"/>
              <w:ind w:right="732"/>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58,056</w:t>
            </w: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Short-term investments</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5,080</w:t>
            </w: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18,379</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15,049</w:t>
            </w: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15,424</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15,088</w:t>
            </w:r>
          </w:p>
        </w:tc>
        <w:tc>
          <w:tcPr>
            <w:tcW w:w="0" w:type="dxa"/>
            <w:vAlign w:val="bottom"/>
          </w:tcPr>
          <w:p>
            <w:pPr>
              <w:spacing w:after="0"/>
              <w:rPr>
                <w:sz w:val="1"/>
                <w:szCs w:val="1"/>
                <w:color w:val="auto"/>
              </w:rPr>
            </w:pPr>
          </w:p>
        </w:tc>
      </w:tr>
      <w:tr>
        <w:trPr>
          <w:trHeight w:val="275"/>
        </w:trPr>
        <w:tc>
          <w:tcPr>
            <w:tcW w:w="594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34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2,228</w:t>
            </w:r>
          </w:p>
        </w:tc>
        <w:tc>
          <w:tcPr>
            <w:tcW w:w="10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1,528</w:t>
            </w: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0"/>
                <w:szCs w:val="20"/>
                <w:color w:val="auto"/>
              </w:rPr>
            </w:pPr>
            <w:r>
              <w:rPr>
                <w:rFonts w:ascii="Arial" w:cs="Arial" w:eastAsia="Arial" w:hAnsi="Arial"/>
                <w:sz w:val="22"/>
                <w:szCs w:val="22"/>
                <w:color w:val="auto"/>
              </w:rPr>
              <w:t>Total current assets</w:t>
            </w:r>
          </w:p>
        </w:tc>
        <w:tc>
          <w:tcPr>
            <w:tcW w:w="34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71,860</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94,801</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9,760</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12,301</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6,362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7,541</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60,200</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68,600</w:t>
            </w:r>
          </w:p>
        </w:tc>
        <w:tc>
          <w:tcPr>
            <w:tcW w:w="0" w:type="dxa"/>
            <w:vAlign w:val="bottom"/>
          </w:tcPr>
          <w:p>
            <w:pPr>
              <w:spacing w:after="0"/>
              <w:rPr>
                <w:sz w:val="1"/>
                <w:szCs w:val="1"/>
                <w:color w:val="auto"/>
              </w:rPr>
            </w:pPr>
          </w:p>
        </w:tc>
      </w:tr>
      <w:tr>
        <w:trPr>
          <w:trHeight w:val="276"/>
        </w:trPr>
        <w:tc>
          <w:tcPr>
            <w:tcW w:w="5940" w:type="dxa"/>
            <w:vAlign w:val="bottom"/>
          </w:tcPr>
          <w:p>
            <w:pPr>
              <w:spacing w:after="0"/>
              <w:rPr>
                <w:sz w:val="20"/>
                <w:szCs w:val="20"/>
                <w:color w:val="auto"/>
              </w:rPr>
            </w:pPr>
            <w:r>
              <w:rPr>
                <w:rFonts w:ascii="Arial" w:cs="Arial" w:eastAsia="Arial" w:hAnsi="Arial"/>
                <w:sz w:val="22"/>
                <w:szCs w:val="22"/>
                <w:color w:val="auto"/>
              </w:rPr>
              <w:t>Goodwill</w:t>
            </w: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5940" w:type="dxa"/>
            <w:vAlign w:val="bottom"/>
          </w:tcPr>
          <w:p>
            <w:pPr>
              <w:spacing w:after="0"/>
              <w:rPr>
                <w:sz w:val="20"/>
                <w:szCs w:val="20"/>
                <w:color w:val="auto"/>
              </w:rPr>
            </w:pPr>
            <w:r>
              <w:rPr>
                <w:rFonts w:ascii="Arial" w:cs="Arial" w:eastAsia="Arial" w:hAnsi="Arial"/>
                <w:sz w:val="22"/>
                <w:szCs w:val="22"/>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252,290</w:t>
            </w:r>
          </w:p>
        </w:tc>
        <w:tc>
          <w:tcPr>
            <w:tcW w:w="100" w:type="dxa"/>
            <w:vAlign w:val="bottom"/>
          </w:tcPr>
          <w:p>
            <w:pPr>
              <w:spacing w:after="0"/>
              <w:rPr>
                <w:sz w:val="23"/>
                <w:szCs w:val="23"/>
                <w:color w:val="auto"/>
              </w:rPr>
            </w:pPr>
          </w:p>
        </w:tc>
        <w:tc>
          <w:tcPr>
            <w:tcW w:w="128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287,351</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5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Current liabilities:</w:t>
            </w:r>
          </w:p>
        </w:tc>
        <w:tc>
          <w:tcPr>
            <w:tcW w:w="3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180" w:type="dxa"/>
            <w:vAlign w:val="bottom"/>
          </w:tcPr>
          <w:p>
            <w:pPr>
              <w:jc w:val="right"/>
              <w:spacing w:after="0"/>
              <w:rPr>
                <w:sz w:val="20"/>
                <w:szCs w:val="20"/>
                <w:color w:val="auto"/>
              </w:rPr>
            </w:pPr>
            <w:r>
              <w:rPr>
                <w:rFonts w:ascii="Arial" w:cs="Arial" w:eastAsia="Arial" w:hAnsi="Arial"/>
                <w:sz w:val="22"/>
                <w:szCs w:val="22"/>
                <w:color w:val="auto"/>
              </w:rPr>
              <w:t>6,246</w:t>
            </w:r>
          </w:p>
        </w:tc>
        <w:tc>
          <w:tcPr>
            <w:tcW w:w="100" w:type="dxa"/>
            <w:vAlign w:val="bottom"/>
          </w:tcPr>
          <w:p>
            <w:pPr>
              <w:spacing w:after="0"/>
              <w:rPr>
                <w:sz w:val="23"/>
                <w:szCs w:val="23"/>
                <w:color w:val="auto"/>
              </w:rPr>
            </w:pPr>
          </w:p>
        </w:tc>
        <w:tc>
          <w:tcPr>
            <w:tcW w:w="1280" w:type="dxa"/>
            <w:vAlign w:val="bottom"/>
          </w:tcPr>
          <w:p>
            <w:pPr>
              <w:jc w:val="right"/>
              <w:ind w:right="732"/>
              <w:spacing w:after="0"/>
              <w:rPr>
                <w:sz w:val="20"/>
                <w:szCs w:val="20"/>
                <w:color w:val="auto"/>
              </w:rPr>
            </w:pPr>
            <w:r>
              <w:rPr>
                <w:rFonts w:ascii="Arial" w:cs="Arial" w:eastAsia="Arial" w:hAnsi="Arial"/>
                <w:sz w:val="22"/>
                <w:szCs w:val="22"/>
                <w:color w:val="auto"/>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4,211</w:t>
            </w: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Accrued compensation and related benefits</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14,526</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10,535</w:t>
            </w:r>
          </w:p>
        </w:tc>
        <w:tc>
          <w:tcPr>
            <w:tcW w:w="0" w:type="dxa"/>
            <w:vAlign w:val="bottom"/>
          </w:tcPr>
          <w:p>
            <w:pPr>
              <w:spacing w:after="0"/>
              <w:rPr>
                <w:sz w:val="1"/>
                <w:szCs w:val="1"/>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22"/>
                <w:szCs w:val="22"/>
                <w:color w:val="auto"/>
              </w:rPr>
              <w:t>Other accrued liabilities</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6,582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8,490</w:t>
            </w:r>
          </w:p>
        </w:tc>
        <w:tc>
          <w:tcPr>
            <w:tcW w:w="0" w:type="dxa"/>
            <w:vAlign w:val="bottom"/>
          </w:tcPr>
          <w:p>
            <w:pPr>
              <w:spacing w:after="0"/>
              <w:rPr>
                <w:sz w:val="1"/>
                <w:szCs w:val="1"/>
                <w:color w:val="auto"/>
              </w:rPr>
            </w:pPr>
          </w:p>
        </w:tc>
      </w:tr>
      <w:tr>
        <w:trPr>
          <w:trHeight w:val="275"/>
        </w:trPr>
        <w:tc>
          <w:tcPr>
            <w:tcW w:w="5940" w:type="dxa"/>
            <w:vAlign w:val="bottom"/>
          </w:tcPr>
          <w:p>
            <w:pPr>
              <w:ind w:left="200"/>
              <w:spacing w:after="0"/>
              <w:rPr>
                <w:sz w:val="20"/>
                <w:szCs w:val="20"/>
                <w:color w:val="auto"/>
              </w:rPr>
            </w:pPr>
            <w:r>
              <w:rPr>
                <w:rFonts w:ascii="Arial" w:cs="Arial" w:eastAsia="Arial" w:hAnsi="Arial"/>
                <w:sz w:val="22"/>
                <w:szCs w:val="22"/>
                <w:color w:val="auto"/>
              </w:rPr>
              <w:t>Deferred revenue, current portion</w:t>
            </w:r>
          </w:p>
        </w:tc>
        <w:tc>
          <w:tcPr>
            <w:tcW w:w="34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11,511</w:t>
            </w:r>
          </w:p>
        </w:tc>
        <w:tc>
          <w:tcPr>
            <w:tcW w:w="10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10,238</w:t>
            </w: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34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38,865</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33,474</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Convertible notes, net</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169,345</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195,238</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13,790</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16,919</w:t>
            </w:r>
          </w:p>
        </w:tc>
        <w:tc>
          <w:tcPr>
            <w:tcW w:w="0" w:type="dxa"/>
            <w:vAlign w:val="bottom"/>
          </w:tcPr>
          <w:p>
            <w:pPr>
              <w:spacing w:after="0"/>
              <w:rPr>
                <w:sz w:val="1"/>
                <w:szCs w:val="1"/>
                <w:color w:val="auto"/>
              </w:rPr>
            </w:pPr>
          </w:p>
        </w:tc>
      </w:tr>
      <w:tr>
        <w:trPr>
          <w:trHeight w:val="276"/>
        </w:trPr>
        <w:tc>
          <w:tcPr>
            <w:tcW w:w="594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7,878</w:t>
            </w:r>
          </w:p>
        </w:tc>
        <w:tc>
          <w:tcPr>
            <w:tcW w:w="1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10,785</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1" w:right="2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940" w:type="dxa"/>
            <w:vAlign w:val="bottom"/>
          </w:tcPr>
          <w:p>
            <w:pPr>
              <w:spacing w:after="0"/>
              <w:rPr>
                <w:sz w:val="20"/>
                <w:szCs w:val="20"/>
                <w:color w:val="auto"/>
              </w:rPr>
            </w:pPr>
            <w:r>
              <w:rPr>
                <w:rFonts w:ascii="Arial" w:cs="Arial" w:eastAsia="Arial" w:hAnsi="Arial"/>
                <w:sz w:val="22"/>
                <w:szCs w:val="22"/>
                <w:color w:val="auto"/>
              </w:rPr>
              <w:t>Total liabilities</w:t>
            </w:r>
          </w:p>
        </w:tc>
        <w:tc>
          <w:tcPr>
            <w:tcW w:w="1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229,878</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256,416</w:t>
            </w:r>
          </w:p>
        </w:tc>
      </w:tr>
      <w:tr>
        <w:trPr>
          <w:trHeight w:val="276"/>
        </w:trPr>
        <w:tc>
          <w:tcPr>
            <w:tcW w:w="594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22,412</w:t>
            </w:r>
          </w:p>
        </w:tc>
        <w:tc>
          <w:tcPr>
            <w:tcW w:w="1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30,935</w:t>
            </w:r>
          </w:p>
        </w:tc>
      </w:tr>
      <w:tr>
        <w:trPr>
          <w:trHeight w:val="265"/>
        </w:trPr>
        <w:tc>
          <w:tcPr>
            <w:tcW w:w="594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252,290</w:t>
            </w:r>
          </w:p>
        </w:tc>
        <w:tc>
          <w:tcPr>
            <w:tcW w:w="100" w:type="dxa"/>
            <w:vAlign w:val="bottom"/>
          </w:tcPr>
          <w:p>
            <w:pPr>
              <w:spacing w:after="0"/>
              <w:rPr>
                <w:sz w:val="23"/>
                <w:szCs w:val="23"/>
                <w:color w:val="auto"/>
              </w:rPr>
            </w:pPr>
          </w:p>
        </w:tc>
        <w:tc>
          <w:tcPr>
            <w:tcW w:w="128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287,351</w:t>
            </w:r>
          </w:p>
        </w:tc>
      </w:tr>
      <w:tr>
        <w:trPr>
          <w:trHeight w:val="21"/>
        </w:trPr>
        <w:tc>
          <w:tcPr>
            <w:tcW w:w="5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14"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88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22"/>
                <w:szCs w:val="22"/>
                <w:b w:val="1"/>
                <w:bCs w:val="1"/>
                <w:color w:val="auto"/>
                <w:w w:val="92"/>
              </w:rPr>
              <w:t>Nine Months Ended September 30,</w:t>
            </w:r>
          </w:p>
        </w:tc>
      </w:tr>
      <w:tr>
        <w:trPr>
          <w:trHeight w:val="265"/>
        </w:trPr>
        <w:tc>
          <w:tcPr>
            <w:tcW w:w="78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r>
      <w:tr>
        <w:trPr>
          <w:trHeight w:val="256"/>
        </w:trPr>
        <w:tc>
          <w:tcPr>
            <w:tcW w:w="788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Net loss</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(44,238)</w:t>
            </w:r>
          </w:p>
        </w:tc>
        <w:tc>
          <w:tcPr>
            <w:tcW w:w="120" w:type="dxa"/>
            <w:vAlign w:val="bottom"/>
          </w:tcPr>
          <w:p>
            <w:pPr>
              <w:spacing w:after="0"/>
              <w:rPr>
                <w:sz w:val="23"/>
                <w:szCs w:val="23"/>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(50,078)</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4,123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5,578</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6,057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7,097</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8,400</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Amortization of debt discounts, premiums and issuance costs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5,715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242</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Other non-cash items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(535)</w:t>
            </w:r>
          </w:p>
        </w:tc>
      </w:tr>
      <w:tr>
        <w:trPr>
          <w:trHeight w:val="275"/>
        </w:trPr>
        <w:tc>
          <w:tcPr>
            <w:tcW w:w="788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(4,660)</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4,537</w:t>
            </w:r>
          </w:p>
        </w:tc>
      </w:tr>
      <w:tr>
        <w:trPr>
          <w:trHeight w:val="272"/>
        </w:trPr>
        <w:tc>
          <w:tcPr>
            <w:tcW w:w="788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(24,563)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(24,759)</w:t>
            </w:r>
          </w:p>
        </w:tc>
      </w:tr>
      <w:tr>
        <w:trPr>
          <w:trHeight w:val="528"/>
        </w:trPr>
        <w:tc>
          <w:tcPr>
            <w:tcW w:w="788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(1,450)</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6,541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24,375</w:t>
            </w:r>
          </w:p>
        </w:tc>
      </w:tr>
      <w:tr>
        <w:trPr>
          <w:trHeight w:val="275"/>
        </w:trPr>
        <w:tc>
          <w:tcPr>
            <w:tcW w:w="788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(1,388)</w:t>
            </w:r>
          </w:p>
        </w:tc>
      </w:tr>
      <w:tr>
        <w:trPr>
          <w:trHeight w:val="272"/>
        </w:trPr>
        <w:tc>
          <w:tcPr>
            <w:tcW w:w="7880" w:type="dxa"/>
            <w:vAlign w:val="bottom"/>
          </w:tcPr>
          <w:p>
            <w:pPr>
              <w:spacing w:after="0"/>
              <w:rPr>
                <w:sz w:val="20"/>
                <w:szCs w:val="20"/>
                <w:color w:val="auto"/>
              </w:rPr>
            </w:pPr>
            <w:r>
              <w:rPr>
                <w:rFonts w:ascii="Arial" w:cs="Arial" w:eastAsia="Arial" w:hAnsi="Arial"/>
                <w:sz w:val="22"/>
                <w:szCs w:val="22"/>
                <w:color w:val="auto"/>
              </w:rPr>
              <w:t>Net cash provided by investing activities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4,738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21,537</w:t>
            </w:r>
          </w:p>
        </w:tc>
      </w:tr>
      <w:tr>
        <w:trPr>
          <w:trHeight w:val="528"/>
        </w:trPr>
        <w:tc>
          <w:tcPr>
            <w:tcW w:w="788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Payment of debt issuance costs</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(2,779)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Proceeds from issuance of common stock through stock plans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562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28,843</w:t>
            </w:r>
          </w:p>
        </w:tc>
      </w:tr>
      <w:tr>
        <w:trPr>
          <w:trHeight w:val="270"/>
        </w:trPr>
        <w:tc>
          <w:tcPr>
            <w:tcW w:w="7880" w:type="dxa"/>
            <w:vAlign w:val="bottom"/>
          </w:tcPr>
          <w:p>
            <w:pPr>
              <w:spacing w:after="0"/>
              <w:rPr>
                <w:sz w:val="20"/>
                <w:szCs w:val="20"/>
                <w:color w:val="auto"/>
              </w:rPr>
            </w:pPr>
            <w:r>
              <w:rPr>
                <w:rFonts w:ascii="Arial" w:cs="Arial" w:eastAsia="Arial" w:hAnsi="Arial"/>
                <w:sz w:val="22"/>
                <w:szCs w:val="22"/>
                <w:color w:val="auto"/>
              </w:rPr>
              <w:t>Proceeds from exercise of stock options</w:t>
            </w:r>
          </w:p>
        </w:tc>
        <w:tc>
          <w:tcPr>
            <w:tcW w:w="44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5"/>
        </w:trPr>
        <w:tc>
          <w:tcPr>
            <w:tcW w:w="7880" w:type="dxa"/>
            <w:vAlign w:val="bottom"/>
          </w:tcPr>
          <w:p>
            <w:pPr>
              <w:spacing w:after="0"/>
              <w:rPr>
                <w:sz w:val="20"/>
                <w:szCs w:val="20"/>
                <w:color w:val="auto"/>
              </w:rPr>
            </w:pPr>
            <w:r>
              <w:rPr>
                <w:rFonts w:ascii="Arial" w:cs="Arial" w:eastAsia="Arial" w:hAnsi="Arial"/>
                <w:sz w:val="22"/>
                <w:szCs w:val="22"/>
                <w:color w:val="auto"/>
              </w:rPr>
              <w:t>Payments for taxes related to net share settlement of equity awards</w:t>
            </w:r>
          </w:p>
        </w:tc>
        <w:tc>
          <w:tcPr>
            <w:tcW w:w="4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w:t>
            </w:r>
          </w:p>
        </w:tc>
      </w:tr>
      <w:tr>
        <w:trPr>
          <w:trHeight w:val="272"/>
        </w:trPr>
        <w:tc>
          <w:tcPr>
            <w:tcW w:w="7880" w:type="dxa"/>
            <w:vAlign w:val="bottom"/>
          </w:tcPr>
          <w:p>
            <w:pPr>
              <w:spacing w:after="0"/>
              <w:rPr>
                <w:sz w:val="20"/>
                <w:szCs w:val="20"/>
                <w:color w:val="auto"/>
              </w:rPr>
            </w:pPr>
            <w:r>
              <w:rPr>
                <w:rFonts w:ascii="Arial" w:cs="Arial" w:eastAsia="Arial" w:hAnsi="Arial"/>
                <w:sz w:val="22"/>
                <w:szCs w:val="22"/>
                <w:color w:val="auto"/>
              </w:rPr>
              <w:t>Net cash (used in) provided by financing activities</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(2,292)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28,816</w:t>
            </w:r>
          </w:p>
        </w:tc>
      </w:tr>
      <w:tr>
        <w:trPr>
          <w:trHeight w:val="532"/>
        </w:trPr>
        <w:tc>
          <w:tcPr>
            <w:tcW w:w="788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305</w:t>
            </w:r>
          </w:p>
        </w:tc>
      </w:tr>
      <w:tr>
        <w:trPr>
          <w:trHeight w:val="259"/>
        </w:trPr>
        <w:tc>
          <w:tcPr>
            <w:tcW w:w="7880" w:type="dxa"/>
            <w:vAlign w:val="bottom"/>
          </w:tcPr>
          <w:p>
            <w:pPr>
              <w:spacing w:after="0"/>
              <w:rPr>
                <w:sz w:val="20"/>
                <w:szCs w:val="20"/>
                <w:color w:val="auto"/>
              </w:rPr>
            </w:pPr>
            <w:r>
              <w:rPr>
                <w:rFonts w:ascii="Arial" w:cs="Arial" w:eastAsia="Arial" w:hAnsi="Arial"/>
                <w:sz w:val="22"/>
                <w:szCs w:val="22"/>
                <w:color w:val="auto"/>
              </w:rPr>
              <w:t>Net (decrease) increase in cash and cash equivalents</w:t>
            </w:r>
          </w:p>
        </w:tc>
        <w:tc>
          <w:tcPr>
            <w:tcW w:w="4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(22,227)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25,899</w:t>
            </w:r>
          </w:p>
        </w:tc>
      </w:tr>
      <w:tr>
        <w:trPr>
          <w:trHeight w:val="276"/>
        </w:trPr>
        <w:tc>
          <w:tcPr>
            <w:tcW w:w="788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58,056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35,045</w:t>
            </w:r>
          </w:p>
        </w:tc>
      </w:tr>
      <w:tr>
        <w:trPr>
          <w:trHeight w:val="265"/>
        </w:trPr>
        <w:tc>
          <w:tcPr>
            <w:tcW w:w="788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35,829</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60,944</w:t>
            </w:r>
          </w:p>
        </w:tc>
      </w:tr>
      <w:tr>
        <w:trPr>
          <w:trHeight w:val="21"/>
        </w:trPr>
        <w:tc>
          <w:tcPr>
            <w:tcW w:w="7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90"/>
              </w:rPr>
              <w:t>Three Months Ended</w:t>
            </w:r>
          </w:p>
        </w:tc>
        <w:tc>
          <w:tcPr>
            <w:tcW w:w="2480" w:type="dxa"/>
            <w:vAlign w:val="bottom"/>
            <w:gridSpan w:val="3"/>
          </w:tcPr>
          <w:p>
            <w:pPr>
              <w:jc w:val="right"/>
              <w:ind w:right="212"/>
              <w:spacing w:after="0"/>
              <w:rPr>
                <w:sz w:val="20"/>
                <w:szCs w:val="20"/>
                <w:color w:val="auto"/>
              </w:rPr>
            </w:pPr>
            <w:r>
              <w:rPr>
                <w:rFonts w:ascii="Arial" w:cs="Arial" w:eastAsia="Arial" w:hAnsi="Arial"/>
                <w:sz w:val="22"/>
                <w:szCs w:val="22"/>
                <w:b w:val="1"/>
                <w:bCs w:val="1"/>
                <w:color w:val="auto"/>
              </w:rPr>
              <w:t>Nine Months Ended</w:t>
            </w:r>
          </w:p>
        </w:tc>
      </w:tr>
      <w:tr>
        <w:trPr>
          <w:trHeight w:val="282"/>
        </w:trPr>
        <w:tc>
          <w:tcPr>
            <w:tcW w:w="6260" w:type="dxa"/>
            <w:vAlign w:val="bottom"/>
          </w:tcPr>
          <w:p>
            <w:pPr>
              <w:spacing w:after="0"/>
              <w:rPr>
                <w:sz w:val="24"/>
                <w:szCs w:val="2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22"/>
                <w:szCs w:val="22"/>
                <w:b w:val="1"/>
                <w:bCs w:val="1"/>
                <w:color w:val="auto"/>
                <w:w w:val="87"/>
              </w:rPr>
              <w:t>September 30,</w:t>
            </w:r>
          </w:p>
        </w:tc>
        <w:tc>
          <w:tcPr>
            <w:tcW w:w="2480" w:type="dxa"/>
            <w:vAlign w:val="bottom"/>
            <w:gridSpan w:val="3"/>
          </w:tcPr>
          <w:p>
            <w:pPr>
              <w:jc w:val="right"/>
              <w:ind w:right="472"/>
              <w:spacing w:after="0"/>
              <w:rPr>
                <w:sz w:val="20"/>
                <w:szCs w:val="20"/>
                <w:color w:val="auto"/>
              </w:rPr>
            </w:pPr>
            <w:r>
              <w:rPr>
                <w:rFonts w:ascii="Arial" w:cs="Arial" w:eastAsia="Arial" w:hAnsi="Arial"/>
                <w:sz w:val="22"/>
                <w:szCs w:val="22"/>
                <w:b w:val="1"/>
                <w:bCs w:val="1"/>
                <w:color w:val="auto"/>
              </w:rPr>
              <w:t>September 30,</w:t>
            </w:r>
          </w:p>
        </w:tc>
      </w:tr>
      <w:tr>
        <w:trPr>
          <w:trHeight w:val="265"/>
        </w:trPr>
        <w:tc>
          <w:tcPr>
            <w:tcW w:w="6260" w:type="dxa"/>
            <w:vAlign w:val="bottom"/>
          </w:tcPr>
          <w:p>
            <w:pPr>
              <w:spacing w:after="0"/>
              <w:rPr>
                <w:sz w:val="23"/>
                <w:szCs w:val="23"/>
                <w:color w:val="auto"/>
              </w:rPr>
            </w:pPr>
          </w:p>
        </w:tc>
        <w:tc>
          <w:tcPr>
            <w:tcW w:w="11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526"/>
        </w:trPr>
        <w:tc>
          <w:tcPr>
            <w:tcW w:w="6260" w:type="dxa"/>
            <w:vAlign w:val="bottom"/>
          </w:tcPr>
          <w:p>
            <w:pPr>
              <w:spacing w:after="0"/>
              <w:rPr>
                <w:sz w:val="20"/>
                <w:szCs w:val="20"/>
                <w:color w:val="auto"/>
              </w:rPr>
            </w:pPr>
            <w:r>
              <w:rPr>
                <w:rFonts w:ascii="Arial" w:cs="Arial" w:eastAsia="Arial" w:hAnsi="Arial"/>
                <w:sz w:val="22"/>
                <w:szCs w:val="22"/>
                <w:color w:val="auto"/>
              </w:rPr>
              <w:t>Net loss (GAAP)</w:t>
            </w:r>
          </w:p>
        </w:tc>
        <w:tc>
          <w:tcPr>
            <w:tcW w:w="1180" w:type="dxa"/>
            <w:vAlign w:val="bottom"/>
          </w:tcPr>
          <w:p>
            <w:pPr>
              <w:jc w:val="right"/>
              <w:ind w:right="52"/>
              <w:spacing w:after="0"/>
              <w:rPr>
                <w:sz w:val="20"/>
                <w:szCs w:val="20"/>
                <w:color w:val="auto"/>
              </w:rPr>
            </w:pPr>
            <w:r>
              <w:rPr>
                <w:rFonts w:ascii="Arial" w:cs="Arial" w:eastAsia="Arial" w:hAnsi="Arial"/>
                <w:sz w:val="22"/>
                <w:szCs w:val="22"/>
                <w:color w:val="auto"/>
                <w:w w:val="93"/>
              </w:rPr>
              <w:t>$  (14,750)</w:t>
            </w:r>
          </w:p>
        </w:tc>
        <w:tc>
          <w:tcPr>
            <w:tcW w:w="12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  (15,944)</w:t>
            </w:r>
          </w:p>
        </w:tc>
        <w:tc>
          <w:tcPr>
            <w:tcW w:w="1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w w:val="95"/>
              </w:rPr>
              <w:t>$ (44,238)</w:t>
            </w:r>
          </w:p>
        </w:tc>
        <w:tc>
          <w:tcPr>
            <w:tcW w:w="12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  (50,078)</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2,303</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2,322</w:t>
            </w:r>
          </w:p>
        </w:tc>
        <w:tc>
          <w:tcPr>
            <w:tcW w:w="12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6,057</w:t>
            </w:r>
          </w:p>
        </w:tc>
        <w:tc>
          <w:tcPr>
            <w:tcW w:w="12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7,097</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8,400</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Interest expense (b)</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4,019</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1,456</w:t>
            </w:r>
          </w:p>
        </w:tc>
        <w:tc>
          <w:tcPr>
            <w:tcW w:w="12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9,824</w:t>
            </w:r>
          </w:p>
        </w:tc>
        <w:tc>
          <w:tcPr>
            <w:tcW w:w="12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4,367</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1,281</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1,658</w:t>
            </w:r>
          </w:p>
        </w:tc>
        <w:tc>
          <w:tcPr>
            <w:tcW w:w="12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4,123</w:t>
            </w:r>
          </w:p>
        </w:tc>
        <w:tc>
          <w:tcPr>
            <w:tcW w:w="12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5,578</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1180" w:type="dxa"/>
            <w:vAlign w:val="bottom"/>
          </w:tcPr>
          <w:p>
            <w:pPr>
              <w:jc w:val="right"/>
              <w:ind w:right="52"/>
              <w:spacing w:after="0"/>
              <w:rPr>
                <w:sz w:val="20"/>
                <w:szCs w:val="20"/>
                <w:color w:val="auto"/>
              </w:rPr>
            </w:pPr>
            <w:r>
              <w:rPr>
                <w:rFonts w:ascii="Arial" w:cs="Arial" w:eastAsia="Arial" w:hAnsi="Arial"/>
                <w:sz w:val="22"/>
                <w:szCs w:val="22"/>
                <w:color w:val="auto"/>
              </w:rPr>
              <w:t>(898)</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(877)</w:t>
            </w:r>
          </w:p>
        </w:tc>
        <w:tc>
          <w:tcPr>
            <w:tcW w:w="12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(2,525)</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(2,535)</w:t>
            </w: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420"/>
          </w:cols>
          <w:pgMar w:left="240" w:top="118" w:right="239" w:bottom="0" w:gutter="0" w:footer="0" w:header="0"/>
        </w:sectPr>
      </w:pPr>
    </w:p>
    <w:bookmarkStart w:id="9" w:name="page10"/>
    <w:bookmarkEnd w:id="9"/>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75"/>
        </w:trPr>
        <w:tc>
          <w:tcPr>
            <w:tcW w:w="6260" w:type="dxa"/>
            <w:vAlign w:val="bottom"/>
          </w:tcPr>
          <w:p>
            <w:pPr>
              <w:spacing w:after="0"/>
              <w:rPr>
                <w:sz w:val="20"/>
                <w:szCs w:val="20"/>
                <w:color w:val="auto"/>
              </w:rPr>
            </w:pPr>
            <w:r>
              <w:rPr>
                <w:rFonts w:ascii="Arial" w:cs="Arial" w:eastAsia="Arial" w:hAnsi="Arial"/>
                <w:sz w:val="22"/>
                <w:szCs w:val="22"/>
                <w:color w:val="auto"/>
              </w:rPr>
              <w:t>Net loss (Non-GAAP)</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(5,245)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(8,584)</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5"/>
              </w:rPr>
              <w:t>(18,359)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(27,170)</w:t>
            </w:r>
          </w:p>
        </w:tc>
        <w:tc>
          <w:tcPr>
            <w:tcW w:w="0" w:type="dxa"/>
            <w:vAlign w:val="bottom"/>
          </w:tcPr>
          <w:p>
            <w:pPr>
              <w:spacing w:after="0"/>
              <w:rPr>
                <w:sz w:val="1"/>
                <w:szCs w:val="1"/>
                <w:color w:val="auto"/>
              </w:rPr>
            </w:pPr>
          </w:p>
        </w:tc>
      </w:tr>
      <w:tr>
        <w:trPr>
          <w:trHeight w:val="24"/>
        </w:trPr>
        <w:tc>
          <w:tcPr>
            <w:tcW w:w="6260" w:type="dxa"/>
            <w:vAlign w:val="bottom"/>
            <w:vMerge w:val="restart"/>
          </w:tcPr>
          <w:p>
            <w:pPr>
              <w:spacing w:after="0" w:line="246" w:lineRule="exact"/>
              <w:rPr>
                <w:sz w:val="20"/>
                <w:szCs w:val="20"/>
                <w:color w:val="auto"/>
              </w:rPr>
            </w:pPr>
            <w:r>
              <w:rPr>
                <w:rFonts w:ascii="Arial" w:cs="Arial" w:eastAsia="Arial" w:hAnsi="Arial"/>
                <w:sz w:val="22"/>
                <w:szCs w:val="22"/>
                <w:color w:val="auto"/>
                <w:w w:val="89"/>
              </w:rPr>
              <w:t>Shares used in net loss per share calculation - basic and diluted (GAAP</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22"/>
                <w:szCs w:val="22"/>
                <w:color w:val="auto"/>
              </w:rPr>
              <w:t>39,235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22"/>
                <w:szCs w:val="22"/>
                <w:color w:val="auto"/>
              </w:rPr>
              <w:t>34,513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22"/>
                <w:szCs w:val="22"/>
                <w:color w:val="auto"/>
              </w:rPr>
              <w:t>39,033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22"/>
                <w:szCs w:val="22"/>
                <w:color w:val="auto"/>
              </w:rPr>
              <w:t>31,051</w:t>
            </w:r>
          </w:p>
        </w:tc>
        <w:tc>
          <w:tcPr>
            <w:tcW w:w="0" w:type="dxa"/>
            <w:vAlign w:val="bottom"/>
          </w:tcPr>
          <w:p>
            <w:pPr>
              <w:spacing w:after="0"/>
              <w:rPr>
                <w:sz w:val="1"/>
                <w:szCs w:val="1"/>
                <w:color w:val="auto"/>
              </w:rPr>
            </w:pPr>
          </w:p>
        </w:tc>
      </w:tr>
      <w:tr>
        <w:trPr>
          <w:trHeight w:val="251"/>
        </w:trPr>
        <w:tc>
          <w:tcPr>
            <w:tcW w:w="6260" w:type="dxa"/>
            <w:vAlign w:val="bottom"/>
          </w:tcPr>
          <w:p>
            <w:pPr>
              <w:spacing w:after="0" w:line="251" w:lineRule="exact"/>
              <w:rPr>
                <w:sz w:val="20"/>
                <w:szCs w:val="20"/>
                <w:color w:val="auto"/>
              </w:rPr>
            </w:pPr>
            <w:r>
              <w:rPr>
                <w:rFonts w:ascii="Arial" w:cs="Arial" w:eastAsia="Arial" w:hAnsi="Arial"/>
                <w:sz w:val="22"/>
                <w:szCs w:val="22"/>
                <w:color w:val="auto"/>
              </w:rPr>
              <w:t>and Non-GAAP)</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26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(0.38)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(0.46)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(1.61)</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(0.13)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(0.47)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(0.88)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81"/>
        </w:trPr>
        <w:tc>
          <w:tcPr>
            <w:tcW w:w="10160" w:type="dxa"/>
            <w:vAlign w:val="bottom"/>
            <w:gridSpan w:val="10"/>
          </w:tcPr>
          <w:p>
            <w:pPr>
              <w:ind w:left="1320"/>
              <w:spacing w:after="0"/>
              <w:rPr>
                <w:sz w:val="20"/>
                <w:szCs w:val="20"/>
                <w:color w:val="auto"/>
              </w:rPr>
            </w:pPr>
            <w:r>
              <w:rPr>
                <w:rFonts w:ascii="Arial" w:cs="Arial" w:eastAsia="Arial" w:hAnsi="Arial"/>
                <w:sz w:val="22"/>
                <w:szCs w:val="22"/>
                <w:b w:val="1"/>
                <w:bCs w:val="1"/>
                <w:color w:val="auto"/>
              </w:rPr>
              <w:t>ITEMIZED RECONCILIATION BETWEEN GAAP AND NON-GAAP PRODUCT MARGIN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03"/>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220" w:type="dxa"/>
            <w:vAlign w:val="bottom"/>
          </w:tcPr>
          <w:p>
            <w:pPr>
              <w:spacing w:after="0"/>
              <w:rPr>
                <w:sz w:val="24"/>
                <w:szCs w:val="24"/>
                <w:color w:val="auto"/>
              </w:rPr>
            </w:pPr>
          </w:p>
        </w:tc>
        <w:tc>
          <w:tcPr>
            <w:tcW w:w="2260" w:type="dxa"/>
            <w:vAlign w:val="bottom"/>
            <w:gridSpan w:val="4"/>
          </w:tcPr>
          <w:p>
            <w:pPr>
              <w:jc w:val="right"/>
              <w:ind w:right="212"/>
              <w:spacing w:after="0"/>
              <w:rPr>
                <w:sz w:val="20"/>
                <w:szCs w:val="20"/>
                <w:color w:val="auto"/>
              </w:rPr>
            </w:pPr>
            <w:r>
              <w:rPr>
                <w:rFonts w:ascii="Arial" w:cs="Arial" w:eastAsia="Arial" w:hAnsi="Arial"/>
                <w:sz w:val="22"/>
                <w:szCs w:val="22"/>
                <w:b w:val="1"/>
                <w:bCs w:val="1"/>
                <w:color w:val="auto"/>
                <w:w w:val="93"/>
              </w:rPr>
              <w:t>Nine Months Ended</w:t>
            </w:r>
          </w:p>
        </w:tc>
      </w:tr>
      <w:tr>
        <w:trPr>
          <w:trHeight w:val="28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87"/>
              </w:rPr>
              <w:t>September 30,</w:t>
            </w:r>
          </w:p>
        </w:tc>
        <w:tc>
          <w:tcPr>
            <w:tcW w:w="220" w:type="dxa"/>
            <w:vAlign w:val="bottom"/>
          </w:tcPr>
          <w:p>
            <w:pPr>
              <w:spacing w:after="0"/>
              <w:rPr>
                <w:sz w:val="24"/>
                <w:szCs w:val="24"/>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22"/>
                <w:szCs w:val="22"/>
                <w:b w:val="1"/>
                <w:bCs w:val="1"/>
                <w:color w:val="auto"/>
              </w:rPr>
              <w:t>September 30,</w:t>
            </w:r>
          </w:p>
        </w:tc>
      </w:tr>
      <w:tr>
        <w:trPr>
          <w:trHeight w:val="265"/>
        </w:trPr>
        <w:tc>
          <w:tcPr>
            <w:tcW w:w="626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256"/>
        </w:trPr>
        <w:tc>
          <w:tcPr>
            <w:tcW w:w="6260" w:type="dxa"/>
            <w:vAlign w:val="bottom"/>
          </w:tcPr>
          <w:p>
            <w:pPr>
              <w:spacing w:after="0"/>
              <w:rPr>
                <w:sz w:val="20"/>
                <w:szCs w:val="20"/>
                <w:color w:val="auto"/>
              </w:rPr>
            </w:pPr>
            <w:r>
              <w:rPr>
                <w:rFonts w:ascii="Arial" w:cs="Arial" w:eastAsia="Arial" w:hAnsi="Arial"/>
                <w:sz w:val="22"/>
                <w:szCs w:val="22"/>
                <w:color w:val="auto"/>
              </w:rPr>
              <w:t>Product margin (GAAP)</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12,607</w:t>
            </w:r>
          </w:p>
        </w:tc>
        <w:tc>
          <w:tcPr>
            <w:tcW w:w="120" w:type="dxa"/>
            <w:vAlign w:val="bottom"/>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9,162</w:t>
            </w:r>
          </w:p>
        </w:tc>
        <w:tc>
          <w:tcPr>
            <w:tcW w:w="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ind w:right="92"/>
              <w:spacing w:after="0"/>
              <w:rPr>
                <w:sz w:val="20"/>
                <w:szCs w:val="20"/>
                <w:color w:val="auto"/>
              </w:rPr>
            </w:pPr>
            <w:r>
              <w:rPr>
                <w:rFonts w:ascii="Arial" w:cs="Arial" w:eastAsia="Arial" w:hAnsi="Arial"/>
                <w:sz w:val="22"/>
                <w:szCs w:val="22"/>
                <w:color w:val="auto"/>
              </w:rPr>
              <w:t>33,479</w:t>
            </w:r>
          </w:p>
        </w:tc>
        <w:tc>
          <w:tcPr>
            <w:tcW w:w="120" w:type="dxa"/>
            <w:vAlign w:val="bottom"/>
          </w:tcPr>
          <w:p>
            <w:pPr>
              <w:spacing w:after="0"/>
              <w:rPr>
                <w:sz w:val="22"/>
                <w:szCs w:val="22"/>
                <w:color w:val="auto"/>
              </w:rPr>
            </w:pP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12"/>
              <w:spacing w:after="0"/>
              <w:rPr>
                <w:sz w:val="20"/>
                <w:szCs w:val="20"/>
                <w:color w:val="auto"/>
              </w:rPr>
            </w:pPr>
            <w:r>
              <w:rPr>
                <w:rFonts w:ascii="Arial" w:cs="Arial" w:eastAsia="Arial" w:hAnsi="Arial"/>
                <w:sz w:val="22"/>
                <w:szCs w:val="22"/>
                <w:color w:val="auto"/>
              </w:rPr>
              <w:t>28,323</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22"/>
                <w:szCs w:val="22"/>
                <w:color w:val="auto"/>
              </w:rPr>
              <w:t>8,400</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2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22"/>
                <w:szCs w:val="22"/>
                <w:color w:val="auto"/>
              </w:rPr>
              <w:t>533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22"/>
                <w:szCs w:val="22"/>
                <w:color w:val="auto"/>
              </w:rPr>
              <w:t>1,491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2"/>
              <w:spacing w:after="0"/>
              <w:rPr>
                <w:sz w:val="20"/>
                <w:szCs w:val="20"/>
                <w:color w:val="auto"/>
              </w:rPr>
            </w:pPr>
            <w:r>
              <w:rPr>
                <w:rFonts w:ascii="Arial" w:cs="Arial" w:eastAsia="Arial" w:hAnsi="Arial"/>
                <w:sz w:val="22"/>
                <w:szCs w:val="22"/>
                <w:color w:val="auto"/>
              </w:rPr>
              <w:t>1,627</w:t>
            </w: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125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285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854</w:t>
            </w:r>
          </w:p>
        </w:tc>
      </w:tr>
      <w:tr>
        <w:trPr>
          <w:trHeight w:val="265"/>
        </w:trPr>
        <w:tc>
          <w:tcPr>
            <w:tcW w:w="6260" w:type="dxa"/>
            <w:vAlign w:val="bottom"/>
          </w:tcPr>
          <w:p>
            <w:pPr>
              <w:spacing w:after="0"/>
              <w:rPr>
                <w:sz w:val="20"/>
                <w:szCs w:val="20"/>
                <w:color w:val="auto"/>
              </w:rPr>
            </w:pPr>
            <w:r>
              <w:rPr>
                <w:rFonts w:ascii="Arial" w:cs="Arial" w:eastAsia="Arial" w:hAnsi="Arial"/>
                <w:sz w:val="22"/>
                <w:szCs w:val="22"/>
                <w:color w:val="auto"/>
              </w:rPr>
              <w:t>Product margin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16,004</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12,780</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43,920</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39,204</w:t>
            </w:r>
          </w:p>
        </w:tc>
      </w:tr>
      <w:tr>
        <w:trPr>
          <w:trHeight w:val="21"/>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12" w:type="dxa"/>
        <w:tblCellMar>
          <w:top w:w="0" w:type="dxa"/>
          <w:left w:w="0" w:type="dxa"/>
          <w:bottom w:w="0" w:type="dxa"/>
          <w:right w:w="0" w:type="dxa"/>
        </w:tblCellMar>
      </w:tblP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Product margin percentage (GAAP)</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46.1%</w:t>
            </w:r>
          </w:p>
        </w:tc>
      </w:tr>
      <w:tr>
        <w:trPr>
          <w:trHeight w:val="275"/>
        </w:trPr>
        <w:tc>
          <w:tcPr>
            <w:tcW w:w="6260" w:type="dxa"/>
            <w:vAlign w:val="bottom"/>
          </w:tcPr>
          <w:p>
            <w:pPr>
              <w:spacing w:after="0"/>
              <w:rPr>
                <w:sz w:val="20"/>
                <w:szCs w:val="20"/>
                <w:color w:val="auto"/>
              </w:rPr>
            </w:pPr>
            <w:r>
              <w:rPr>
                <w:rFonts w:ascii="Arial" w:cs="Arial" w:eastAsia="Arial" w:hAnsi="Arial"/>
                <w:sz w:val="22"/>
                <w:szCs w:val="22"/>
                <w:color w:val="auto"/>
              </w:rPr>
              <w:t>Product margin percentage (Non-GAAP)</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63.9%</w:t>
            </w:r>
          </w:p>
        </w:tc>
      </w:tr>
      <w:tr>
        <w:trPr>
          <w:trHeight w:val="810"/>
        </w:trPr>
        <w:tc>
          <w:tcPr>
            <w:tcW w:w="10460" w:type="dxa"/>
            <w:vAlign w:val="bottom"/>
            <w:gridSpan w:val="11"/>
          </w:tcPr>
          <w:p>
            <w:pPr>
              <w:jc w:val="right"/>
              <w:ind w:right="72"/>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tc>
        <w:tc>
          <w:tcPr>
            <w:tcW w:w="940" w:type="dxa"/>
            <w:vAlign w:val="bottom"/>
          </w:tcPr>
          <w:p>
            <w:pPr>
              <w:spacing w:after="0"/>
              <w:rPr>
                <w:sz w:val="24"/>
                <w:szCs w:val="24"/>
                <w:color w:val="auto"/>
              </w:rPr>
            </w:pPr>
          </w:p>
        </w:tc>
      </w:tr>
      <w:tr>
        <w:trPr>
          <w:trHeight w:val="503"/>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180" w:type="dxa"/>
            <w:vAlign w:val="bottom"/>
          </w:tcPr>
          <w:p>
            <w:pPr>
              <w:spacing w:after="0"/>
              <w:rPr>
                <w:sz w:val="24"/>
                <w:szCs w:val="24"/>
                <w:color w:val="auto"/>
              </w:rPr>
            </w:pPr>
          </w:p>
        </w:tc>
        <w:tc>
          <w:tcPr>
            <w:tcW w:w="230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89"/>
              </w:rPr>
              <w:t>Nine Months Ended</w:t>
            </w:r>
          </w:p>
        </w:tc>
      </w:tr>
      <w:tr>
        <w:trPr>
          <w:trHeight w:val="28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87"/>
              </w:rPr>
              <w:t>September 30,</w:t>
            </w:r>
          </w:p>
        </w:tc>
        <w:tc>
          <w:tcPr>
            <w:tcW w:w="180" w:type="dxa"/>
            <w:vAlign w:val="bottom"/>
          </w:tcPr>
          <w:p>
            <w:pPr>
              <w:spacing w:after="0"/>
              <w:rPr>
                <w:sz w:val="24"/>
                <w:szCs w:val="24"/>
                <w:color w:val="auto"/>
              </w:rPr>
            </w:pPr>
          </w:p>
        </w:tc>
        <w:tc>
          <w:tcPr>
            <w:tcW w:w="230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87"/>
              </w:rPr>
              <w:t>September 30,</w:t>
            </w:r>
          </w:p>
        </w:tc>
      </w:tr>
      <w:tr>
        <w:trPr>
          <w:trHeight w:val="265"/>
        </w:trPr>
        <w:tc>
          <w:tcPr>
            <w:tcW w:w="626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256"/>
        </w:trPr>
        <w:tc>
          <w:tcPr>
            <w:tcW w:w="626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27,450</w:t>
            </w:r>
          </w:p>
        </w:tc>
        <w:tc>
          <w:tcPr>
            <w:tcW w:w="120" w:type="dxa"/>
            <w:vAlign w:val="bottom"/>
          </w:tcPr>
          <w:p>
            <w:pPr>
              <w:spacing w:after="0"/>
              <w:rPr>
                <w:sz w:val="22"/>
                <w:szCs w:val="22"/>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27,785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79,884</w:t>
            </w:r>
          </w:p>
        </w:tc>
        <w:tc>
          <w:tcPr>
            <w:tcW w:w="12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87,321</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2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22"/>
                <w:szCs w:val="22"/>
                <w:color w:val="auto"/>
              </w:rPr>
              <w:t>(2,177)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(2,037)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(5,506)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(6,243)</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2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22"/>
                <w:szCs w:val="22"/>
                <w:color w:val="auto"/>
              </w:rPr>
              <w:t>(809)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(2,633)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(3,951)</w:t>
            </w: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w:t>
            </w:r>
          </w:p>
        </w:tc>
      </w:tr>
      <w:tr>
        <w:trPr>
          <w:trHeight w:val="265"/>
        </w:trPr>
        <w:tc>
          <w:tcPr>
            <w:tcW w:w="626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24,463</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24,622</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71,745</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77,126</w:t>
            </w:r>
          </w:p>
        </w:tc>
      </w:tr>
      <w:tr>
        <w:trPr>
          <w:trHeight w:val="21"/>
        </w:trPr>
        <w:tc>
          <w:tcPr>
            <w:tcW w:w="62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00"/>
        </w:trPr>
        <w:tc>
          <w:tcPr>
            <w:tcW w:w="10460" w:type="dxa"/>
            <w:vAlign w:val="bottom"/>
            <w:gridSpan w:val="11"/>
          </w:tcPr>
          <w:p>
            <w:pPr>
              <w:ind w:left="980"/>
              <w:spacing w:after="0"/>
              <w:rPr>
                <w:sz w:val="20"/>
                <w:szCs w:val="20"/>
                <w:color w:val="auto"/>
              </w:rPr>
            </w:pPr>
            <w:r>
              <w:rPr>
                <w:rFonts w:ascii="Arial" w:cs="Arial" w:eastAsia="Arial" w:hAnsi="Arial"/>
                <w:sz w:val="22"/>
                <w:szCs w:val="22"/>
                <w:b w:val="1"/>
                <w:bCs w:val="1"/>
                <w:color w:val="auto"/>
                <w:w w:val="99"/>
              </w:rPr>
              <w:t>ITEMIZED RECONCILIATION BETWEEN GAAP AND NON-GAAP LOSS FROM OPERATIONS</w:t>
            </w:r>
          </w:p>
        </w:tc>
        <w:tc>
          <w:tcPr>
            <w:tcW w:w="940" w:type="dxa"/>
            <w:vAlign w:val="bottom"/>
          </w:tcPr>
          <w:p>
            <w:pPr>
              <w:spacing w:after="0"/>
              <w:rPr>
                <w:sz w:val="24"/>
                <w:szCs w:val="24"/>
                <w:color w:val="auto"/>
              </w:rPr>
            </w:pPr>
          </w:p>
        </w:tc>
      </w:tr>
      <w:tr>
        <w:trPr>
          <w:trHeight w:val="503"/>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90"/>
              </w:rPr>
              <w:t>Three Months Ended</w:t>
            </w:r>
          </w:p>
        </w:tc>
        <w:tc>
          <w:tcPr>
            <w:tcW w:w="180" w:type="dxa"/>
            <w:vAlign w:val="bottom"/>
          </w:tcPr>
          <w:p>
            <w:pPr>
              <w:spacing w:after="0"/>
              <w:rPr>
                <w:sz w:val="24"/>
                <w:szCs w:val="24"/>
                <w:color w:val="auto"/>
              </w:rPr>
            </w:pPr>
          </w:p>
        </w:tc>
        <w:tc>
          <w:tcPr>
            <w:tcW w:w="230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89"/>
              </w:rPr>
              <w:t>Nine Months Ended</w:t>
            </w:r>
          </w:p>
        </w:tc>
      </w:tr>
      <w:tr>
        <w:trPr>
          <w:trHeight w:val="28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22"/>
                <w:szCs w:val="22"/>
                <w:b w:val="1"/>
                <w:bCs w:val="1"/>
                <w:color w:val="auto"/>
                <w:w w:val="87"/>
              </w:rPr>
              <w:t>September 30,</w:t>
            </w:r>
          </w:p>
        </w:tc>
        <w:tc>
          <w:tcPr>
            <w:tcW w:w="180" w:type="dxa"/>
            <w:vAlign w:val="bottom"/>
          </w:tcPr>
          <w:p>
            <w:pPr>
              <w:spacing w:after="0"/>
              <w:rPr>
                <w:sz w:val="24"/>
                <w:szCs w:val="24"/>
                <w:color w:val="auto"/>
              </w:rPr>
            </w:pPr>
          </w:p>
        </w:tc>
        <w:tc>
          <w:tcPr>
            <w:tcW w:w="2300" w:type="dxa"/>
            <w:vAlign w:val="bottom"/>
            <w:gridSpan w:val="4"/>
          </w:tcPr>
          <w:p>
            <w:pPr>
              <w:jc w:val="center"/>
              <w:ind w:right="72"/>
              <w:spacing w:after="0"/>
              <w:rPr>
                <w:sz w:val="20"/>
                <w:szCs w:val="20"/>
                <w:color w:val="auto"/>
              </w:rPr>
            </w:pPr>
            <w:r>
              <w:rPr>
                <w:rFonts w:ascii="Arial" w:cs="Arial" w:eastAsia="Arial" w:hAnsi="Arial"/>
                <w:sz w:val="22"/>
                <w:szCs w:val="22"/>
                <w:b w:val="1"/>
                <w:bCs w:val="1"/>
                <w:color w:val="auto"/>
                <w:w w:val="87"/>
              </w:rPr>
              <w:t>September 30,</w:t>
            </w:r>
          </w:p>
        </w:tc>
      </w:tr>
      <w:tr>
        <w:trPr>
          <w:trHeight w:val="265"/>
        </w:trPr>
        <w:tc>
          <w:tcPr>
            <w:tcW w:w="626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r>
      <w:tr>
        <w:trPr>
          <w:trHeight w:val="256"/>
        </w:trPr>
        <w:tc>
          <w:tcPr>
            <w:tcW w:w="626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ind w:right="52"/>
              <w:spacing w:after="0"/>
              <w:rPr>
                <w:sz w:val="20"/>
                <w:szCs w:val="20"/>
                <w:color w:val="auto"/>
              </w:rPr>
            </w:pPr>
            <w:r>
              <w:rPr>
                <w:rFonts w:ascii="Arial" w:cs="Arial" w:eastAsia="Arial" w:hAnsi="Arial"/>
                <w:sz w:val="22"/>
                <w:szCs w:val="22"/>
                <w:color w:val="auto"/>
                <w:w w:val="95"/>
              </w:rPr>
              <w:t>(11,628)</w:t>
            </w:r>
          </w:p>
        </w:tc>
        <w:tc>
          <w:tcPr>
            <w:tcW w:w="120" w:type="dxa"/>
            <w:vAlign w:val="bottom"/>
          </w:tcPr>
          <w:p>
            <w:pPr>
              <w:spacing w:after="0"/>
              <w:rPr>
                <w:sz w:val="22"/>
                <w:szCs w:val="22"/>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(15,602)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w w:val="95"/>
              </w:rPr>
              <w:t>(37,046)</w:t>
            </w:r>
          </w:p>
        </w:tc>
        <w:tc>
          <w:tcPr>
            <w:tcW w:w="12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w w:val="95"/>
              </w:rPr>
              <w:t>(49,625)</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2,303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2,322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6,057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7,097</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8,400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8,400</w:t>
            </w: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color w:val="auto"/>
              </w:rPr>
              <w:t>1,281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22"/>
                <w:szCs w:val="22"/>
                <w:color w:val="auto"/>
              </w:rPr>
              <w:t>1,658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color w:val="auto"/>
              </w:rPr>
              <w:t>4,123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5,578</w:t>
            </w: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w:t>
            </w:r>
          </w:p>
        </w:tc>
      </w:tr>
      <w:tr>
        <w:trPr>
          <w:trHeight w:val="265"/>
        </w:trPr>
        <w:tc>
          <w:tcPr>
            <w:tcW w:w="626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(5,244)</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(8,821)</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5"/>
              </w:rPr>
              <w:t>(18,466)</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5"/>
              </w:rPr>
              <w:t>(28,549)</w:t>
            </w:r>
          </w:p>
        </w:tc>
      </w:tr>
      <w:tr>
        <w:trPr>
          <w:trHeight w:val="21"/>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292" w:hanging="292"/>
        <w:spacing w:after="0"/>
        <w:tabs>
          <w:tab w:leader="none" w:pos="292"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8" w:lineRule="exact"/>
        <w:rPr>
          <w:rFonts w:ascii="Arial" w:cs="Arial" w:eastAsia="Arial" w:hAnsi="Arial"/>
          <w:sz w:val="22"/>
          <w:szCs w:val="22"/>
          <w:color w:val="auto"/>
        </w:rPr>
      </w:pPr>
    </w:p>
    <w:p>
      <w:pPr>
        <w:ind w:left="312" w:hanging="312"/>
        <w:spacing w:after="0" w:line="230" w:lineRule="auto"/>
        <w:tabs>
          <w:tab w:leader="none" w:pos="312"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ind w:left="292" w:hanging="292"/>
        <w:spacing w:after="0" w:line="230" w:lineRule="auto"/>
        <w:tabs>
          <w:tab w:leader="none" w:pos="292"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ind w:left="312" w:hanging="312"/>
        <w:spacing w:after="0" w:line="230" w:lineRule="auto"/>
        <w:tabs>
          <w:tab w:leader="none" w:pos="312"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ind w:left="292" w:hanging="292"/>
        <w:spacing w:after="0"/>
        <w:tabs>
          <w:tab w:leader="none" w:pos="292"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412"/>
      </w:cols>
      <w:pgMar w:left="248"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2019-12-28T18:49:33Z</dcterms:created>
  <dcterms:modified xsi:type="dcterms:W3CDTF">2019-12-28T18:49:33Z</dcterms:modified>
</cp:coreProperties>
</file>