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March 12, 2018</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FLUIDIGM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724" w:right="35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220"/>
          </w:cols>
          <w:pgMar w:left="240" w:top="724" w:right="35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7000 Shoreline Court, Suite 100, South San Francisco, California 94080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2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On March 12, 2018, Fluidigm Corporation (the “Company”) entered into separate privately negotiated agreements with certain holders of its outstanding 2.75% Convertible Senior Notes due 2034 (the “Existing Notes”) to exchange in a private placement (the “Exchange Transactions”), approximately $25.0 million in aggregate principal amount of its Existing Notes for approximately $25.0 million in aggregate principal amount of its new 2.75% Exchange Convertible Senior Notes due 2034 (the “Exchange Notes”). These additional Exchange Notes, together with the $125.0 million of Exchange Notes previously issued by the Company on March 6, 2018, will form a single class of $150.0 million aggregate principal amount of the Exchange Notes. Following the Exchange Transactions, there will be a total of $51.3 million aggregate principal amount of Existing Notes remaining outstanding.</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expects that the issuance of the additional Exchange Notes in the Exchange Transactions will close on March 15, 2018, subject to satisfaction of customary closing conditions, and will be issued pursuant to the Second Supplemental Indenture, dated March 6, 2018 (the “Second Supplemental Indenture”) to the Indenture, dated February 4, 2014, between the Company and U.S. Bank National Association (the “Base Indenture” and, together with the Second Supplemental Indenture, the “Indenture”).</w:t>
      </w:r>
    </w:p>
    <w:p>
      <w:pPr>
        <w:spacing w:after="0" w:line="1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Exchange Notes will have an interest rate of 2.75% per year per $1,000, which will accrue on the principal amount of Exchange Notes, payable in cash semi-annually in arrears on February 1 and August 1 of each year, beginning August 1, 2018, and will mature on February 1, 2034, unless earlier repurchased, redeemed or converted. Interest on the Exchange Notes will accrue from February 1, 2018.</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Exchange Notes will have an initial conversion rate of 126.9438 shares of the Company’s common stock, par value $0.001 per share (“Common Stock”), per $1,000 principal amount, subject to adjustment, and will be convertible into cash, shares of the Company’s Common Stock or any combination of cash and shares of the Company’s Common Stock, at the Company’s election. The Exchange Notes will be convertible at the option of the holder at any time prior to the business day immediately preceding the maturity date for the Exchange Notes. The Exchange Notes will also be convertible at the Company’s option upon certain conditions specified in the Indenture (the “issuer’s conversion option”).</w:t>
      </w:r>
    </w:p>
    <w:p>
      <w:pPr>
        <w:spacing w:after="0" w:line="13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the event of a “fundamental change” (as defined in the Indenture), holders of the Exchange Notes may require the Company to repurchase all or a portion of their Exchange Notes at a repurchase price equal to 100% of the accreted principal amount of the Exchange Notes, plus accrued and unpaid interest, if any, to, but excluding, the repurchase date. Holders who convert their Exchange Notes voluntarily prior to the exercise of the Company’s issuer conversion option or in connection with a make-whole fundamental change prior to February 6, 2023 will, under, certain circumstances, be entitled to a make-whole premium in the form of an increase in the conversion rate determined by reference to a make-whole table set forth in the Indenture.</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Holders of the Exchange Notes will have the right, at their option, to require the Company to purchase their Exchange Notes (i) on February 6, 2023, February 6, 2026 and February 6, 2029 or (ii) if the Company undergoes a fundamental change (as defined in the Indenture), in each case, at a repurchase price equal to 100% of the accreted principal amount of the Exchange Notes on the fundamental change repurchase date, plus accrued and unpaid interest, if any, to, but excluding the repurchase date.</w:t>
      </w:r>
    </w:p>
    <w:p>
      <w:pPr>
        <w:spacing w:after="0" w:line="16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or after February 6, 2022, the Company may elect to redeem all or any portion of the Exchange Notes at a redemption price equal to 100% of the accreted principal amount of the Exchange Notes on the redemption date of the Exchange Notes, plus accrued and unpaid interest, if any, to, but excluding the redemption date.</w:t>
      </w:r>
    </w:p>
    <w:p>
      <w:pPr>
        <w:spacing w:after="0" w:line="14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Exchange Notes will be the Company’s senior unsecured obligations and will rank senior in right of payment to any of the Company’s indebtedness that is expressly subordinated in right of payment to the Exchange Notes, will rank equally in right of payment with any of the Company’s unsecured indebtedness that is not so subordinated, will be effectively junior in right of payment to any of the Company’s secured indebtedness to the extent of the value of the assets securing such indebtedness and will be structurally subordinated to all indebtedness and other liabilities of the Company’s subsidiaries.</w:t>
      </w:r>
    </w:p>
    <w:p>
      <w:pPr>
        <w:spacing w:after="0" w:line="11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Each of the following events is considered an “event of default” with respect to the Exchange Notes, which may result in the acceleration of the accreted principal amount for the Exchange Notes in accordance with the provisions of the Indenture:</w:t>
      </w:r>
    </w:p>
    <w:p>
      <w:pPr>
        <w:spacing w:after="0" w:line="143" w:lineRule="exact"/>
        <w:rPr>
          <w:sz w:val="20"/>
          <w:szCs w:val="20"/>
          <w:color w:val="auto"/>
        </w:rPr>
      </w:pPr>
    </w:p>
    <w:p>
      <w:pPr>
        <w:ind w:left="540" w:right="60"/>
        <w:spacing w:after="0" w:line="258" w:lineRule="auto"/>
        <w:rPr>
          <w:sz w:val="20"/>
          <w:szCs w:val="20"/>
          <w:color w:val="auto"/>
        </w:rPr>
      </w:pPr>
      <w:r>
        <w:rPr>
          <w:rFonts w:ascii="Arial" w:cs="Arial" w:eastAsia="Arial" w:hAnsi="Arial"/>
          <w:sz w:val="18"/>
          <w:szCs w:val="18"/>
          <w:color w:val="auto"/>
        </w:rPr>
        <w:t>the Company’s failure to pay the accreted principal amount of the Exchange Notes or the repurchase price or redemption price for any Exchange Note when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-234315</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60"/>
        <w:spacing w:after="0" w:line="250" w:lineRule="auto"/>
        <w:rPr>
          <w:sz w:val="20"/>
          <w:szCs w:val="20"/>
          <w:color w:val="auto"/>
        </w:rPr>
      </w:pPr>
      <w:r>
        <w:rPr>
          <w:rFonts w:ascii="Arial" w:cs="Arial" w:eastAsia="Arial" w:hAnsi="Arial"/>
          <w:sz w:val="18"/>
          <w:szCs w:val="18"/>
          <w:color w:val="auto"/>
        </w:rPr>
        <w:t>the Company’s failure to deliver the settlement amount upon conversion of any Exchange Note when due, which failure continues for five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-234315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Company’s failure to pay any interest on any Exchange Note when due, and such failure continues for 30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-92075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360"/>
        <w:spacing w:after="0" w:line="250" w:lineRule="auto"/>
        <w:rPr>
          <w:sz w:val="20"/>
          <w:szCs w:val="20"/>
          <w:color w:val="auto"/>
        </w:rPr>
      </w:pPr>
      <w:r>
        <w:rPr>
          <w:rFonts w:ascii="Arial" w:cs="Arial" w:eastAsia="Arial" w:hAnsi="Arial"/>
          <w:sz w:val="18"/>
          <w:szCs w:val="18"/>
          <w:color w:val="auto"/>
        </w:rPr>
        <w:t>the Company’s failure to provide timely notice of a fundamental change or a make-whole fundamental change in accordance with the terms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-234315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40"/>
        <w:spacing w:after="0" w:line="250" w:lineRule="auto"/>
        <w:rPr>
          <w:sz w:val="20"/>
          <w:szCs w:val="20"/>
          <w:color w:val="auto"/>
        </w:rPr>
      </w:pPr>
      <w:r>
        <w:rPr>
          <w:rFonts w:ascii="Arial" w:cs="Arial" w:eastAsia="Arial" w:hAnsi="Arial"/>
          <w:sz w:val="18"/>
          <w:szCs w:val="18"/>
          <w:color w:val="auto"/>
        </w:rPr>
        <w:t>the Company’s failure to perform any other covenants required of it under the Indenture, and such failure continues for 60 calendar days after notice is given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-234315</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80" w:firstLine="45"/>
        <w:spacing w:after="0" w:line="250" w:lineRule="auto"/>
        <w:rPr>
          <w:sz w:val="20"/>
          <w:szCs w:val="20"/>
          <w:color w:val="auto"/>
        </w:rPr>
      </w:pPr>
      <w:r>
        <w:rPr>
          <w:rFonts w:ascii="Arial" w:cs="Arial" w:eastAsia="Arial" w:hAnsi="Arial"/>
          <w:sz w:val="18"/>
          <w:szCs w:val="18"/>
          <w:color w:val="auto"/>
        </w:rPr>
        <w:t>the Company’s failure, or the failure of any of its significant subsidiaries (as defined in Regulation S-X under the Securities Act) to pay at maturity any Indebtedness (as defined in the Indenture) in a principal amount in excess of $15 million, or the acceleration of Indebtedness of the Company or any of its significant subsidiaries in an amount in excess of $15 million (unless such Indebtedness is discharged or such acceleration has been cured, waived, rescinded or annulled, in either case, within a period of 30 days after written notice is provided to the Company in accordance with the Indenture);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-645160</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certain events of bankruptcy, insolvency or reorganization with respect to the Company or any of its significant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-92075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March 13, 2018, the Company issued a press release with respect to the issuance of the additional Exchange Notes in the Exchange Transactions. A copy of this press release is attached as Exhibit 99.1 hereto and incorporated herein by reference.</w:t>
      </w:r>
    </w:p>
    <w:p>
      <w:pPr>
        <w:spacing w:after="0" w:line="13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summary of the foregoing is qualified in its entirety by reference to the text of the Base Indenture, the Second Supplemental Indenture and the Form of Exchange Note included in the Second Supplemental Indenture which are filed as Exhibits 4.1, 4.2 and 4.3, respectively, with this Current Report on Form 8-K and are incorporated herein by reference.</w:t>
      </w:r>
    </w:p>
    <w:p>
      <w:pPr>
        <w:spacing w:after="0" w:line="15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This Current Report on Form 8-K does not constitute an offer to sell, or a solicitation of an offer to buy, any security and shall not constitute an offer, solicitation or sale in any jurisdiction in which such offering would be unlawful.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2.03 of this Current Report on Form 8-K is incorporated by reference into this Item 3.02.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ectPr>
          <w:pgSz w:w="11900" w:h="16838" w:orient="portrait"/>
          <w:cols w:equalWidth="0" w:num="1">
            <w:col w:w="11420"/>
          </w:cols>
          <w:pgMar w:left="240" w:top="121" w:right="239" w:bottom="0" w:gutter="0" w:footer="0" w:header="0"/>
        </w:sectPr>
      </w:pPr>
    </w:p>
    <w:bookmarkStart w:id="2" w:name="page3"/>
    <w:bookmarkEnd w:id="2"/>
    <w:p>
      <w:pPr>
        <w:spacing w:after="0"/>
        <w:rPr>
          <w:sz w:val="20"/>
          <w:szCs w:val="20"/>
          <w:color w:val="auto"/>
        </w:rPr>
      </w:pPr>
      <w:r>
        <w:rPr>
          <w:rFonts w:ascii="Arial" w:cs="Arial" w:eastAsia="Arial" w:hAnsi="Arial"/>
          <w:sz w:val="17"/>
          <w:szCs w:val="17"/>
          <w:color w:val="auto"/>
        </w:rPr>
        <w:t>The information set forth in Item 2.03 of this Current Report on Form 8-K is incorporated by reference into this Item 8.01.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9429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34" w:lineRule="exact"/>
        <w:rPr>
          <w:sz w:val="20"/>
          <w:szCs w:val="20"/>
          <w:color w:val="auto"/>
        </w:rPr>
      </w:pPr>
    </w:p>
    <w:p>
      <w:pPr>
        <w:ind w:left="360"/>
        <w:spacing w:after="0"/>
        <w:tabs>
          <w:tab w:leader="none" w:pos="1000" w:val="left"/>
        </w:tabs>
        <w:rPr>
          <w:rFonts w:ascii="Arial" w:cs="Arial" w:eastAsia="Arial" w:hAnsi="Arial"/>
          <w:sz w:val="18"/>
          <w:szCs w:val="18"/>
          <w:color w:val="0000EE"/>
        </w:rPr>
      </w:pPr>
      <w:hyperlink r:id="rId21">
        <w:r>
          <w:rPr>
            <w:rFonts w:ascii="Arial" w:cs="Arial" w:eastAsia="Arial" w:hAnsi="Arial"/>
            <w:sz w:val="18"/>
            <w:szCs w:val="18"/>
            <w:u w:val="single" w:color="auto"/>
            <w:color w:val="0000EE"/>
          </w:rPr>
          <w:t>4.1</w:t>
        </w:r>
      </w:hyperlink>
      <w:r>
        <w:rPr>
          <w:rFonts w:ascii="Arial" w:cs="Arial" w:eastAsia="Arial" w:hAnsi="Arial"/>
          <w:sz w:val="18"/>
          <w:szCs w:val="18"/>
          <w:color w:val="0000EE"/>
        </w:rPr>
        <w:tab/>
      </w:r>
      <w:r>
        <w:rPr>
          <w:rFonts w:ascii="Arial" w:cs="Arial" w:eastAsia="Arial" w:hAnsi="Arial"/>
          <w:sz w:val="16"/>
          <w:szCs w:val="16"/>
          <w:color w:val="0000EE"/>
        </w:rPr>
        <w:t>Indenture, dated February 4, 2014, between the Company and U.S. Bank National Association*</w:t>
      </w:r>
    </w:p>
    <w:p>
      <w:pPr>
        <w:spacing w:after="0" w:line="36" w:lineRule="exact"/>
        <w:rPr>
          <w:sz w:val="20"/>
          <w:szCs w:val="20"/>
          <w:color w:val="auto"/>
        </w:rPr>
      </w:pPr>
    </w:p>
    <w:p>
      <w:pPr>
        <w:ind w:left="360"/>
        <w:spacing w:after="0"/>
        <w:tabs>
          <w:tab w:leader="none" w:pos="1000" w:val="left"/>
        </w:tabs>
        <w:rPr>
          <w:rFonts w:ascii="Arial" w:cs="Arial" w:eastAsia="Arial" w:hAnsi="Arial"/>
          <w:sz w:val="18"/>
          <w:szCs w:val="18"/>
          <w:color w:val="0000EE"/>
        </w:rPr>
      </w:pPr>
      <w:hyperlink r:id="rId22">
        <w:r>
          <w:rPr>
            <w:rFonts w:ascii="Arial" w:cs="Arial" w:eastAsia="Arial" w:hAnsi="Arial"/>
            <w:sz w:val="18"/>
            <w:szCs w:val="18"/>
            <w:u w:val="single" w:color="auto"/>
            <w:color w:val="0000EE"/>
          </w:rPr>
          <w:t>4.2</w:t>
        </w:r>
      </w:hyperlink>
      <w:r>
        <w:rPr>
          <w:rFonts w:ascii="Arial" w:cs="Arial" w:eastAsia="Arial" w:hAnsi="Arial"/>
          <w:sz w:val="18"/>
          <w:szCs w:val="18"/>
          <w:color w:val="0000EE"/>
        </w:rPr>
        <w:tab/>
      </w:r>
      <w:r>
        <w:rPr>
          <w:rFonts w:ascii="Arial" w:cs="Arial" w:eastAsia="Arial" w:hAnsi="Arial"/>
          <w:sz w:val="16"/>
          <w:szCs w:val="16"/>
          <w:color w:val="0000EE"/>
        </w:rPr>
        <w:t>Second Supplemental Indenture, dated March 6, 2018, between the Company and U.S. Bank National Association†</w:t>
      </w:r>
    </w:p>
    <w:p>
      <w:pPr>
        <w:spacing w:after="0" w:line="36" w:lineRule="exact"/>
        <w:rPr>
          <w:sz w:val="20"/>
          <w:szCs w:val="20"/>
          <w:color w:val="auto"/>
        </w:rPr>
      </w:pPr>
    </w:p>
    <w:p>
      <w:pPr>
        <w:ind w:left="360"/>
        <w:spacing w:after="0"/>
        <w:tabs>
          <w:tab w:leader="none" w:pos="10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Exchange Note (included in Exhibit 4.2)</w:t>
      </w:r>
    </w:p>
    <w:p>
      <w:pPr>
        <w:spacing w:after="0" w:line="36" w:lineRule="exact"/>
        <w:rPr>
          <w:sz w:val="20"/>
          <w:szCs w:val="20"/>
          <w:color w:val="auto"/>
        </w:rPr>
      </w:pPr>
    </w:p>
    <w:p>
      <w:pPr>
        <w:ind w:left="300"/>
        <w:spacing w:after="0"/>
        <w:tabs>
          <w:tab w:leader="none" w:pos="1000" w:val="left"/>
        </w:tabs>
        <w:rPr>
          <w:rFonts w:ascii="Arial" w:cs="Arial" w:eastAsia="Arial" w:hAnsi="Arial"/>
          <w:sz w:val="18"/>
          <w:szCs w:val="18"/>
          <w:color w:val="0000EE"/>
        </w:rPr>
      </w:pPr>
      <w:hyperlink w:anchor="page6">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5"/>
          <w:szCs w:val="15"/>
          <w:color w:val="0000EE"/>
        </w:rPr>
        <w:t>Press release dated March 13, 2018</w:t>
      </w:r>
    </w:p>
    <w:p>
      <w:pPr>
        <w:spacing w:after="0" w:line="194" w:lineRule="exact"/>
        <w:rPr>
          <w:sz w:val="20"/>
          <w:szCs w:val="20"/>
          <w:color w:val="auto"/>
        </w:rPr>
      </w:pPr>
    </w:p>
    <w:p>
      <w:pPr>
        <w:ind w:left="800" w:hanging="144"/>
        <w:spacing w:after="0"/>
        <w:tabs>
          <w:tab w:leader="none" w:pos="8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Incorporated by reference to the Company’s Current Report on Form 8-K filed on February 4, 2014.</w:t>
      </w:r>
    </w:p>
    <w:p>
      <w:pPr>
        <w:spacing w:after="0" w:line="2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Incorporated by reference to the Company’s Current Report on Form 8-K filed on March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3"/>
          </w:tcPr>
          <w:p>
            <w:pPr>
              <w:ind w:left="1980"/>
              <w:spacing w:after="0"/>
              <w:rPr>
                <w:sz w:val="20"/>
                <w:szCs w:val="20"/>
                <w:color w:val="auto"/>
              </w:rPr>
            </w:pPr>
            <w:r>
              <w:rPr>
                <w:rFonts w:ascii="Arial" w:cs="Arial" w:eastAsia="Arial" w:hAnsi="Arial"/>
                <w:sz w:val="18"/>
                <w:szCs w:val="18"/>
                <w:b w:val="1"/>
                <w:bCs w:val="1"/>
                <w:color w:val="auto"/>
              </w:rPr>
              <w:t>FLUIDIGM CORPORATION</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March 13, 2018</w:t>
            </w:r>
          </w:p>
        </w:tc>
        <w:tc>
          <w:tcPr>
            <w:tcW w:w="7860" w:type="dxa"/>
            <w:vAlign w:val="bottom"/>
            <w:gridSpan w:val="3"/>
          </w:tcPr>
          <w:p>
            <w:pPr>
              <w:ind w:left="1980"/>
              <w:spacing w:after="0"/>
              <w:rPr>
                <w:sz w:val="20"/>
                <w:szCs w:val="20"/>
                <w:color w:val="auto"/>
              </w:rPr>
            </w:pPr>
            <w:r>
              <w:rPr>
                <w:rFonts w:ascii="Arial" w:cs="Arial" w:eastAsia="Arial" w:hAnsi="Arial"/>
                <w:sz w:val="18"/>
                <w:szCs w:val="18"/>
                <w:color w:val="auto"/>
              </w:rPr>
              <w:t>By: /s/ Vikram Jog</w:t>
            </w:r>
          </w:p>
        </w:tc>
      </w:tr>
      <w:tr>
        <w:trPr>
          <w:trHeight w:val="222"/>
        </w:trPr>
        <w:tc>
          <w:tcPr>
            <w:tcW w:w="35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Vikram Jog</w:t>
            </w:r>
          </w:p>
        </w:tc>
        <w:tc>
          <w:tcPr>
            <w:tcW w:w="416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42"/>
        </w:trPr>
        <w:tc>
          <w:tcPr>
            <w:tcW w:w="356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500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59429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34" w:lineRule="exact"/>
        <w:rPr>
          <w:sz w:val="20"/>
          <w:szCs w:val="20"/>
          <w:color w:val="auto"/>
        </w:rPr>
      </w:pPr>
    </w:p>
    <w:p>
      <w:pPr>
        <w:ind w:left="340"/>
        <w:spacing w:after="0"/>
        <w:tabs>
          <w:tab w:leader="none" w:pos="980" w:val="left"/>
        </w:tabs>
        <w:rPr>
          <w:rFonts w:ascii="Arial" w:cs="Arial" w:eastAsia="Arial" w:hAnsi="Arial"/>
          <w:sz w:val="18"/>
          <w:szCs w:val="18"/>
          <w:color w:val="0000EE"/>
        </w:rPr>
      </w:pPr>
      <w:hyperlink r:id="rId21">
        <w:r>
          <w:rPr>
            <w:rFonts w:ascii="Arial" w:cs="Arial" w:eastAsia="Arial" w:hAnsi="Arial"/>
            <w:sz w:val="18"/>
            <w:szCs w:val="18"/>
            <w:u w:val="single" w:color="auto"/>
            <w:color w:val="0000EE"/>
          </w:rPr>
          <w:t>4.1</w:t>
        </w:r>
      </w:hyperlink>
      <w:r>
        <w:rPr>
          <w:rFonts w:ascii="Arial" w:cs="Arial" w:eastAsia="Arial" w:hAnsi="Arial"/>
          <w:sz w:val="18"/>
          <w:szCs w:val="18"/>
          <w:color w:val="0000EE"/>
        </w:rPr>
        <w:tab/>
      </w:r>
      <w:r>
        <w:rPr>
          <w:rFonts w:ascii="Arial" w:cs="Arial" w:eastAsia="Arial" w:hAnsi="Arial"/>
          <w:sz w:val="16"/>
          <w:szCs w:val="16"/>
          <w:color w:val="0000EE"/>
        </w:rPr>
        <w:t>Indenture, dated February 4, 2014, between the Company and U.S. Bank National Association*</w:t>
      </w:r>
    </w:p>
    <w:p>
      <w:pPr>
        <w:spacing w:after="0" w:line="36" w:lineRule="exact"/>
        <w:rPr>
          <w:sz w:val="20"/>
          <w:szCs w:val="20"/>
          <w:color w:val="auto"/>
        </w:rPr>
      </w:pPr>
    </w:p>
    <w:p>
      <w:pPr>
        <w:ind w:left="340"/>
        <w:spacing w:after="0"/>
        <w:tabs>
          <w:tab w:leader="none" w:pos="980" w:val="left"/>
        </w:tabs>
        <w:rPr>
          <w:rFonts w:ascii="Arial" w:cs="Arial" w:eastAsia="Arial" w:hAnsi="Arial"/>
          <w:sz w:val="18"/>
          <w:szCs w:val="18"/>
          <w:color w:val="0000EE"/>
        </w:rPr>
      </w:pPr>
      <w:hyperlink r:id="rId22">
        <w:r>
          <w:rPr>
            <w:rFonts w:ascii="Arial" w:cs="Arial" w:eastAsia="Arial" w:hAnsi="Arial"/>
            <w:sz w:val="18"/>
            <w:szCs w:val="18"/>
            <w:u w:val="single" w:color="auto"/>
            <w:color w:val="0000EE"/>
          </w:rPr>
          <w:t>4.2</w:t>
        </w:r>
      </w:hyperlink>
      <w:r>
        <w:rPr>
          <w:rFonts w:ascii="Arial" w:cs="Arial" w:eastAsia="Arial" w:hAnsi="Arial"/>
          <w:sz w:val="18"/>
          <w:szCs w:val="18"/>
          <w:color w:val="0000EE"/>
        </w:rPr>
        <w:tab/>
      </w:r>
      <w:r>
        <w:rPr>
          <w:rFonts w:ascii="Arial" w:cs="Arial" w:eastAsia="Arial" w:hAnsi="Arial"/>
          <w:sz w:val="16"/>
          <w:szCs w:val="16"/>
          <w:color w:val="0000EE"/>
        </w:rPr>
        <w:t>Second Supplemental Indenture, dated March 6, 2018, between the Company and U.S. Bank National Association†</w:t>
      </w:r>
    </w:p>
    <w:p>
      <w:pPr>
        <w:spacing w:after="0" w:line="36"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Exchange Note (included in Exhibit 4.2)</w:t>
      </w:r>
    </w:p>
    <w:p>
      <w:pPr>
        <w:spacing w:after="0" w:line="36" w:lineRule="exact"/>
        <w:rPr>
          <w:sz w:val="20"/>
          <w:szCs w:val="20"/>
          <w:color w:val="auto"/>
        </w:rPr>
      </w:pPr>
    </w:p>
    <w:p>
      <w:pPr>
        <w:ind w:left="280"/>
        <w:spacing w:after="0"/>
        <w:tabs>
          <w:tab w:leader="none" w:pos="980" w:val="left"/>
        </w:tabs>
        <w:rPr>
          <w:rFonts w:ascii="Arial" w:cs="Arial" w:eastAsia="Arial" w:hAnsi="Arial"/>
          <w:sz w:val="18"/>
          <w:szCs w:val="18"/>
          <w:color w:val="0000EE"/>
        </w:rPr>
      </w:pPr>
      <w:hyperlink w:anchor="page6">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5"/>
          <w:szCs w:val="15"/>
          <w:color w:val="0000EE"/>
        </w:rPr>
        <w:t>Press release dated March 13, 2018</w:t>
      </w:r>
    </w:p>
    <w:p>
      <w:pPr>
        <w:spacing w:after="0" w:line="235" w:lineRule="exact"/>
        <w:rPr>
          <w:sz w:val="20"/>
          <w:szCs w:val="20"/>
          <w:color w:val="auto"/>
        </w:rPr>
      </w:pPr>
    </w:p>
    <w:p>
      <w:pPr>
        <w:ind w:left="780" w:hanging="144"/>
        <w:spacing w:after="0"/>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Incorporated by reference to the Company’s Current Report on Form 8-K filed on February 4, 2014.</w:t>
      </w:r>
    </w:p>
    <w:p>
      <w:pPr>
        <w:spacing w:after="0" w:line="2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Incorporated by reference to the Company’s Current Report on Form 8-K filed on March 6, 2018.</w:t>
      </w:r>
    </w:p>
    <w:p>
      <w:pPr>
        <w:sectPr>
          <w:pgSz w:w="11900" w:h="16838" w:orient="portrait"/>
          <w:cols w:equalWidth="0" w:num="1">
            <w:col w:w="10199"/>
          </w:cols>
          <w:pgMar w:left="260" w:top="337"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Announces Exchange of Convertible Notes</w:t>
      </w:r>
    </w:p>
    <w:p>
      <w:pPr>
        <w:spacing w:after="0" w:line="212" w:lineRule="exact"/>
        <w:rPr>
          <w:sz w:val="20"/>
          <w:szCs w:val="20"/>
          <w:color w:val="auto"/>
        </w:rPr>
      </w:pPr>
    </w:p>
    <w:p>
      <w:pPr>
        <w:ind w:right="120"/>
        <w:spacing w:after="0" w:line="274" w:lineRule="auto"/>
        <w:rPr>
          <w:sz w:val="20"/>
          <w:szCs w:val="20"/>
          <w:color w:val="auto"/>
        </w:rPr>
      </w:pPr>
      <w:r>
        <w:rPr>
          <w:rFonts w:ascii="Arial" w:cs="Arial" w:eastAsia="Arial" w:hAnsi="Arial"/>
          <w:sz w:val="19"/>
          <w:szCs w:val="19"/>
          <w:color w:val="auto"/>
        </w:rPr>
        <w:t>SOUTH SAN FRANCISCO, Calif., March 13, 2018 (GLOBE NEWSWIRE) -- Fluidigm Corporation (NASDAQ:FLDM) today announced that it has entered into separate privately negotiated transactions to exchange approximately $25.0 million in aggregate principal amount of its 2.75% Convertible Senior Notes due 2034 (the “Existing Notes”) for approximately $25.0 million in aggregate principal amount of additional 2.75% Exchange Convertible Senior Notes due 2034 (the “Exchange Notes” and such transaction, the “Exchange”). These additional Exchange Notes, together with the $125.0 million of Exchange Notes previously sold on March 6, 2018, will form a single class of $150.0 million principal amount of the Exchange Notes. The Exchange Notes will be issued pursuant to the Second Supplemental Indenture, dated March 6, 2018 (the “Second Supplemental Indenture”) to the Indenture, dated February 4, 2014, between the Company and U.S. Bank National Association (the “Base Indenture” and, together with the Second Supplemental Indenture, the “Indenture”).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Each $1,000 principal amount of Existing Notes will be exchanged for $1,000 principal amount of Exchange Notes.</w:t>
      </w:r>
    </w:p>
    <w:p>
      <w:pPr>
        <w:spacing w:after="0" w:line="206"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The Exchange Notes will be senior, unsecured obligations of Fluidigm and will bear interest at a rate of 2.75% per year. Interest will be payable semi-annually in arrears on February 1 and August 1 of each year, beginning on August 1, 2018. The Exchange Notes will mature on February 1, 2034, unless earlier converted, redeemed or repurchased in accordance with the terms of the Exchange Notes.</w:t>
      </w:r>
    </w:p>
    <w:p>
      <w:pPr>
        <w:spacing w:after="0" w:line="185"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The Exchange Notes have an initial conversion rate of 126.9438 common shares per $1,000 principal amount or principal amount at maturity, as applicable, which is equivalent to an initial conversion price of approximately $7.88 per share of Fluidigm’s common stock. The Exchange Notes will be convertible at the option of the holder at any time prior to the business day immediately preceding the maturity date of the Exchange Notes. The Exchange Notes will also be convertible at Fluidigm’s option upon certain conditions specified in the Indenture (the “Company’s issuer conversion option”). Upon conversion of the Exchange Notes, holders will receive cash, shares of Fluidigm’s common stock or a combination of cash and shares of Fluidigm’s stock, at Fluidigm’s election.</w:t>
      </w:r>
    </w:p>
    <w:p>
      <w:pPr>
        <w:spacing w:after="0" w:line="191" w:lineRule="exact"/>
        <w:rPr>
          <w:sz w:val="20"/>
          <w:szCs w:val="20"/>
          <w:color w:val="auto"/>
        </w:rPr>
      </w:pPr>
    </w:p>
    <w:p>
      <w:pPr>
        <w:jc w:val="both"/>
        <w:ind w:right="140"/>
        <w:spacing w:after="0" w:line="287" w:lineRule="auto"/>
        <w:rPr>
          <w:sz w:val="20"/>
          <w:szCs w:val="20"/>
          <w:color w:val="auto"/>
        </w:rPr>
      </w:pPr>
      <w:r>
        <w:rPr>
          <w:rFonts w:ascii="Arial" w:cs="Arial" w:eastAsia="Arial" w:hAnsi="Arial"/>
          <w:sz w:val="19"/>
          <w:szCs w:val="19"/>
          <w:color w:val="auto"/>
        </w:rPr>
        <w:t>Holders of the Exchange Notes will have the right, at their option, to require Fluidigm to purchase their Notes (i) on February 6, 2023, February 6, 2026 and February 6, 2029 or (ii) if Fluidigm undergoes a fundamental change (as defined in the Indenture), in each case, at a repurchase price equal to 100% of the accreted principal amount of the Exchange Notes on the fundamental change repurchase date, plus accrued and unpaid interest, if any, to, but excluding, such repurchase date.</w:t>
      </w:r>
    </w:p>
    <w:p>
      <w:pPr>
        <w:spacing w:after="0" w:line="143" w:lineRule="exact"/>
        <w:rPr>
          <w:sz w:val="20"/>
          <w:szCs w:val="20"/>
          <w:color w:val="auto"/>
        </w:rPr>
      </w:pPr>
    </w:p>
    <w:p>
      <w:pPr>
        <w:ind w:right="340"/>
        <w:spacing w:after="0" w:line="238" w:lineRule="auto"/>
        <w:rPr>
          <w:sz w:val="20"/>
          <w:szCs w:val="20"/>
          <w:color w:val="auto"/>
        </w:rPr>
      </w:pPr>
      <w:r>
        <w:rPr>
          <w:rFonts w:ascii="Arial" w:cs="Arial" w:eastAsia="Arial" w:hAnsi="Arial"/>
          <w:sz w:val="22"/>
          <w:szCs w:val="22"/>
          <w:color w:val="auto"/>
        </w:rPr>
        <w:t>Prior to February 6, 2023, Holders who convert their Exchange Notes voluntarily prior to the exercise of the Company’s issuer conversion option or in connection with a “make-whole fundamental change” (as defined in the Indenture), will, under certain circumstances, be entitled to a make-whole premium in the form of an increase in the applicable conversion rate by a number of additional shares for such converting Exchange Note.</w:t>
      </w:r>
    </w:p>
    <w:p>
      <w:pPr>
        <w:spacing w:after="0" w:line="185"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On or after February 6, 2022, Fluidigm may redeem the Exchange Notes in cash at a redemption price equal to 100% of the accreted principal amount of the Exchange Notes on the redemption date of the Exchange Notes, plus accrued and unpaid interest, if any, to, but excluding, the redemption date.</w:t>
      </w:r>
    </w:p>
    <w:p>
      <w:pPr>
        <w:spacing w:after="0" w:line="186" w:lineRule="exact"/>
        <w:rPr>
          <w:sz w:val="20"/>
          <w:szCs w:val="20"/>
          <w:color w:val="auto"/>
        </w:rPr>
      </w:pPr>
    </w:p>
    <w:p>
      <w:pPr>
        <w:jc w:val="both"/>
        <w:ind w:right="660"/>
        <w:spacing w:after="0"/>
        <w:rPr>
          <w:sz w:val="20"/>
          <w:szCs w:val="20"/>
          <w:color w:val="auto"/>
        </w:rPr>
      </w:pPr>
      <w:r>
        <w:rPr>
          <w:rFonts w:ascii="Arial" w:cs="Arial" w:eastAsia="Arial" w:hAnsi="Arial"/>
          <w:sz w:val="22"/>
          <w:szCs w:val="22"/>
          <w:color w:val="auto"/>
        </w:rPr>
        <w:t>Fluidigm anticipates that the closings of the Exchange will occur on or about March 15, 2018, subject to customary closing conditions. Following the closing of the Exchange, Fluidigm anticipates that $51.3 million in aggregate principal amount of Existing Notes will remain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14" w:lineRule="exact"/>
        <w:rPr>
          <w:sz w:val="20"/>
          <w:szCs w:val="20"/>
          <w:color w:val="auto"/>
        </w:rPr>
      </w:pPr>
    </w:p>
    <w:p>
      <w:pPr>
        <w:ind w:right="120"/>
        <w:spacing w:after="0" w:line="232" w:lineRule="auto"/>
        <w:rPr>
          <w:sz w:val="20"/>
          <w:szCs w:val="20"/>
          <w:color w:val="auto"/>
        </w:rPr>
      </w:pPr>
      <w:r>
        <w:rPr>
          <w:rFonts w:ascii="Arial" w:cs="Arial" w:eastAsia="Arial" w:hAnsi="Arial"/>
          <w:sz w:val="22"/>
          <w:szCs w:val="22"/>
          <w:color w:val="auto"/>
        </w:rPr>
        <w:t>Fluidigm (NASDAQ:FLDM) develops, manufactures, and markets life science analytical and preparatory systems for growth markets such as single-cell biology and production genomics. We sell to leading academic institutions, clinical laboratories, and pharmaceutical, biotechnology, and agricultural biotechnology companies worldwide. Fluidigm’s systems are based on proprietary microfluidics and multiparameter mass cytometry technology and are designed to significantly simplify experimental workflow, increase throughput, and reduce costs while providing excellent data quality. Fluidigm products are provided for Research Use Only. Not for use in diagnostic procedures.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Investors:</w:t>
      </w:r>
    </w:p>
    <w:p>
      <w:pPr>
        <w:spacing w:after="0" w:line="230" w:lineRule="auto"/>
        <w:rPr>
          <w:sz w:val="20"/>
          <w:szCs w:val="20"/>
          <w:color w:val="auto"/>
        </w:rPr>
      </w:pPr>
      <w:r>
        <w:rPr>
          <w:rFonts w:ascii="Arial" w:cs="Arial" w:eastAsia="Arial" w:hAnsi="Arial"/>
          <w:sz w:val="22"/>
          <w:szCs w:val="22"/>
          <w:color w:val="auto"/>
        </w:rPr>
        <w:t>Ana Petrovic</w:t>
      </w:r>
    </w:p>
    <w:p>
      <w:pPr>
        <w:spacing w:after="0" w:line="231" w:lineRule="auto"/>
        <w:rPr>
          <w:sz w:val="20"/>
          <w:szCs w:val="20"/>
          <w:color w:val="auto"/>
        </w:rPr>
      </w:pPr>
      <w:r>
        <w:rPr>
          <w:rFonts w:ascii="Arial" w:cs="Arial" w:eastAsia="Arial" w:hAnsi="Arial"/>
          <w:sz w:val="22"/>
          <w:szCs w:val="22"/>
          <w:color w:val="auto"/>
        </w:rPr>
        <w:t>Director, Corporate Development and Investor Relations</w:t>
      </w:r>
    </w:p>
    <w:p>
      <w:pPr>
        <w:spacing w:after="0" w:line="230" w:lineRule="auto"/>
        <w:rPr>
          <w:sz w:val="20"/>
          <w:szCs w:val="20"/>
          <w:color w:val="auto"/>
        </w:rPr>
      </w:pPr>
      <w:r>
        <w:rPr>
          <w:rFonts w:ascii="Arial" w:cs="Arial" w:eastAsia="Arial" w:hAnsi="Arial"/>
          <w:sz w:val="22"/>
          <w:szCs w:val="22"/>
          <w:color w:val="auto"/>
        </w:rPr>
        <w:t>Fluidigm Corporation</w:t>
      </w:r>
    </w:p>
    <w:p>
      <w:pPr>
        <w:spacing w:after="0" w:line="231" w:lineRule="auto"/>
        <w:rPr>
          <w:sz w:val="20"/>
          <w:szCs w:val="20"/>
          <w:color w:val="auto"/>
        </w:rPr>
      </w:pPr>
      <w:r>
        <w:rPr>
          <w:rFonts w:ascii="Arial" w:cs="Arial" w:eastAsia="Arial" w:hAnsi="Arial"/>
          <w:sz w:val="22"/>
          <w:szCs w:val="22"/>
          <w:color w:val="auto"/>
        </w:rPr>
        <w:t>650 243 6628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ana.petrovic@fluidigm.com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Media:</w:t>
      </w:r>
    </w:p>
    <w:p>
      <w:pPr>
        <w:spacing w:after="0" w:line="238" w:lineRule="auto"/>
        <w:rPr>
          <w:sz w:val="20"/>
          <w:szCs w:val="20"/>
          <w:color w:val="auto"/>
        </w:rPr>
      </w:pPr>
      <w:r>
        <w:rPr>
          <w:rFonts w:ascii="Arial" w:cs="Arial" w:eastAsia="Arial" w:hAnsi="Arial"/>
          <w:sz w:val="22"/>
          <w:szCs w:val="22"/>
          <w:color w:val="auto"/>
        </w:rPr>
        <w:t>Mark Spearman</w:t>
      </w:r>
    </w:p>
    <w:p>
      <w:pPr>
        <w:spacing w:after="0" w:line="230" w:lineRule="auto"/>
        <w:rPr>
          <w:sz w:val="20"/>
          <w:szCs w:val="20"/>
          <w:color w:val="auto"/>
        </w:rPr>
      </w:pPr>
      <w:r>
        <w:rPr>
          <w:rFonts w:ascii="Arial" w:cs="Arial" w:eastAsia="Arial" w:hAnsi="Arial"/>
          <w:sz w:val="22"/>
          <w:szCs w:val="22"/>
          <w:color w:val="auto"/>
        </w:rPr>
        <w:t>Senior Director, Corporate Communications</w:t>
      </w:r>
    </w:p>
    <w:p>
      <w:pPr>
        <w:spacing w:after="0" w:line="231" w:lineRule="auto"/>
        <w:rPr>
          <w:sz w:val="20"/>
          <w:szCs w:val="20"/>
          <w:color w:val="auto"/>
        </w:rPr>
      </w:pPr>
      <w:r>
        <w:rPr>
          <w:rFonts w:ascii="Arial" w:cs="Arial" w:eastAsia="Arial" w:hAnsi="Arial"/>
          <w:sz w:val="22"/>
          <w:szCs w:val="22"/>
          <w:color w:val="auto"/>
        </w:rPr>
        <w:t>Fluidigm Corporation</w:t>
      </w:r>
    </w:p>
    <w:p>
      <w:pPr>
        <w:spacing w:after="0" w:line="231" w:lineRule="auto"/>
        <w:rPr>
          <w:sz w:val="20"/>
          <w:szCs w:val="20"/>
          <w:color w:val="auto"/>
        </w:rPr>
      </w:pPr>
      <w:r>
        <w:rPr>
          <w:rFonts w:ascii="Arial" w:cs="Arial" w:eastAsia="Arial" w:hAnsi="Arial"/>
          <w:sz w:val="22"/>
          <w:szCs w:val="22"/>
          <w:color w:val="auto"/>
        </w:rPr>
        <w:t>650 243 6621</w:t>
      </w:r>
    </w:p>
    <w:p>
      <w:pPr>
        <w:spacing w:after="0"/>
        <w:rPr>
          <w:sz w:val="20"/>
          <w:szCs w:val="20"/>
          <w:color w:val="auto"/>
        </w:rPr>
      </w:pPr>
      <w:r>
        <w:rPr>
          <w:rFonts w:ascii="Arial" w:cs="Arial" w:eastAsia="Arial" w:hAnsi="Arial"/>
          <w:sz w:val="22"/>
          <w:szCs w:val="22"/>
          <w:color w:val="auto"/>
        </w:rPr>
        <w:t>mark.spearman@fluidigm.com</w:t>
      </w:r>
    </w:p>
    <w:p>
      <w:pPr>
        <w:sectPr>
          <w:pgSz w:w="11900" w:h="16838" w:orient="portrait"/>
          <w:cols w:equalWidth="0" w:num="1">
            <w:col w:w="11420"/>
          </w:cols>
          <w:pgMar w:left="240" w:top="111" w:right="239" w:bottom="0" w:gutter="0" w:footer="0" w:header="0"/>
        </w:sectPr>
      </w:pPr>
    </w:p>
    <w:bookmarkStart w:id="6" w:name="page7"/>
    <w:bookmarkEnd w:id="6"/>
    <w:p>
      <w:pPr>
        <w:spacing w:after="0" w:line="247" w:lineRule="auto"/>
        <w:rPr>
          <w:sz w:val="20"/>
          <w:szCs w:val="20"/>
          <w:color w:val="auto"/>
        </w:rPr>
      </w:pPr>
      <w:r>
        <w:rPr>
          <w:rFonts w:ascii="Arial" w:cs="Arial" w:eastAsia="Arial" w:hAnsi="Arial"/>
          <w:sz w:val="21"/>
          <w:szCs w:val="21"/>
          <w:i w:val="1"/>
          <w:iCs w:val="1"/>
          <w:color w:val="auto"/>
        </w:rPr>
        <w:t>This press release contains forward-looking statements regarding the anticipated closing date of the Exchange and the anticipated accounting impact of such transactions. Actual events or results may differ materially from those contained in the forward-looking statements. Please refer to the documents Fluidigm files from time to time with the Securities and Exchange Commission, specifically Fluidigm's most recent Form 10-K and Form 10-Q. These documents contain and identify important factors that could cause the actual results for Fluidigm to differ materially from those contained in our forward-looking statements. Although we believe that the expectations reflected in the forward-looking statements are reasonable, we cannot guarantee future results, levels of activity, performance or achievements.</w:t>
      </w:r>
    </w:p>
    <w:sectPr>
      <w:pgSz w:w="11900" w:h="16838" w:orient="portrait"/>
      <w:cols w:equalWidth="0" w:num="1">
        <w:col w:w="11360"/>
      </w:cols>
      <w:pgMar w:left="24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1" Type="http://schemas.openxmlformats.org/officeDocument/2006/relationships/hyperlink" Target="http://www.sec.gov/Archives/edgar/data/1162194/000119312514034901/d669277dex41.htm" TargetMode="External"/><Relationship Id="rId22" Type="http://schemas.openxmlformats.org/officeDocument/2006/relationships/hyperlink" Target="http://www.sec.gov/Archives/edgar/data/1162194/000117184318001740/exh_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2019-12-28T23:27:55Z</dcterms:created>
  <dcterms:modified xsi:type="dcterms:W3CDTF">2019-12-28T23:27:55Z</dcterms:modified>
</cp:coreProperties>
</file>