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June 30,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001-34180</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0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117475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7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June 30, 2011, we entered into a series of patent cross-license and sub-license agreements with Life Technologies Corporation and their Applied Biosystems, LLC subsidiary, or Life, relating to various patent rights of the two companies. Specifically, the agreements involve a cross-license concerning our imaging readers and other patent filings and certain of Life’s patent families relating to methods and instruments for conducting nucleic acid amplification, such as with polymerase chain reaction, or PCR; a sub-license that provides us access to certain of Life’s digital PCR patents; and a sublicense that provides Life access to certain of our non-core technology patents licensed from the California Institute of Technology. These agreements resolve litigation filed by us against Life on June 28, 2011 in United States District Court for the Northern District of California and by Life against us on June 28, 2011 in United States District Court for the District of Delaware. The licenses we granted to Life contain certain limitations on Life’s rights under our intellectual property to make systems that read our proprietary integrated fluidic circuits, or IFCs.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the terms of the agreements, each party is responsible for making certain payments to the other, and on June 30, 2011, these obligations resulted in a net $3.0 million up-front payment to Life from us. We are currently evaluating the accounting impact of the agreements with Life and will provide further guidance in our earnings announcement for the quarter ended June 30, 2011. The agreements also provide for various royalty payments by each of the parties, including a royalty on certain Life instruments. Based on our current business and expectations, we do not anticipate that royalty payments will have a material effect on our operating results.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expect the agreements entered with Life to affect our exclusive collaboration with Novartis Vaccines &amp; Diagnostics, Inc.</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terms of the agreements, either party has the option, exercisable for thirty days from the date of the agreements, to limit or preclude certain patent litigation between the parties over the next two to four years. These rights are subject to certain exceptions and would involve an additional payment by the respective party exercising the option at the time of exercise.</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July 6, 2010, we issued a press release concerning the agreements with Life. A copy of the press release is attached to this Current Report on Form 8-K as Exhibit 99.1.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Note About Forward-Looking Statements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Current Report on Form 8-K contains forward-looking statements within the meaning of the Private Securities Litigation Reform Act of</w:t>
      </w:r>
    </w:p>
    <w:p>
      <w:pPr>
        <w:spacing w:after="0" w:line="3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1995. Forward-looking statements include, among others, statements relating to our expectations concerning the impact of our recent agreements with Life Technologies Corporation and their Applied Biosystems, LLC subsidiary on our business, operating results, and strategic relationships with third parties. Forward-looking statements are subject to numerous risks and uncertainties that could cause Fluidigm’s actual results to differ materially from Fluidigm’s currently anticipated results. Factors that could materially affect future results include, but are not limited to, risks relating to market acceptance of Fluidigm’s products and technologies, including Fluidigm’s genomic analysis readers, other instrumentation, and its integrated fluidic circuits. Any of these risks, as well as other risks and uncertainties relating to Fluidigm’s business in general and intellectual property litigation in particular, could have a material adverse effect on Fluidigm’s business, operating results, and/or financial condition. For more information about the risks and uncertainties affecting Fluidigm, investors are cautioned to review the detailed risk factor disclosure contained in Fluidigm’s filings with the Securities and Exchange Commission, including Fluidigm’s most recent Annual Report on Form 10-K and Quarterly Report on Form 10-Q. These forward-looking statements speak only as of the date hereof. Fluidigm Corporation disclaims any obligation to update these forward-looking statements.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9.0.1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-194310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760" w:space="380"/>
            <w:col w:w="9079"/>
          </w:cols>
          <w:pgMar w:left="240" w:top="274" w:right="1440" w:bottom="1440" w:gutter="0" w:footer="0" w:header="0"/>
        </w:sectPr>
      </w:pPr>
    </w:p>
    <w:p>
      <w:pPr>
        <w:spacing w:after="0"/>
        <w:rPr>
          <w:sz w:val="20"/>
          <w:szCs w:val="20"/>
          <w:color w:val="auto"/>
        </w:rPr>
      </w:pPr>
      <w:r>
        <w:rPr>
          <w:rFonts w:ascii="Arial" w:cs="Arial" w:eastAsia="Arial" w:hAnsi="Arial"/>
          <w:sz w:val="16"/>
          <w:szCs w:val="16"/>
          <w:color w:val="auto"/>
        </w:rPr>
        <w:t>(d) Exhibits.</w:t>
      </w:r>
    </w:p>
    <w:p>
      <w:pPr>
        <w:sectPr>
          <w:pgSz w:w="11900" w:h="16838" w:orient="portrait"/>
          <w:cols w:equalWidth="0" w:num="1">
            <w:col w:w="10219"/>
          </w:cols>
          <w:pgMar w:left="240" w:top="274" w:right="1440" w:bottom="1440" w:gutter="0" w:footer="0" w:header="0"/>
          <w:type w:val="continuous"/>
        </w:sectPr>
      </w:pP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Exhibit No.</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134" w:lineRule="exact"/>
        <w:rPr>
          <w:sz w:val="20"/>
          <w:szCs w:val="20"/>
          <w:color w:val="auto"/>
        </w:rPr>
      </w:pPr>
    </w:p>
    <w:p>
      <w:pPr>
        <w:sectPr>
          <w:pgSz w:w="11900" w:h="16838" w:orient="portrait"/>
          <w:cols w:equalWidth="0" w:num="2">
            <w:col w:w="660" w:space="500"/>
            <w:col w:w="9059"/>
          </w:cols>
          <w:pgMar w:left="240" w:top="274" w:right="1440" w:bottom="1440" w:gutter="0" w:footer="0" w:header="0"/>
          <w:type w:val="continuous"/>
        </w:sect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Fluidigm Corporation Press Release, dated July 6, 2011</w:t>
      </w:r>
    </w:p>
    <w:p>
      <w:pPr>
        <w:sectPr>
          <w:pgSz w:w="11900" w:h="16838" w:orient="portrait"/>
          <w:cols w:equalWidth="0" w:num="1">
            <w:col w:w="10219"/>
          </w:cols>
          <w:pgMar w:left="240" w:top="274" w:right="1440" w:bottom="1440" w:gutter="0" w:footer="0" w:header="0"/>
          <w:type w:val="continuous"/>
        </w:sectPr>
      </w:pPr>
    </w:p>
    <w:p>
      <w:pPr>
        <w:spacing w:after="0" w:line="158" w:lineRule="exact"/>
        <w:rPr>
          <w:sz w:val="20"/>
          <w:szCs w:val="20"/>
          <w:color w:val="auto"/>
        </w:rPr>
      </w:pPr>
    </w:p>
    <w:p>
      <w:pPr>
        <w:jc w:val="right"/>
        <w:ind w:right="439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219"/>
          </w:cols>
          <w:pgMar w:left="240" w:top="274" w:right="1440" w:bottom="1440" w:gutter="0" w:footer="0" w:header="0"/>
          <w:type w:val="continuous"/>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FLUIDIGM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William M. Smith</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Legal Affairs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General Counsel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July 6, 2011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 w:name="page5"/>
    <w:bookmarkEnd w:id="4"/>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8890</wp:posOffset>
            </wp:positionV>
            <wp:extent cx="65862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88" w:lineRule="exact"/>
        <w:rPr>
          <w:sz w:val="20"/>
          <w:szCs w:val="20"/>
          <w:color w:val="auto"/>
        </w:rPr>
      </w:pPr>
    </w:p>
    <w:p>
      <w:pPr>
        <w:ind w:left="260"/>
        <w:spacing w:after="0"/>
        <w:tabs>
          <w:tab w:leader="none" w:pos="1020" w:val="left"/>
        </w:tabs>
        <w:rPr>
          <w:sz w:val="20"/>
          <w:szCs w:val="20"/>
          <w:color w:val="auto"/>
        </w:rPr>
      </w:pPr>
      <w:r>
        <w:rPr>
          <w:rFonts w:ascii="Arial" w:cs="Arial" w:eastAsia="Arial" w:hAnsi="Arial"/>
          <w:sz w:val="18"/>
          <w:szCs w:val="18"/>
          <w:b w:val="1"/>
          <w:bCs w:val="1"/>
          <w:color w:val="auto"/>
        </w:rPr>
        <w:t>99.1</w:t>
      </w:r>
      <w:r>
        <w:rPr>
          <w:sz w:val="20"/>
          <w:szCs w:val="20"/>
          <w:color w:val="auto"/>
        </w:rPr>
        <w:tab/>
      </w:r>
      <w:r>
        <w:rPr>
          <w:rFonts w:ascii="Arial" w:cs="Arial" w:eastAsia="Arial" w:hAnsi="Arial"/>
          <w:sz w:val="15"/>
          <w:szCs w:val="15"/>
          <w:color w:val="auto"/>
        </w:rPr>
        <w:t>Fluidigm Corporation Press Release dated July 6, 2011</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274"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AND LIFE TECHNOLOGIES CROSS-LICENSE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BROAD SET OF INTELLECTUAL PROPERTIES</w:t>
      </w:r>
    </w:p>
    <w:p>
      <w:pPr>
        <w:spacing w:after="0" w:line="16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SOUTH SAN FRANCISCO, Calif., July 6, 2011 – Fluidigm Corporation (NASDAQ:FLDM) today announced that it has entered into a set of cross-licensing and sub-licensing agreements on a range of intellectual properties with Life Technologies (NASDAQ:LIFE).</w:t>
      </w:r>
    </w:p>
    <w:p>
      <w:pPr>
        <w:spacing w:after="0" w:line="132"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Under the terms of the agreements, Fluidigm will gain broad access to patent families covering PCR related technologies of Life Technologies. In addition, Life Technologies will gain broad access to a number of Fluidigm patent families related to imaging readers and other technologies.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Recent legal actions that had been filed by both parties have been withdrawn.</w:t>
      </w:r>
    </w:p>
    <w:p>
      <w:pPr>
        <w:spacing w:after="0" w:line="17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“This is a very positive outcome for both companies. It provides each company with the freedom to compete in the marketplace instead of the courtroom,” said Gajus Worthington, Fluidigm President and Chief Executive Officer. “We are pleased to have broad access to the PCR patent portfolio of Life Technologies. This ensures that our customers have access to a broad array of assays on our advanced systems, such as our BioMark™ HD. We are also pleased to have the first recognition of the value of our non-core IP (intellectual property), which builds significant value for others outside of our core platform.”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Fluidigm</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Fluidigm (NASDAQ:FLDM) develops, manufactures and markets microfluidic systems for growth markets in the life science and agricultural biotechnology, or Ag-Bio, industries. Fluidigm’s proprietary microfluidic systems consist of instruments and consumables, including integrated fluidic circuits, or chips, and reagents. These systems are designed to significantly simplify experimental workflow, increase throughput and reduce costs, while providing the excellent data quality demanded by customers. Fluidigm actively markets three microfluidic systems including nine different commercial chips to leading pharmaceutical and biotechnology companies, academic institutions and Ag-Bio companies.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www.fluidigm.com.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Fluidigm, the Fluidigm logo, BioMark, are trademarks or registered trademarks of Fluidigm Corporation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About Forward-Looking Statements</w:t>
      </w:r>
    </w:p>
    <w:p>
      <w:pPr>
        <w:spacing w:after="0" w:line="9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Forward-looking statements include, among others, statements relating to future developments in the design of genomic analysis readers, the potential commercial value of Fluidigm’s existing and future technologies and intellectual property rights, and the potential outcome of pending litigation against Life Technologies. Forward-looking statements are subject to numerous risks and uncertainties that could cause Fluidigm’s actual results to differ materially from Fluidigm’s currently anticipated results. Factors that could materially affect future results include, but are not limited to, risks relating to market acceptance of Fluidigm’s products and technologies, including Fluidigm’s genomic analysis readers, other instrumentation, and its integrated fluidic circuits; risks common to intellectual property litigation, including increased legal expenses, management distraction from Fluidigm’s core business, and the potential for an adverse outcome, settlement, or judgment; and the risks of counterclaims against us, including potential actions by Life Technologies claiming infringement by Fluidigm of Life’s technologies and intellectual property rights. Any of these risks, as well as other risks and uncertainties relating to Fluidigm’s business in general and intellectual property litigation in particular, could have a material adverse effect on Fluidigm’s business, operating results, and/or financial condition. For more information about the risks and uncertainties affecting Fluidigm, investors are cautioned to review the detailed risk factor disclosure contained in Fluidigm’s filings with the Securities and Exchange Commission, including Fluidigm’s most recent Annual Report on Form 10-K and Quarterly Report on Form 10-Q. These forward- looking statements speak only as of the date hereof. Fluidigm Corporation disclaims any obligation to update these forward-looking statements.</w:t>
      </w:r>
    </w:p>
    <w:p>
      <w:pPr>
        <w:sectPr>
          <w:pgSz w:w="11900" w:h="16838" w:orient="portrait"/>
          <w:cols w:equalWidth="0" w:num="1">
            <w:col w:w="11420"/>
          </w:cols>
          <w:pgMar w:left="240" w:top="125" w:right="2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CONTACT: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Howard High</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Fluidigm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650.266.6081 (office)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510.786.7378 (mobile)</w:t>
      </w:r>
    </w:p>
    <w:p>
      <w:pPr>
        <w:spacing w:after="0" w:line="32" w:lineRule="exact"/>
        <w:rPr>
          <w:sz w:val="20"/>
          <w:szCs w:val="20"/>
          <w:color w:val="auto"/>
        </w:rPr>
      </w:pPr>
    </w:p>
    <w:p>
      <w:pPr>
        <w:sectPr>
          <w:pgSz w:w="11900" w:h="16838" w:orient="portrait"/>
          <w:cols w:equalWidth="0" w:num="2">
            <w:col w:w="860" w:space="540"/>
            <w:col w:w="10020"/>
          </w:cols>
          <w:pgMar w:left="240" w:top="125" w:right="2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howard.high@fluidigm.com</w:t>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2019-12-10T21:47:19Z</dcterms:created>
  <dcterms:modified xsi:type="dcterms:W3CDTF">2019-12-10T21:47:19Z</dcterms:modified>
</cp:coreProperties>
</file>