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731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7316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877"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JONES ROBERT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08/01/2012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6"/>
          <w:szCs w:val="16"/>
          <w:color w:val="0000FF"/>
        </w:rPr>
        <w:t>EVP, Research &amp; Development</w:t>
      </w:r>
    </w:p>
    <w:p>
      <w:pPr>
        <w:spacing w:after="0" w:line="581" w:lineRule="exact"/>
        <w:rPr>
          <w:sz w:val="24"/>
          <w:szCs w:val="24"/>
          <w:color w:val="auto"/>
        </w:rPr>
      </w:pPr>
    </w:p>
    <w:p>
      <w:pPr>
        <w:sectPr>
          <w:pgSz w:w="11900" w:h="16838" w:orient="portrait"/>
          <w:cols w:equalWidth="0" w:num="3">
            <w:col w:w="3360" w:space="720"/>
            <w:col w:w="3257" w:space="720"/>
            <w:col w:w="3463"/>
          </w:cols>
          <w:pgMar w:left="240" w:top="226" w:right="139" w:bottom="877"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440"/>
          </w:cols>
          <w:pgMar w:left="240" w:top="226" w:right="139" w:bottom="877"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jc w:val="center"/>
              <w:ind w:left="348"/>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jc w:val="center"/>
              <w:ind w:left="368"/>
              <w:spacing w:after="0"/>
              <w:rPr>
                <w:sz w:val="20"/>
                <w:szCs w:val="20"/>
                <w:color w:val="auto"/>
              </w:rPr>
            </w:pPr>
            <w:r>
              <w:rPr>
                <w:rFonts w:ascii="Arial" w:cs="Arial" w:eastAsia="Arial" w:hAnsi="Arial"/>
                <w:sz w:val="18"/>
                <w:szCs w:val="18"/>
                <w:color w:val="0000FF"/>
                <w:w w:val="88"/>
              </w:rPr>
              <w:t>08/01/2012</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800" w:type="dxa"/>
            <w:vAlign w:val="bottom"/>
          </w:tcPr>
          <w:p>
            <w:pPr>
              <w:jc w:val="center"/>
              <w:spacing w:after="0"/>
              <w:rPr>
                <w:sz w:val="20"/>
                <w:szCs w:val="20"/>
                <w:color w:val="auto"/>
              </w:rPr>
            </w:pPr>
            <w:r>
              <w:rPr>
                <w:rFonts w:ascii="Arial" w:cs="Arial" w:eastAsia="Arial" w:hAnsi="Arial"/>
                <w:sz w:val="18"/>
                <w:szCs w:val="18"/>
                <w:color w:val="0000FF"/>
                <w:w w:val="88"/>
              </w:rPr>
              <w:t>1,569</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720" w:type="dxa"/>
            <w:vAlign w:val="bottom"/>
            <w:gridSpan w:val="2"/>
          </w:tcPr>
          <w:p>
            <w:pPr>
              <w:jc w:val="center"/>
              <w:ind w:left="26"/>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3.3908</w:t>
            </w:r>
          </w:p>
        </w:tc>
        <w:tc>
          <w:tcPr>
            <w:tcW w:w="1380" w:type="dxa"/>
            <w:vAlign w:val="bottom"/>
            <w:gridSpan w:val="3"/>
          </w:tcPr>
          <w:p>
            <w:pPr>
              <w:jc w:val="center"/>
              <w:ind w:left="72"/>
              <w:spacing w:after="0"/>
              <w:rPr>
                <w:sz w:val="20"/>
                <w:szCs w:val="20"/>
                <w:color w:val="auto"/>
              </w:rPr>
            </w:pPr>
            <w:r>
              <w:rPr>
                <w:rFonts w:ascii="Arial" w:cs="Arial" w:eastAsia="Arial" w:hAnsi="Arial"/>
                <w:sz w:val="18"/>
                <w:szCs w:val="18"/>
                <w:color w:val="0000FF"/>
                <w:w w:val="88"/>
              </w:rPr>
              <w:t>1,569</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368"/>
              <w:spacing w:after="0"/>
              <w:rPr>
                <w:sz w:val="20"/>
                <w:szCs w:val="20"/>
                <w:color w:val="auto"/>
              </w:rPr>
            </w:pPr>
            <w:r>
              <w:rPr>
                <w:rFonts w:ascii="Arial" w:cs="Arial" w:eastAsia="Arial" w:hAnsi="Arial"/>
                <w:sz w:val="18"/>
                <w:szCs w:val="18"/>
                <w:color w:val="0000FF"/>
                <w:w w:val="88"/>
              </w:rPr>
              <w:t>08/01/2012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1,569</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tcPr>
          <w:p>
            <w:pPr>
              <w:jc w:val="center"/>
              <w:ind w:left="86"/>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13.03</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454"/>
              <w:spacing w:after="0"/>
              <w:rPr>
                <w:sz w:val="20"/>
                <w:szCs w:val="20"/>
                <w:color w:val="auto"/>
              </w:rPr>
            </w:pPr>
            <w:r>
              <w:rPr>
                <w:rFonts w:ascii="Arial" w:cs="Arial" w:eastAsia="Arial" w:hAnsi="Arial"/>
                <w:sz w:val="18"/>
                <w:szCs w:val="18"/>
                <w:color w:val="0000FF"/>
                <w:w w:val="79"/>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jc w:val="center"/>
              <w:ind w:left="368"/>
              <w:spacing w:after="0"/>
              <w:rPr>
                <w:sz w:val="20"/>
                <w:szCs w:val="20"/>
                <w:color w:val="auto"/>
              </w:rPr>
            </w:pPr>
            <w:r>
              <w:rPr>
                <w:rFonts w:ascii="Arial" w:cs="Arial" w:eastAsia="Arial" w:hAnsi="Arial"/>
                <w:sz w:val="18"/>
                <w:szCs w:val="18"/>
                <w:color w:val="0000FF"/>
                <w:w w:val="88"/>
              </w:rPr>
              <w:t>08/01/2012</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800" w:type="dxa"/>
            <w:vAlign w:val="bottom"/>
          </w:tcPr>
          <w:p>
            <w:pPr>
              <w:jc w:val="center"/>
              <w:spacing w:after="0"/>
              <w:rPr>
                <w:sz w:val="20"/>
                <w:szCs w:val="20"/>
                <w:color w:val="auto"/>
              </w:rPr>
            </w:pPr>
            <w:r>
              <w:rPr>
                <w:rFonts w:ascii="Arial" w:cs="Arial" w:eastAsia="Arial" w:hAnsi="Arial"/>
                <w:sz w:val="18"/>
                <w:szCs w:val="18"/>
                <w:color w:val="0000FF"/>
                <w:w w:val="88"/>
              </w:rPr>
              <w:t>5,431</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720" w:type="dxa"/>
            <w:vAlign w:val="bottom"/>
            <w:gridSpan w:val="2"/>
          </w:tcPr>
          <w:p>
            <w:pPr>
              <w:jc w:val="center"/>
              <w:ind w:left="26"/>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3.3908</w:t>
            </w:r>
          </w:p>
        </w:tc>
        <w:tc>
          <w:tcPr>
            <w:tcW w:w="1380" w:type="dxa"/>
            <w:vAlign w:val="bottom"/>
            <w:gridSpan w:val="3"/>
          </w:tcPr>
          <w:p>
            <w:pPr>
              <w:jc w:val="center"/>
              <w:ind w:left="72"/>
              <w:spacing w:after="0"/>
              <w:rPr>
                <w:sz w:val="20"/>
                <w:szCs w:val="20"/>
                <w:color w:val="auto"/>
              </w:rPr>
            </w:pPr>
            <w:r>
              <w:rPr>
                <w:rFonts w:ascii="Arial" w:cs="Arial" w:eastAsia="Arial" w:hAnsi="Arial"/>
                <w:sz w:val="18"/>
                <w:szCs w:val="18"/>
                <w:color w:val="0000FF"/>
                <w:w w:val="88"/>
              </w:rPr>
              <w:t>5,431</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368"/>
              <w:spacing w:after="0"/>
              <w:rPr>
                <w:sz w:val="20"/>
                <w:szCs w:val="20"/>
                <w:color w:val="auto"/>
              </w:rPr>
            </w:pPr>
            <w:r>
              <w:rPr>
                <w:rFonts w:ascii="Arial" w:cs="Arial" w:eastAsia="Arial" w:hAnsi="Arial"/>
                <w:sz w:val="18"/>
                <w:szCs w:val="18"/>
                <w:color w:val="0000FF"/>
                <w:w w:val="88"/>
              </w:rPr>
              <w:t>08/01/2012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2"/>
              </w:rPr>
              <w:t>5,431</w:t>
            </w:r>
            <w:r>
              <w:rPr>
                <w:rFonts w:ascii="Arial" w:cs="Arial" w:eastAsia="Arial" w:hAnsi="Arial"/>
                <w:sz w:val="22"/>
                <w:szCs w:val="22"/>
                <w:color w:val="008000"/>
                <w:w w:val="82"/>
                <w:vertAlign w:val="superscript"/>
              </w:rPr>
              <w:t>(2)</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12.7597</w:t>
            </w:r>
            <w:r>
              <w:rPr>
                <w:rFonts w:ascii="Arial" w:cs="Arial" w:eastAsia="Arial" w:hAnsi="Arial"/>
                <w:sz w:val="22"/>
                <w:szCs w:val="22"/>
                <w:color w:val="008000"/>
                <w:w w:val="85"/>
                <w:vertAlign w:val="superscript"/>
              </w:rPr>
              <w:t>(2)</w:t>
            </w:r>
          </w:p>
        </w:tc>
        <w:tc>
          <w:tcPr>
            <w:tcW w:w="5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454"/>
              <w:spacing w:after="0"/>
              <w:rPr>
                <w:sz w:val="20"/>
                <w:szCs w:val="20"/>
                <w:color w:val="auto"/>
              </w:rPr>
            </w:pPr>
            <w:r>
              <w:rPr>
                <w:rFonts w:ascii="Arial" w:cs="Arial" w:eastAsia="Arial" w:hAnsi="Arial"/>
                <w:sz w:val="18"/>
                <w:szCs w:val="18"/>
                <w:color w:val="0000FF"/>
                <w:w w:val="79"/>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9"/>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0000FF"/>
              </w:rPr>
              <w:t>1,569</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3.3908</w:t>
            </w:r>
          </w:p>
        </w:tc>
        <w:tc>
          <w:tcPr>
            <w:tcW w:w="1140" w:type="dxa"/>
            <w:vAlign w:val="bottom"/>
            <w:vMerge w:val="restart"/>
          </w:tcPr>
          <w:p>
            <w:pPr>
              <w:jc w:val="right"/>
              <w:ind w:right="192"/>
              <w:spacing w:after="0" w:line="149" w:lineRule="exact"/>
              <w:rPr>
                <w:sz w:val="20"/>
                <w:szCs w:val="20"/>
                <w:color w:val="auto"/>
              </w:rPr>
            </w:pPr>
            <w:r>
              <w:rPr>
                <w:rFonts w:ascii="Arial" w:cs="Arial" w:eastAsia="Arial" w:hAnsi="Arial"/>
                <w:sz w:val="14"/>
                <w:szCs w:val="14"/>
                <w:color w:val="0000FF"/>
              </w:rPr>
              <w:t>08/01/2012</w:t>
            </w:r>
          </w:p>
        </w:tc>
        <w:tc>
          <w:tcPr>
            <w:tcW w:w="1140" w:type="dxa"/>
            <w:vAlign w:val="bottom"/>
          </w:tcPr>
          <w:p>
            <w:pPr>
              <w:spacing w:after="0"/>
              <w:rPr>
                <w:sz w:val="5"/>
                <w:szCs w:val="5"/>
                <w:color w:val="auto"/>
              </w:rPr>
            </w:pPr>
          </w:p>
        </w:tc>
        <w:tc>
          <w:tcPr>
            <w:tcW w:w="4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440" w:type="dxa"/>
            <w:vAlign w:val="bottom"/>
          </w:tcPr>
          <w:p>
            <w:pPr>
              <w:spacing w:after="0"/>
              <w:rPr>
                <w:sz w:val="5"/>
                <w:szCs w:val="5"/>
                <w:color w:val="auto"/>
              </w:rPr>
            </w:pPr>
          </w:p>
        </w:tc>
        <w:tc>
          <w:tcPr>
            <w:tcW w:w="70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w w:val="91"/>
              </w:rPr>
              <w:t>1,569</w:t>
            </w:r>
          </w:p>
        </w:tc>
        <w:tc>
          <w:tcPr>
            <w:tcW w:w="820" w:type="dxa"/>
            <w:vAlign w:val="bottom"/>
            <w:vMerge w:val="continue"/>
          </w:tcPr>
          <w:p>
            <w:pPr>
              <w:spacing w:after="0"/>
              <w:rPr>
                <w:sz w:val="5"/>
                <w:szCs w:val="5"/>
                <w:color w:val="auto"/>
              </w:rPr>
            </w:pPr>
          </w:p>
        </w:tc>
        <w:tc>
          <w:tcPr>
            <w:tcW w:w="800" w:type="dxa"/>
            <w:vAlign w:val="bottom"/>
            <w:vMerge w:val="restart"/>
          </w:tcPr>
          <w:p>
            <w:pPr>
              <w:ind w:left="120"/>
              <w:spacing w:after="0" w:line="149" w:lineRule="exact"/>
              <w:rPr>
                <w:sz w:val="20"/>
                <w:szCs w:val="20"/>
                <w:color w:val="auto"/>
              </w:rPr>
            </w:pPr>
            <w:r>
              <w:rPr>
                <w:rFonts w:ascii="Arial" w:cs="Arial" w:eastAsia="Arial" w:hAnsi="Arial"/>
                <w:sz w:val="14"/>
                <w:szCs w:val="14"/>
                <w:color w:val="0000FF"/>
                <w:w w:val="94"/>
              </w:rPr>
              <w:t>08/02/2015</w:t>
            </w:r>
          </w:p>
        </w:tc>
        <w:tc>
          <w:tcPr>
            <w:tcW w:w="5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vMerge w:val="restart"/>
          </w:tcPr>
          <w:p>
            <w:pPr>
              <w:jc w:val="right"/>
              <w:ind w:right="114"/>
              <w:spacing w:after="0" w:line="149"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6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0000FF"/>
              </w:rPr>
              <w:t>5,431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3.3908</w:t>
            </w:r>
          </w:p>
        </w:tc>
        <w:tc>
          <w:tcPr>
            <w:tcW w:w="1140" w:type="dxa"/>
            <w:vAlign w:val="bottom"/>
            <w:vMerge w:val="restart"/>
          </w:tcPr>
          <w:p>
            <w:pPr>
              <w:jc w:val="right"/>
              <w:ind w:right="192"/>
              <w:spacing w:after="0" w:line="149" w:lineRule="exact"/>
              <w:rPr>
                <w:sz w:val="20"/>
                <w:szCs w:val="20"/>
                <w:color w:val="auto"/>
              </w:rPr>
            </w:pPr>
            <w:r>
              <w:rPr>
                <w:rFonts w:ascii="Arial" w:cs="Arial" w:eastAsia="Arial" w:hAnsi="Arial"/>
                <w:sz w:val="14"/>
                <w:szCs w:val="14"/>
                <w:color w:val="0000FF"/>
              </w:rPr>
              <w:t>08/01/2012</w:t>
            </w:r>
          </w:p>
        </w:tc>
        <w:tc>
          <w:tcPr>
            <w:tcW w:w="1140" w:type="dxa"/>
            <w:vAlign w:val="bottom"/>
          </w:tcPr>
          <w:p>
            <w:pPr>
              <w:spacing w:after="0"/>
              <w:rPr>
                <w:sz w:val="5"/>
                <w:szCs w:val="5"/>
                <w:color w:val="auto"/>
              </w:rPr>
            </w:pPr>
          </w:p>
        </w:tc>
        <w:tc>
          <w:tcPr>
            <w:tcW w:w="4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440" w:type="dxa"/>
            <w:vAlign w:val="bottom"/>
          </w:tcPr>
          <w:p>
            <w:pPr>
              <w:spacing w:after="0"/>
              <w:rPr>
                <w:sz w:val="5"/>
                <w:szCs w:val="5"/>
                <w:color w:val="auto"/>
              </w:rPr>
            </w:pPr>
          </w:p>
        </w:tc>
        <w:tc>
          <w:tcPr>
            <w:tcW w:w="70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w w:val="91"/>
              </w:rPr>
              <w:t>5,431</w:t>
            </w:r>
          </w:p>
        </w:tc>
        <w:tc>
          <w:tcPr>
            <w:tcW w:w="820" w:type="dxa"/>
            <w:vAlign w:val="bottom"/>
            <w:vMerge w:val="continue"/>
          </w:tcPr>
          <w:p>
            <w:pPr>
              <w:spacing w:after="0"/>
              <w:rPr>
                <w:sz w:val="5"/>
                <w:szCs w:val="5"/>
                <w:color w:val="auto"/>
              </w:rPr>
            </w:pPr>
          </w:p>
        </w:tc>
        <w:tc>
          <w:tcPr>
            <w:tcW w:w="800" w:type="dxa"/>
            <w:vAlign w:val="bottom"/>
            <w:vMerge w:val="restart"/>
          </w:tcPr>
          <w:p>
            <w:pPr>
              <w:ind w:left="120"/>
              <w:spacing w:after="0" w:line="149" w:lineRule="exact"/>
              <w:rPr>
                <w:sz w:val="20"/>
                <w:szCs w:val="20"/>
                <w:color w:val="auto"/>
              </w:rPr>
            </w:pPr>
            <w:r>
              <w:rPr>
                <w:rFonts w:ascii="Arial" w:cs="Arial" w:eastAsia="Arial" w:hAnsi="Arial"/>
                <w:sz w:val="14"/>
                <w:szCs w:val="14"/>
                <w:color w:val="0000FF"/>
                <w:w w:val="94"/>
              </w:rPr>
              <w:t>08/02/2015</w:t>
            </w:r>
          </w:p>
        </w:tc>
        <w:tc>
          <w:tcPr>
            <w:tcW w:w="5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vMerge w:val="restart"/>
          </w:tcPr>
          <w:p>
            <w:pPr>
              <w:jc w:val="right"/>
              <w:spacing w:after="0" w:line="149" w:lineRule="exact"/>
              <w:rPr>
                <w:sz w:val="20"/>
                <w:szCs w:val="20"/>
                <w:color w:val="auto"/>
              </w:rPr>
            </w:pPr>
            <w:r>
              <w:rPr>
                <w:rFonts w:ascii="Arial" w:cs="Arial" w:eastAsia="Arial" w:hAnsi="Arial"/>
                <w:sz w:val="14"/>
                <w:szCs w:val="14"/>
                <w:color w:val="0000FF"/>
              </w:rPr>
              <w:t>24,060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6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by Mr. Jones were effected pursuant to a Rule 10b5-1 trading plan adopted on February 24, 2012.</w:t>
      </w:r>
    </w:p>
    <w:p>
      <w:pPr>
        <w:spacing w:after="0" w:line="4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sold. These shares were sold in multiple transactions at prices ranging from $12.55 to $12.89,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subject to the Option fully vested on August 1, 2009.</w:t>
      </w:r>
    </w:p>
    <w:p>
      <w:pPr>
        <w:ind w:left="6860"/>
        <w:spacing w:after="0" w:line="184" w:lineRule="auto"/>
        <w:rPr>
          <w:sz w:val="20"/>
          <w:szCs w:val="20"/>
          <w:color w:val="auto"/>
        </w:rPr>
      </w:pPr>
      <w:r>
        <w:rPr>
          <w:rFonts w:ascii="Arial" w:cs="Arial" w:eastAsia="Arial" w:hAnsi="Arial"/>
          <w:sz w:val="17"/>
          <w:szCs w:val="17"/>
          <w:color w:val="0000FF"/>
        </w:rPr>
        <w:t xml:space="preserve">/S/ Valerie Barnett, attorney-in- </w:t>
      </w:r>
      <w:r>
        <w:rPr>
          <w:rFonts w:ascii="Arial" w:cs="Arial" w:eastAsia="Arial" w:hAnsi="Arial"/>
          <w:sz w:val="34"/>
          <w:szCs w:val="34"/>
          <w:color w:val="0000FF"/>
          <w:vertAlign w:val="subscript"/>
        </w:rPr>
        <w:t>08/03/2012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05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525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87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2642"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2019-12-17T16:17:33Z</dcterms:created>
  <dcterms:modified xsi:type="dcterms:W3CDTF">2019-12-17T16:17:33Z</dcterms:modified>
</cp:coreProperties>
</file>