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34385P108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tabs>
          <w:tab w:leader="none" w:pos="5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color w:val="auto"/>
        </w:rPr>
        <w:t>34385P108</w:t>
      </w:r>
      <w:r>
        <w:rPr>
          <w:sz w:val="20"/>
          <w:szCs w:val="20"/>
          <w:color w:val="auto"/>
        </w:rPr>
        <w:tab/>
      </w:r>
      <w:r>
        <w:rPr>
          <w:rFonts w:ascii="Arial" w:cs="Arial" w:eastAsia="Arial" w:hAnsi="Arial"/>
          <w:sz w:val="17"/>
          <w:szCs w:val="17"/>
          <w:b w:val="1"/>
          <w:bCs w:val="1"/>
          <w:color w:val="auto"/>
        </w:rPr>
        <w:t>SCHEDULE 13G</w:t>
      </w:r>
    </w:p>
    <w:p>
      <w:pPr>
        <w:spacing w:after="0" w:line="171" w:lineRule="exact"/>
        <w:rPr>
          <w:sz w:val="20"/>
          <w:szCs w:val="20"/>
          <w:color w:val="auto"/>
        </w:rPr>
      </w:pPr>
    </w:p>
    <w:p>
      <w:pPr>
        <w:ind w:left="620" w:right="7960" w:hanging="377"/>
        <w:spacing w:after="0" w:line="347" w:lineRule="auto"/>
        <w:tabs>
          <w:tab w:leader="none" w:pos="6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Russell Investments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6926580" cy="5238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38115"/>
                    </a:xfrm>
                    <a:prstGeom prst="rect">
                      <a:avLst/>
                    </a:prstGeom>
                    <a:noFill/>
                  </pic:spPr>
                </pic:pic>
              </a:graphicData>
            </a:graphic>
          </wp:anchor>
        </w:drawing>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IRS Identification No. of Above Persons (Entities Only) 98-1320542</w:t>
      </w:r>
    </w:p>
    <w:p>
      <w:pPr>
        <w:spacing w:after="0" w:line="32"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3"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08"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Seattle, WA USA</w:t>
      </w:r>
    </w:p>
    <w:p>
      <w:pPr>
        <w:spacing w:after="0" w:line="32" w:lineRule="exact"/>
        <w:rPr>
          <w:sz w:val="20"/>
          <w:szCs w:val="20"/>
          <w:color w:val="auto"/>
        </w:rPr>
      </w:pPr>
    </w:p>
    <w:p>
      <w:pPr>
        <w:ind w:left="1620" w:hanging="396"/>
        <w:spacing w:after="0"/>
        <w:tabs>
          <w:tab w:leader="none" w:pos="1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0"/>
        </w:trPr>
        <w:tc>
          <w:tcPr>
            <w:tcW w:w="920" w:type="dxa"/>
            <w:vAlign w:val="bottom"/>
          </w:tcPr>
          <w:p>
            <w:pPr>
              <w:jc w:val="center"/>
              <w:spacing w:after="0" w:line="160" w:lineRule="exact"/>
              <w:rPr>
                <w:sz w:val="20"/>
                <w:szCs w:val="20"/>
                <w:color w:val="auto"/>
              </w:rPr>
            </w:pPr>
            <w:r>
              <w:rPr>
                <w:rFonts w:ascii="Arial" w:cs="Arial" w:eastAsia="Arial" w:hAnsi="Arial"/>
                <w:sz w:val="18"/>
                <w:szCs w:val="18"/>
                <w:b w:val="1"/>
                <w:bCs w:val="1"/>
                <w:color w:val="auto"/>
                <w:w w:val="86"/>
              </w:rPr>
              <w:t>Shares</w:t>
            </w:r>
          </w:p>
        </w:tc>
        <w:tc>
          <w:tcPr>
            <w:tcW w:w="340" w:type="dxa"/>
            <w:vAlign w:val="bottom"/>
            <w:tcBorders>
              <w:bottom w:val="single" w:sz="8" w:color="auto"/>
            </w:tcBorders>
          </w:tcPr>
          <w:p>
            <w:pPr>
              <w:spacing w:after="0"/>
              <w:rPr>
                <w:sz w:val="15"/>
                <w:szCs w:val="15"/>
                <w:color w:val="auto"/>
              </w:rPr>
            </w:pPr>
          </w:p>
        </w:tc>
        <w:tc>
          <w:tcPr>
            <w:tcW w:w="9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944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2"/>
              </w:rPr>
              <w:t>Each</w:t>
            </w:r>
          </w:p>
        </w:tc>
        <w:tc>
          <w:tcPr>
            <w:tcW w:w="3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7</w:t>
            </w:r>
          </w:p>
        </w:tc>
        <w:tc>
          <w:tcPr>
            <w:tcW w:w="944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34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340" w:type="dxa"/>
            <w:vAlign w:val="bottom"/>
            <w:vMerge w:val="continue"/>
          </w:tcPr>
          <w:p>
            <w:pPr>
              <w:spacing w:after="0"/>
              <w:rPr>
                <w:sz w:val="9"/>
                <w:szCs w:val="9"/>
                <w:color w:val="auto"/>
              </w:rPr>
            </w:pPr>
          </w:p>
        </w:tc>
        <w:tc>
          <w:tcPr>
            <w:tcW w:w="9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9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0</w:t>
      </w:r>
    </w:p>
    <w:p>
      <w:pPr>
        <w:spacing w:after="0" w:line="32" w:lineRule="exact"/>
        <w:rPr>
          <w:sz w:val="20"/>
          <w:szCs w:val="20"/>
          <w:color w:val="auto"/>
        </w:rPr>
      </w:pPr>
    </w:p>
    <w:p>
      <w:pPr>
        <w:ind w:left="620" w:hanging="377"/>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0</w:t>
      </w:r>
    </w:p>
    <w:p>
      <w:pPr>
        <w:spacing w:after="0" w:line="32" w:lineRule="exact"/>
        <w:rPr>
          <w:sz w:val="20"/>
          <w:szCs w:val="20"/>
          <w:color w:val="auto"/>
        </w:rPr>
      </w:pPr>
    </w:p>
    <w:p>
      <w:pPr>
        <w:ind w:left="620" w:hanging="467"/>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223"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6500" w:hanging="467"/>
        <w:spacing w:after="0" w:line="400" w:lineRule="auto"/>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ind w:left="620" w:hanging="467"/>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56"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HC</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0900"/>
          </w:cols>
          <w:pgMar w:left="440" w:top="270"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1"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Fluidigm Corporation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444" w:right="8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2 Tower Place, Suite 2000 South San Francisco, CA 94080</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44" w:right="8140" w:hanging="444"/>
        <w:spacing w:after="0" w:line="431" w:lineRule="auto"/>
        <w:tabs>
          <w:tab w:leader="none" w:pos="43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Russell Investments Group, Ltd.</w:t>
      </w: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444" w:right="8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1301 Second Ave, Suite 1800 Seattle, WA 98101</w:t>
      </w:r>
    </w:p>
    <w:p>
      <w:pPr>
        <w:spacing w:after="0" w:line="71" w:lineRule="exact"/>
        <w:rPr>
          <w:rFonts w:ascii="Arial" w:cs="Arial" w:eastAsia="Arial" w:hAnsi="Arial"/>
          <w:sz w:val="18"/>
          <w:szCs w:val="18"/>
          <w:b w:val="1"/>
          <w:bCs w:val="1"/>
          <w:color w:val="auto"/>
        </w:rPr>
      </w:pPr>
    </w:p>
    <w:p>
      <w:pPr>
        <w:ind w:left="444" w:right="9220" w:hanging="444"/>
        <w:spacing w:after="0" w:line="431" w:lineRule="auto"/>
        <w:tabs>
          <w:tab w:leader="none" w:pos="43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Seattle, WA USA</w:t>
      </w:r>
    </w:p>
    <w:p>
      <w:pPr>
        <w:ind w:left="444" w:right="8300" w:hanging="444"/>
        <w:spacing w:after="0" w:line="406" w:lineRule="auto"/>
        <w:tabs>
          <w:tab w:leader="none" w:pos="43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Title and Class of Securities: </w:t>
      </w:r>
      <w:r>
        <w:rPr>
          <w:rFonts w:ascii="Arial" w:cs="Arial" w:eastAsia="Arial" w:hAnsi="Arial"/>
          <w:sz w:val="17"/>
          <w:szCs w:val="17"/>
          <w:color w:val="auto"/>
        </w:rPr>
        <w:t>Common Stock</w:t>
      </w:r>
    </w:p>
    <w:p>
      <w:pPr>
        <w:ind w:left="444" w:right="9580" w:hanging="444"/>
        <w:spacing w:after="0" w:line="445" w:lineRule="auto"/>
        <w:tabs>
          <w:tab w:leader="none" w:pos="43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34385P108</w:t>
      </w:r>
    </w:p>
    <w:p>
      <w:pPr>
        <w:spacing w:after="0" w:line="18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An investment adviser in accordance with Rule 13d-1(b)(1)(ii)(E);</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30" w:lineRule="exact"/>
        <w:rPr>
          <w:rFonts w:ascii="Arial" w:cs="Arial" w:eastAsia="Arial" w:hAnsi="Arial"/>
          <w:sz w:val="18"/>
          <w:szCs w:val="18"/>
          <w:color w:val="auto"/>
        </w:rPr>
      </w:pPr>
    </w:p>
    <w:p>
      <w:pPr>
        <w:ind w:left="1144" w:hanging="712"/>
        <w:spacing w:after="0" w:line="239"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75"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30" w:lineRule="exact"/>
        <w:rPr>
          <w:rFonts w:ascii="Arial" w:cs="Arial" w:eastAsia="Arial" w:hAnsi="Arial"/>
          <w:sz w:val="18"/>
          <w:szCs w:val="18"/>
          <w:color w:val="auto"/>
        </w:rPr>
      </w:pPr>
    </w:p>
    <w:p>
      <w:pPr>
        <w:ind w:left="964" w:hanging="532"/>
        <w:spacing w:after="0" w:line="207" w:lineRule="exact"/>
        <w:tabs>
          <w:tab w:leader="none" w:pos="96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w:t>
      </w:r>
    </w:p>
    <w:p>
      <w:pPr>
        <w:spacing w:after="0" w:line="57" w:lineRule="exact"/>
        <w:rPr>
          <w:rFonts w:ascii="Arial" w:cs="Arial" w:eastAsia="Arial" w:hAnsi="Arial"/>
          <w:sz w:val="18"/>
          <w:szCs w:val="18"/>
          <w:color w:val="auto"/>
        </w:rPr>
      </w:pPr>
    </w:p>
    <w:p>
      <w:pPr>
        <w:ind w:left="964"/>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35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984" w:right="7720" w:hanging="552"/>
        <w:spacing w:after="0" w:line="407" w:lineRule="auto"/>
        <w:tabs>
          <w:tab w:leader="none" w:pos="96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0</w:t>
      </w:r>
    </w:p>
    <w:p>
      <w:pPr>
        <w:spacing w:after="0" w:line="80" w:lineRule="exact"/>
        <w:rPr>
          <w:rFonts w:ascii="Arial" w:cs="Arial" w:eastAsia="Arial" w:hAnsi="Arial"/>
          <w:sz w:val="18"/>
          <w:szCs w:val="18"/>
          <w:b w:val="1"/>
          <w:bCs w:val="1"/>
          <w:color w:val="auto"/>
        </w:rPr>
      </w:pPr>
    </w:p>
    <w:p>
      <w:pPr>
        <w:ind w:left="984" w:right="8660" w:hanging="552"/>
        <w:spacing w:after="0" w:line="401" w:lineRule="auto"/>
        <w:tabs>
          <w:tab w:leader="none" w:pos="96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0.0%</w:t>
      </w:r>
    </w:p>
    <w:p>
      <w:pPr>
        <w:spacing w:after="0" w:line="1"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0924"/>
          </w:cols>
          <w:pgMar w:left="436" w:top="270" w:right="539" w:bottom="1440" w:gutter="0" w:footer="0" w:header="0"/>
        </w:sectPr>
      </w:pPr>
    </w:p>
    <w:bookmarkStart w:id="3" w:name="page4"/>
    <w:bookmarkEnd w:id="3"/>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as to which such person has:</w:t>
      </w:r>
    </w:p>
    <w:p>
      <w:pPr>
        <w:spacing w:after="0" w:line="130" w:lineRule="exact"/>
        <w:rPr>
          <w:rFonts w:ascii="Arial" w:cs="Arial" w:eastAsia="Arial" w:hAnsi="Arial"/>
          <w:sz w:val="18"/>
          <w:szCs w:val="18"/>
          <w:b w:val="1"/>
          <w:bCs w:val="1"/>
          <w:color w:val="auto"/>
        </w:rPr>
      </w:pPr>
    </w:p>
    <w:p>
      <w:pPr>
        <w:ind w:left="984" w:right="6960" w:hanging="552"/>
        <w:spacing w:after="0" w:line="383" w:lineRule="auto"/>
        <w:tabs>
          <w:tab w:leader="none" w:pos="965"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0</w:t>
      </w:r>
    </w:p>
    <w:p>
      <w:pPr>
        <w:ind w:left="984" w:right="6740" w:hanging="552"/>
        <w:spacing w:after="0" w:line="383" w:lineRule="auto"/>
        <w:tabs>
          <w:tab w:leader="none" w:pos="965"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ind w:left="984" w:right="6020" w:hanging="552"/>
        <w:spacing w:after="0" w:line="383" w:lineRule="auto"/>
        <w:tabs>
          <w:tab w:leader="none" w:pos="965"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0</w:t>
      </w:r>
    </w:p>
    <w:p>
      <w:pPr>
        <w:ind w:left="984" w:right="5780" w:hanging="552"/>
        <w:spacing w:after="0" w:line="407" w:lineRule="auto"/>
        <w:tabs>
          <w:tab w:leader="none" w:pos="965"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0</w:t>
      </w:r>
    </w:p>
    <w:p>
      <w:pPr>
        <w:spacing w:after="0" w:line="20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4" w:right="3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4"/>
        <w:spacing w:after="0" w:line="277" w:lineRule="auto"/>
        <w:rPr>
          <w:sz w:val="20"/>
          <w:szCs w:val="20"/>
          <w:color w:val="auto"/>
        </w:rPr>
      </w:pPr>
      <w:r>
        <w:rPr>
          <w:rFonts w:ascii="Arial" w:cs="Arial" w:eastAsia="Arial" w:hAnsi="Arial"/>
          <w:sz w:val="18"/>
          <w:szCs w:val="18"/>
          <w:color w:val="auto"/>
        </w:rPr>
        <w:t>Certain indirect clients that are advised by Russell Investments Group have the right to receive and the ultimate power to direct the receipt of dividends from, or the proceeds of the sale of such securities.</w:t>
      </w:r>
    </w:p>
    <w:p>
      <w:pPr>
        <w:spacing w:after="0" w:line="315" w:lineRule="exact"/>
        <w:rPr>
          <w:sz w:val="20"/>
          <w:szCs w:val="20"/>
          <w:color w:val="auto"/>
        </w:rPr>
      </w:pPr>
    </w:p>
    <w:p>
      <w:pPr>
        <w:ind w:left="984" w:hanging="984"/>
        <w:spacing w:after="0" w:line="282" w:lineRule="auto"/>
        <w:tabs>
          <w:tab w:leader="none" w:pos="9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31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37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7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6"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February 10, 2022</w:t>
      </w:r>
    </w:p>
    <w:p>
      <w:pPr>
        <w:sectPr>
          <w:pgSz w:w="11900" w:h="16838" w:orient="portrait"/>
          <w:cols w:equalWidth="0" w:num="1">
            <w:col w:w="10944"/>
          </w:cols>
          <w:pgMar w:left="436" w:top="270" w:right="51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Mark E.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E. Swanson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Global Head of Fund Services</w:t>
      </w:r>
    </w:p>
    <w:p>
      <w:pPr>
        <w:spacing w:after="0" w:line="165" w:lineRule="exact"/>
        <w:rPr>
          <w:sz w:val="20"/>
          <w:szCs w:val="20"/>
          <w:color w:val="auto"/>
        </w:rPr>
      </w:pPr>
    </w:p>
    <w:p>
      <w:pPr>
        <w:sectPr>
          <w:pgSz w:w="11900" w:h="16838" w:orient="portrait"/>
          <w:cols w:equalWidth="0" w:num="2">
            <w:col w:w="484" w:space="140"/>
            <w:col w:w="10320"/>
          </w:cols>
          <w:pgMar w:left="436" w:top="270" w:right="519" w:bottom="1440" w:gutter="0" w:footer="0" w:header="0"/>
          <w:type w:val="continuous"/>
        </w:sectPr>
      </w:pPr>
    </w:p>
    <w:p>
      <w:pPr>
        <w:jc w:val="center"/>
        <w:ind w:right="-83"/>
        <w:spacing w:after="0"/>
        <w:rPr>
          <w:sz w:val="20"/>
          <w:szCs w:val="20"/>
          <w:color w:val="auto"/>
        </w:rPr>
      </w:pPr>
      <w:r>
        <w:rPr>
          <w:rFonts w:ascii="Arial" w:cs="Arial" w:eastAsia="Arial" w:hAnsi="Arial"/>
          <w:sz w:val="16"/>
          <w:szCs w:val="16"/>
          <w:color w:val="auto"/>
        </w:rPr>
        <w:t>Page 4 of 4</w:t>
      </w:r>
    </w:p>
    <w:sectPr>
      <w:pgSz w:w="11900" w:h="16838" w:orient="portrait"/>
      <w:cols w:equalWidth="0" w:num="1">
        <w:col w:w="10944"/>
      </w:cols>
      <w:pgMar w:left="436" w:top="27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5"/>
      <w:numFmt w:val="bullet"/>
      <w:start w:val="1"/>
    </w:lvl>
  </w:abstractNum>
  <w:abstractNum w:abstractNumId="7">
    <w:nsid w:val="1F16E9E8"/>
    <w:multiLevelType w:val="hybridMultilevel"/>
    <w:lvl w:ilvl="0">
      <w:lvlJc w:val="left"/>
      <w:lvlText w:val="9"/>
      <w:numFmt w:val="bullet"/>
      <w:start w:val="1"/>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2022-02-12T02:47:39Z</dcterms:created>
  <dcterms:modified xsi:type="dcterms:W3CDTF">2022-02-12T02:47:39Z</dcterms:modified>
</cp:coreProperties>
</file>