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December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1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Operating Officer</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On December 7, 2012, our board of directors appointed Mr. Fredric Walder to serve in a new position as our Chief Operating Officer, effective immediately.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Walder, 55, served as our Chief Business Officer from May 2010 until his appointment as Chief Operating Officer. From August 1992 to April 2010, he served in various senior executive positions 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Mr. Walder does not have any family relationships with any of our directors, executive officers, or any person nominated to become a director or executive officer, and there are no arrangements or understandings between Mr. Walder and any other person pursuant to which Mr. Walder was appointed as the Chief Operating Officer. There are no transactions in which Mr. Walder had or will have an interest that would be required to be disclosed pursuant to Item 404(a) of Regulation S-K under the Securities Exchange Act of 1934, as amended, except that Mr. Walder is a party to an employment and severance agreement, which is substantially identical to the form of agreement filed as Exhibit 10.14 to our Registration Statement on Form S-1, filed on December 3, 2010 (and incorporated herein by reference), and an indemnification agreement, which is substantially identical to the form of agreement filed as Exhibit 10.1 to our Amendment No. 3 to Registration Statement on Form S-1, filed on January 28, 2011 (and incorporated herein by reference), in each case, as disclosed in our proxy statement filed on March 26, 2012. In addition, it is expected that Mr. Walder will execute and become a party to an amended and restated employment and severance agreement, which is substantially identical to the form of agreement being filed as Exhibit 10.14 with this Current Report on Form 8-K, on or before December 31, 2012.</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changes were made to Mr. Walder’s compensation arrangements with us as a result of his appointment, including, without limitation, to his offer letter dated May 3, 2010 and the addendum thereto dated November 8, 2010, filed as Exhibit 10.18 to our Current Report on Form 8-K, filed on April 4, 2011 (and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Form of Employment and Severance Agreement</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On December 7, 2012, our compensation committee approved an amended and restated form of employment and severance agreement for our executive officers to conform such agreement to changes in applicable tax and healthcare laws. Such amendment and restatement did not affect any of the previously disclosed economic terms of the agreement, including the right to receive cash severance payments or accelerated vesting benefits in connection with certain change of control transactions as defined in the agreement. A copy of the amended and restated form of employment and severance agreement is attached as Exhibit 10.14 hereto and incorporated herein by reference. It is expected that each of our named executive officers will execute and become a party to this amended and restated agreement on or before December 31,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rules and regulations of the Securities and Exchange Commission, the attached exhibit is deemed to have been filed with the Securities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ectPr>
          <w:pgSz w:w="11900" w:h="16838" w:orient="portrait"/>
          <w:cols w:equalWidth="0" w:num="1">
            <w:col w:w="11400"/>
          </w:cols>
          <w:pgMar w:left="240" w:top="274" w:right="259" w:bottom="1440" w:gutter="0" w:footer="0" w:header="0"/>
        </w:sectPr>
      </w:pPr>
    </w:p>
    <w:p>
      <w:pPr>
        <w:spacing w:after="0" w:line="201" w:lineRule="exact"/>
        <w:rPr>
          <w:sz w:val="20"/>
          <w:szCs w:val="20"/>
          <w:color w:val="auto"/>
        </w:rPr>
      </w:pPr>
    </w:p>
    <w:p>
      <w:pPr>
        <w:jc w:val="center"/>
        <w:ind w:right="46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283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490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30480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5120" w:space="720"/>
            <w:col w:w="5560"/>
          </w:cols>
          <w:pgMar w:left="240" w:top="274" w:right="259" w:bottom="1440" w:gutter="0" w:footer="0" w:header="0"/>
          <w:type w:val="continuous"/>
        </w:sectPr>
      </w:pPr>
    </w:p>
    <w:p>
      <w:pPr>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Form of Amended and Restated Employment and Severance Agreement between the registrant and each of its executive officers.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7740" w:type="dxa"/>
            <w:vAlign w:val="bottom"/>
            <w:gridSpan w:val="2"/>
          </w:tcPr>
          <w:p>
            <w:pPr>
              <w:ind w:left="2240"/>
              <w:spacing w:after="0"/>
              <w:rPr>
                <w:sz w:val="20"/>
                <w:szCs w:val="20"/>
                <w:color w:val="auto"/>
              </w:rPr>
            </w:pPr>
            <w:r>
              <w:rPr>
                <w:rFonts w:ascii="Arial" w:cs="Arial" w:eastAsia="Arial" w:hAnsi="Arial"/>
                <w:sz w:val="18"/>
                <w:szCs w:val="18"/>
                <w:b w:val="1"/>
                <w:bCs w:val="1"/>
                <w:color w:val="auto"/>
              </w:rPr>
              <w:t>FLUIDIGM CORPORATION</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December 11, 2012</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Vikram Jog</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Vikram Jog</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78"/>
        </w:trPr>
        <w:tc>
          <w:tcPr>
            <w:tcW w:w="3680" w:type="dxa"/>
            <w:vAlign w:val="bottom"/>
          </w:tcPr>
          <w:p>
            <w:pPr>
              <w:spacing w:after="0"/>
              <w:rPr>
                <w:sz w:val="24"/>
                <w:szCs w:val="24"/>
                <w:color w:val="auto"/>
              </w:rPr>
            </w:pPr>
          </w:p>
        </w:tc>
        <w:tc>
          <w:tcPr>
            <w:tcW w:w="2500" w:type="dxa"/>
            <w:vAlign w:val="bottom"/>
          </w:tcPr>
          <w:p>
            <w:pPr>
              <w:jc w:val="right"/>
              <w:ind w:right="232"/>
              <w:spacing w:after="0"/>
              <w:rPr>
                <w:sz w:val="20"/>
                <w:szCs w:val="20"/>
                <w:color w:val="auto"/>
              </w:rPr>
            </w:pPr>
            <w:r>
              <w:rPr>
                <w:rFonts w:ascii="Arial" w:cs="Arial" w:eastAsia="Arial" w:hAnsi="Arial"/>
                <w:sz w:val="18"/>
                <w:szCs w:val="18"/>
                <w:color w:val="auto"/>
              </w:rPr>
              <w:t>- 2 -</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24"/>
                <w:szCs w:val="24"/>
                <w:color w:val="auto"/>
              </w:rPr>
            </w:pPr>
          </w:p>
        </w:tc>
        <w:tc>
          <w:tcPr>
            <w:tcW w:w="10500" w:type="dxa"/>
            <w:vAlign w:val="bottom"/>
          </w:tcPr>
          <w:p>
            <w:pPr>
              <w:spacing w:after="0"/>
              <w:rPr>
                <w:sz w:val="24"/>
                <w:szCs w:val="24"/>
                <w:color w:val="auto"/>
              </w:rPr>
            </w:pPr>
          </w:p>
        </w:tc>
      </w:tr>
      <w:tr>
        <w:trPr>
          <w:trHeight w:val="168"/>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tcPr>
          <w:p>
            <w:pPr>
              <w:ind w:left="4920"/>
              <w:spacing w:after="0"/>
              <w:rPr>
                <w:sz w:val="20"/>
                <w:szCs w:val="20"/>
                <w:color w:val="auto"/>
              </w:rPr>
            </w:pPr>
            <w:r>
              <w:rPr>
                <w:rFonts w:ascii="Arial" w:cs="Arial" w:eastAsia="Arial" w:hAnsi="Arial"/>
                <w:sz w:val="14"/>
                <w:szCs w:val="14"/>
                <w:b w:val="1"/>
                <w:bCs w:val="1"/>
                <w:color w:val="auto"/>
              </w:rPr>
              <w:t>Description</w:t>
            </w:r>
          </w:p>
        </w:tc>
      </w:tr>
    </w:tbl>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Form of Amended and Restated Employment and Severance Agreement between the registrant and each of its executive officers.</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AND SEVERANCE AGREEMENT</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Amended and Restated Employment and Severance Agreement (the “Agreement”) is made and entered into by and between [NAME] (“Executive”) and Fluidigm Corporation (the “Company”), effective as of [DATE] (the “Effective Date”) and supersedes in its entirety the Employment and Severance Agreement entered into between Executive and the Company as of [DATE] (the “Original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it is expected that the Company from time to time will consider the possibility of an acquisition by another company or other 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(as defined herein). The Board of Directors of the Company (the “Board”) recognizes that such consideration can be a distraction to Executive and can cause Executive to consider alternative employment opportunities.</w:t>
      </w:r>
    </w:p>
    <w:p>
      <w:pPr>
        <w:spacing w:after="0" w:line="13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color w:val="auto"/>
        </w:rPr>
        <w:t>, the Board believes that it is in the best interests of the Company and its stockholders to provide Executive with an incentive to continue his/her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to motivate Executive to maximize the value of the Company upon a Change of Control for the benefit of its stockholders.</w:t>
      </w:r>
    </w:p>
    <w:p>
      <w:pPr>
        <w:spacing w:after="0" w:line="74"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color w:val="auto"/>
        </w:rPr>
        <w:t>, the Board believes that it is in the best interests of the Company and its stockholders to provide Executive with certain severance benefits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termination of employment without cause or upon a constructive termination following a Change of Control of the Company and to provide Executive with certain severance benefits upon Executive’s termination of employment without cause outside of the change of control context, in order to provide Executive with enhanced financial security and incentive to remain with the Company.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and Executive desire to update the Original Agreement to address certain legal and other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certain capitalized terms used in the Agreement are defined in Section 6 below.</w:t>
      </w:r>
    </w:p>
    <w:p>
      <w:pPr>
        <w:spacing w:after="0" w:line="339"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contained herein, the parties hereto agree as follows:</w:t>
      </w:r>
    </w:p>
    <w:p>
      <w:pPr>
        <w:spacing w:after="0" w:line="177" w:lineRule="exact"/>
        <w:rPr>
          <w:sz w:val="20"/>
          <w:szCs w:val="20"/>
          <w:color w:val="auto"/>
        </w:rPr>
      </w:pPr>
    </w:p>
    <w:p>
      <w:pPr>
        <w:ind w:right="340" w:firstLine="464"/>
        <w:spacing w:after="0" w:line="268"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terminate upon the date that all of the obligations of the parties hereto with respect to this Agreement have been satisfied.</w:t>
      </w:r>
    </w:p>
    <w:p>
      <w:pPr>
        <w:sectPr>
          <w:pgSz w:w="11900" w:h="16838" w:orient="portrait"/>
          <w:cols w:equalWidth="0" w:num="1">
            <w:col w:w="11420"/>
          </w:cols>
          <w:pgMar w:left="240" w:top="125" w:right="239" w:bottom="1440" w:gutter="0" w:footer="0" w:header="0"/>
        </w:sectPr>
      </w:pPr>
    </w:p>
    <w:bookmarkStart w:id="5" w:name="page6"/>
    <w:bookmarkEnd w:id="5"/>
    <w:p>
      <w:pPr>
        <w:ind w:left="-464" w:right="80" w:firstLine="464"/>
        <w:spacing w:after="0" w:line="298" w:lineRule="auto"/>
        <w:tabs>
          <w:tab w:leader="none" w:pos="16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At-Will Employment</w:t>
      </w:r>
      <w:r>
        <w:rPr>
          <w:rFonts w:ascii="Arial" w:cs="Arial" w:eastAsia="Arial" w:hAnsi="Arial"/>
          <w:sz w:val="16"/>
          <w:szCs w:val="16"/>
          <w:color w:val="auto"/>
        </w:rPr>
        <w:t>. The Company and Executive acknowledge that Executive’s employment is and will continue to be at-will, as defined under applicable law, except as may otherwise be specifically provided under the terms of a written formal employment agreement, if any, between the Company and Executive (an “Employment Agreement”). As provided in Section 3(f) below, Executive will be entitled to no benefits, compensation or other payments or rights upon termination of employment other than those benefits expressly set forth in this Agreement.</w:t>
      </w:r>
    </w:p>
    <w:p>
      <w:pPr>
        <w:spacing w:after="0" w:line="112" w:lineRule="exact"/>
        <w:rPr>
          <w:rFonts w:ascii="Arial" w:cs="Arial" w:eastAsia="Arial" w:hAnsi="Arial"/>
          <w:sz w:val="16"/>
          <w:szCs w:val="16"/>
          <w:color w:val="auto"/>
        </w:rPr>
      </w:pPr>
    </w:p>
    <w:p>
      <w:pPr>
        <w:ind w:left="176" w:hanging="176"/>
        <w:spacing w:after="0"/>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4" w:right="60" w:firstLine="921"/>
        <w:spacing w:after="0" w:line="298" w:lineRule="auto"/>
        <w:tabs>
          <w:tab w:leader="none" w:pos="687"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Prior to a Change of Control or After Twelve Months Following a Change of Control</w:t>
      </w:r>
      <w:r>
        <w:rPr>
          <w:rFonts w:ascii="Arial" w:cs="Arial" w:eastAsia="Arial" w:hAnsi="Arial"/>
          <w:sz w:val="16"/>
          <w:szCs w:val="16"/>
          <w:color w:val="auto"/>
        </w:rPr>
        <w:t>. If prior to a Change of Control or after twelve (12) months following a Change of Control, the Company (or any parent or subsidiary or successor of the Company) terminates Executive’s employment without Cause, then, subject to Section 4, Executive will receive, in addition to Executive’s salary payable through the date of termination of employment and any other employee benefits earned and owed through the date of termination, the following severance from the Company:</w:t>
      </w:r>
    </w:p>
    <w:p>
      <w:pPr>
        <w:spacing w:after="0" w:line="112" w:lineRule="exact"/>
        <w:rPr>
          <w:rFonts w:ascii="Arial" w:cs="Arial" w:eastAsia="Arial" w:hAnsi="Arial"/>
          <w:sz w:val="16"/>
          <w:szCs w:val="16"/>
          <w:color w:val="auto"/>
        </w:rPr>
      </w:pPr>
    </w:p>
    <w:p>
      <w:pPr>
        <w:ind w:left="-464" w:right="280" w:firstLine="1492"/>
        <w:spacing w:after="0" w:line="268" w:lineRule="auto"/>
        <w:tabs>
          <w:tab w:leader="none" w:pos="1229"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As provided in Section 3(c) below, six (6) months’ severance pay (less applicable withholding taxes) equal to the pro-rata portion of Executive’s base salary (as in effect immediately prior to Executive’s termination).</w:t>
      </w:r>
    </w:p>
    <w:p>
      <w:pPr>
        <w:spacing w:after="0" w:line="131" w:lineRule="exact"/>
        <w:rPr>
          <w:rFonts w:ascii="Arial" w:cs="Arial" w:eastAsia="Arial" w:hAnsi="Arial"/>
          <w:sz w:val="18"/>
          <w:szCs w:val="18"/>
          <w:color w:val="auto"/>
        </w:rPr>
      </w:pPr>
    </w:p>
    <w:p>
      <w:pPr>
        <w:ind w:left="-464" w:right="340" w:firstLine="1492"/>
        <w:spacing w:after="0" w:line="332" w:lineRule="auto"/>
        <w:tabs>
          <w:tab w:leader="none" w:pos="1277"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Reimbursement for a period of up to six (6) months (less applicable withholding taxes, if any) for the costs and expenses incurred by Executive and/or Executive’s eligible dependents for coverage under the Company’s Benefit Plans.</w:t>
      </w:r>
    </w:p>
    <w:p>
      <w:pPr>
        <w:spacing w:after="0" w:line="85" w:lineRule="exact"/>
        <w:rPr>
          <w:rFonts w:ascii="Arial" w:cs="Arial" w:eastAsia="Arial" w:hAnsi="Arial"/>
          <w:sz w:val="16"/>
          <w:szCs w:val="16"/>
          <w:color w:val="auto"/>
        </w:rPr>
      </w:pPr>
    </w:p>
    <w:p>
      <w:pPr>
        <w:ind w:left="-464" w:firstLine="921"/>
        <w:spacing w:after="0" w:line="255" w:lineRule="auto"/>
        <w:tabs>
          <w:tab w:leader="none" w:pos="697"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Constructive Termination or Termination without Cause Following a Change of Control</w:t>
      </w:r>
      <w:r>
        <w:rPr>
          <w:rFonts w:ascii="Arial" w:cs="Arial" w:eastAsia="Arial" w:hAnsi="Arial"/>
          <w:sz w:val="18"/>
          <w:szCs w:val="18"/>
          <w:color w:val="auto"/>
        </w:rPr>
        <w:t>. If within twelve (12) months following a Change of Control (i) Executive terminates his/her employment with the Company (or any parent or subsidiary or successor of the Company) for Good Reason, or (ii) the Company (or any parent or subsidiary or successor of the Company) terminates Executive’s employment without Cause, then, subject to Section 4, Executive will receive, in addition to Executive’s salary payable through the date of termination of employment and any other employee benefits earned and owed through the date of termination, the following severance from the Company:</w:t>
      </w:r>
    </w:p>
    <w:p>
      <w:pPr>
        <w:spacing w:after="0" w:line="142" w:lineRule="exact"/>
        <w:rPr>
          <w:rFonts w:ascii="Arial" w:cs="Arial" w:eastAsia="Arial" w:hAnsi="Arial"/>
          <w:sz w:val="18"/>
          <w:szCs w:val="18"/>
          <w:color w:val="auto"/>
        </w:rPr>
      </w:pPr>
    </w:p>
    <w:p>
      <w:pPr>
        <w:jc w:val="both"/>
        <w:ind w:left="-464" w:right="280" w:firstLine="1492"/>
        <w:spacing w:after="0" w:line="370" w:lineRule="auto"/>
        <w:tabs>
          <w:tab w:leader="none" w:pos="1229" w:val="left"/>
        </w:tabs>
        <w:numPr>
          <w:ilvl w:val="2"/>
          <w:numId w:val="3"/>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As provided in Section 3(c) below, six (6) months’ severance pay (less applicable withholding taxes) equal to the pro-rata portion of Executive’s base salary (as in effect immediately prior to (A) the Change of Control, or (B) Executive’s termination, whichever is greater).</w:t>
      </w:r>
    </w:p>
    <w:p>
      <w:pPr>
        <w:spacing w:after="0" w:line="62" w:lineRule="exact"/>
        <w:rPr>
          <w:rFonts w:ascii="Arial" w:cs="Arial" w:eastAsia="Arial" w:hAnsi="Arial"/>
          <w:sz w:val="15"/>
          <w:szCs w:val="15"/>
          <w:color w:val="auto"/>
        </w:rPr>
      </w:pPr>
    </w:p>
    <w:p>
      <w:pPr>
        <w:ind w:left="-464" w:right="100" w:firstLine="1492"/>
        <w:spacing w:after="0" w:line="254" w:lineRule="auto"/>
        <w:tabs>
          <w:tab w:leader="none" w:pos="1277"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Accelerated Vesting of Options; Restricted Stock</w:t>
      </w:r>
      <w:r>
        <w:rPr>
          <w:rFonts w:ascii="Arial" w:cs="Arial" w:eastAsia="Arial" w:hAnsi="Arial"/>
          <w:sz w:val="18"/>
          <w:szCs w:val="18"/>
          <w:color w:val="auto"/>
        </w:rPr>
        <w:t>. Then-outstanding and unvested stock options in Company common stock, stock appreciation rights and similar equity awards held by Executive (“Options”) will immediately vest and become exercisable as to all shares underlying such Options. The Options will remain exercisable following the termination for the period prescribed in the respective option agreement, which will not extend past the term of each Option. Additionally, any shares of restricted stock, restricted stock units and similar equity awards (“Restricted Stock”) then-held by Executive will immediately vest and the applicable Company right of repurchase or reacquisition with respect to such shares of Restricted Stock will lapse as to all such shares.</w:t>
      </w:r>
    </w:p>
    <w:p>
      <w:pPr>
        <w:spacing w:after="0" w:line="130" w:lineRule="exact"/>
        <w:rPr>
          <w:rFonts w:ascii="Arial" w:cs="Arial" w:eastAsia="Arial" w:hAnsi="Arial"/>
          <w:sz w:val="18"/>
          <w:szCs w:val="18"/>
          <w:color w:val="auto"/>
        </w:rPr>
      </w:pPr>
    </w:p>
    <w:p>
      <w:pPr>
        <w:ind w:left="5216" w:hanging="112"/>
        <w:spacing w:after="0"/>
        <w:tabs>
          <w:tab w:leader="none" w:pos="5216" w:val="left"/>
        </w:tabs>
        <w:numPr>
          <w:ilvl w:val="3"/>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36"/>
          </w:cols>
          <w:pgMar w:left="704" w:top="280" w:right="259" w:bottom="1440" w:gutter="0" w:footer="0" w:header="0"/>
        </w:sectPr>
      </w:pPr>
    </w:p>
    <w:bookmarkStart w:id="6" w:name="page7"/>
    <w:bookmarkEnd w:id="6"/>
    <w:p>
      <w:pPr>
        <w:ind w:left="-464" w:right="220" w:firstLine="1492"/>
        <w:spacing w:after="0" w:line="332" w:lineRule="auto"/>
        <w:tabs>
          <w:tab w:leader="none" w:pos="1326"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Employee Benefits</w:t>
      </w:r>
      <w:r>
        <w:rPr>
          <w:rFonts w:ascii="Arial" w:cs="Arial" w:eastAsia="Arial" w:hAnsi="Arial"/>
          <w:sz w:val="16"/>
          <w:szCs w:val="16"/>
          <w:color w:val="auto"/>
        </w:rPr>
        <w:t>. Reimbursement for a period of up to six (6) months (less applicable withholding taxes, if any) for the costs and expenses incurred by Executive and/or Executive’s eligible dependents for coverage under the Company’s Benefit Plans.</w:t>
      </w:r>
    </w:p>
    <w:p>
      <w:pPr>
        <w:spacing w:after="0" w:line="85" w:lineRule="exact"/>
        <w:rPr>
          <w:rFonts w:ascii="Arial" w:cs="Arial" w:eastAsia="Arial" w:hAnsi="Arial"/>
          <w:sz w:val="16"/>
          <w:szCs w:val="16"/>
          <w:color w:val="auto"/>
        </w:rPr>
      </w:pPr>
    </w:p>
    <w:p>
      <w:pPr>
        <w:jc w:val="both"/>
        <w:ind w:left="-464" w:right="20" w:firstLine="921"/>
        <w:spacing w:after="0" w:line="298" w:lineRule="auto"/>
        <w:tabs>
          <w:tab w:leader="none" w:pos="68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Timing of Severance Payments</w:t>
      </w:r>
      <w:r>
        <w:rPr>
          <w:rFonts w:ascii="Arial" w:cs="Arial" w:eastAsia="Arial" w:hAnsi="Arial"/>
          <w:sz w:val="16"/>
          <w:szCs w:val="16"/>
          <w:color w:val="auto"/>
        </w:rPr>
        <w:t>. The Company will pay the severance payments to which Executive is entitled under Section 3(a)(i) above as salary continuation on the same basis and timing as in effect immediately prior to the termination and the Company will pay the severance payments to which Executive is entitled under Section 3(b)(i) in a lump sum. If Executive should die before all amounts have been paid, such unpaid amounts will be paid in a lump sum payment (less any withholding taxes) to Executive’s spouse, designated beneficiary, or otherwise to the personal representative of Executive’s estate.</w:t>
      </w:r>
    </w:p>
    <w:p>
      <w:pPr>
        <w:spacing w:after="0" w:line="112" w:lineRule="exact"/>
        <w:rPr>
          <w:rFonts w:ascii="Arial" w:cs="Arial" w:eastAsia="Arial" w:hAnsi="Arial"/>
          <w:sz w:val="16"/>
          <w:szCs w:val="16"/>
          <w:color w:val="auto"/>
        </w:rPr>
      </w:pPr>
    </w:p>
    <w:p>
      <w:pPr>
        <w:ind w:left="-464" w:firstLine="921"/>
        <w:spacing w:after="0" w:line="255" w:lineRule="auto"/>
        <w:tabs>
          <w:tab w:leader="none" w:pos="69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(except upon a termination for Good Reason within twelve (12) months following a Change of Control), or (ii) for Cause by the Company (or any parent or subsidiary or successor of the Company), then Executive will not be entitled to receive any severance benefits and the sole obligation of the Company shall be to pay to Executive, an amount equal to Executive’s base salary payable through the date of termination of employment and any other employee benefits earned and owed through the date of termination.</w:t>
      </w:r>
    </w:p>
    <w:p>
      <w:pPr>
        <w:spacing w:after="0" w:line="142" w:lineRule="exact"/>
        <w:rPr>
          <w:rFonts w:ascii="Arial" w:cs="Arial" w:eastAsia="Arial" w:hAnsi="Arial"/>
          <w:sz w:val="18"/>
          <w:szCs w:val="18"/>
          <w:color w:val="auto"/>
        </w:rPr>
      </w:pPr>
    </w:p>
    <w:p>
      <w:pPr>
        <w:ind w:left="-464" w:right="80" w:firstLine="921"/>
        <w:spacing w:after="0" w:line="255" w:lineRule="auto"/>
        <w:tabs>
          <w:tab w:leader="none" w:pos="68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his/her death, then Executive will not be entitled to receive severance benefits and the sole obligation of the Company shall be to pay to Executive an amount equal to Executive’s base salary payable to the date of termination of employment and any other employee benefits earned and owed through the date of termination to Executive, Executive’s spouse, designated beneficiary, or otherwise to the personal representative of Executive’s estate, as the case may be.</w:t>
      </w:r>
    </w:p>
    <w:p>
      <w:pPr>
        <w:spacing w:after="0" w:line="142" w:lineRule="exact"/>
        <w:rPr>
          <w:rFonts w:ascii="Arial" w:cs="Arial" w:eastAsia="Arial" w:hAnsi="Arial"/>
          <w:sz w:val="18"/>
          <w:szCs w:val="18"/>
          <w:color w:val="auto"/>
        </w:rPr>
      </w:pPr>
    </w:p>
    <w:p>
      <w:pPr>
        <w:jc w:val="both"/>
        <w:ind w:left="-464" w:right="140" w:firstLine="921"/>
        <w:spacing w:after="0" w:line="298" w:lineRule="auto"/>
        <w:tabs>
          <w:tab w:leader="none" w:pos="668"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In the event of a termination of Executive’s employment with the Company (or any parent or subsidiary or successor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benefits, compensation or other payments or rights upon termination of employment other than those benefits expressly set forth in this Section 3.</w:t>
      </w:r>
    </w:p>
    <w:p>
      <w:pPr>
        <w:spacing w:after="0" w:line="112" w:lineRule="exact"/>
        <w:rPr>
          <w:rFonts w:ascii="Arial" w:cs="Arial" w:eastAsia="Arial" w:hAnsi="Arial"/>
          <w:sz w:val="16"/>
          <w:szCs w:val="16"/>
          <w:color w:val="auto"/>
        </w:rPr>
      </w:pPr>
    </w:p>
    <w:p>
      <w:pPr>
        <w:ind w:left="176" w:hanging="176"/>
        <w:spacing w:after="0"/>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Release of Claims; 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4" w:right="20" w:firstLine="921"/>
        <w:spacing w:after="0" w:line="306" w:lineRule="auto"/>
        <w:tabs>
          <w:tab w:leader="none" w:pos="687"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standard form acceptable to the Company (the “Release”), which must become effective no later than the sixtieth (60</w:t>
      </w:r>
      <w:r>
        <w:rPr>
          <w:rFonts w:ascii="Arial" w:cs="Arial" w:eastAsia="Arial" w:hAnsi="Arial"/>
          <w:sz w:val="10"/>
          <w:szCs w:val="10"/>
          <w:color w:val="auto"/>
        </w:rPr>
        <w:t>th</w:t>
      </w:r>
      <w:r>
        <w:rPr>
          <w:rFonts w:ascii="Arial" w:cs="Arial" w:eastAsia="Arial" w:hAnsi="Arial"/>
          <w:sz w:val="16"/>
          <w:szCs w:val="16"/>
          <w:color w:val="auto"/>
        </w:rPr>
        <w:t>) day following Executive’s termination of employment (the “Release Deadline”), and if not, Executive will forfeit any right to severance</w:t>
      </w:r>
    </w:p>
    <w:p>
      <w:pPr>
        <w:spacing w:after="0" w:line="93" w:lineRule="exact"/>
        <w:rPr>
          <w:rFonts w:ascii="Arial" w:cs="Arial" w:eastAsia="Arial" w:hAnsi="Arial"/>
          <w:sz w:val="16"/>
          <w:szCs w:val="16"/>
          <w:color w:val="auto"/>
        </w:rPr>
      </w:pPr>
    </w:p>
    <w:p>
      <w:pPr>
        <w:ind w:left="5216" w:hanging="112"/>
        <w:spacing w:after="0"/>
        <w:tabs>
          <w:tab w:leader="none" w:pos="5216" w:val="left"/>
        </w:tabs>
        <w:numPr>
          <w:ilvl w:val="3"/>
          <w:numId w:val="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76"/>
          </w:cols>
          <w:pgMar w:left="704" w:top="280" w:right="31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w:t>
      </w:r>
    </w:p>
    <w:p>
      <w:pPr>
        <w:spacing w:after="0" w:line="140" w:lineRule="exact"/>
        <w:rPr>
          <w:sz w:val="20"/>
          <w:szCs w:val="20"/>
          <w:color w:val="auto"/>
        </w:rPr>
      </w:pPr>
    </w:p>
    <w:p>
      <w:pPr>
        <w:ind w:left="1160" w:hanging="239"/>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492"/>
        <w:spacing w:after="0" w:line="298" w:lineRule="auto"/>
        <w:tabs>
          <w:tab w:leader="none" w:pos="1693" w:val="left"/>
        </w:tabs>
        <w:numPr>
          <w:ilvl w:val="2"/>
          <w:numId w:val="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Code Section 409A, and the final regulations and any guidance promulgated thereunder (“Section 409A”) (together, the “Deferred Compensation Separation Benefits”) will be paid or otherwise provided until Executive has a “separation from service” within the meaning of Section 409A.</w:t>
      </w:r>
    </w:p>
    <w:p>
      <w:pPr>
        <w:spacing w:after="0" w:line="112" w:lineRule="exact"/>
        <w:rPr>
          <w:rFonts w:ascii="Arial" w:cs="Arial" w:eastAsia="Arial" w:hAnsi="Arial"/>
          <w:sz w:val="16"/>
          <w:szCs w:val="16"/>
          <w:color w:val="auto"/>
        </w:rPr>
      </w:pPr>
    </w:p>
    <w:p>
      <w:pPr>
        <w:ind w:right="80" w:firstLine="1492"/>
        <w:spacing w:after="0" w:line="294" w:lineRule="auto"/>
        <w:tabs>
          <w:tab w:leader="none" w:pos="1742" w:val="left"/>
        </w:tabs>
        <w:numPr>
          <w:ilvl w:val="2"/>
          <w:numId w:val="7"/>
        </w:numPr>
        <w:rPr>
          <w:rFonts w:ascii="Arial" w:cs="Arial" w:eastAsia="Arial" w:hAnsi="Arial"/>
          <w:sz w:val="16"/>
          <w:szCs w:val="16"/>
          <w:color w:val="auto"/>
        </w:rPr>
      </w:pPr>
      <w:r>
        <w:rPr>
          <w:rFonts w:ascii="Arial" w:cs="Arial" w:eastAsia="Arial" w:hAnsi="Arial"/>
          <w:sz w:val="16"/>
          <w:szCs w:val="16"/>
          <w:color w:val="auto"/>
        </w:rPr>
        <w:t>Any severance payments or benefits under this Agreement that would be considered Deferred Compensation Severance Benefits will be paid on, or, in the case of installments, will not commence until, the sixtieth (60</w:t>
      </w:r>
      <w:r>
        <w:rPr>
          <w:rFonts w:ascii="Arial" w:cs="Arial" w:eastAsia="Arial" w:hAnsi="Arial"/>
          <w:sz w:val="10"/>
          <w:szCs w:val="10"/>
          <w:color w:val="auto"/>
        </w:rPr>
        <w:t>th</w:t>
      </w:r>
      <w:r>
        <w:rPr>
          <w:rFonts w:ascii="Arial" w:cs="Arial" w:eastAsia="Arial" w:hAnsi="Arial"/>
          <w:sz w:val="16"/>
          <w:szCs w:val="16"/>
          <w:color w:val="auto"/>
        </w:rPr>
        <w:t>) day following Executive’s separation from service, or, if later, such time as required by Section 4(b)(iii).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10"/>
          <w:szCs w:val="10"/>
          <w:color w:val="auto"/>
        </w:rPr>
        <w:t>th</w:t>
      </w:r>
      <w:r>
        <w:rPr>
          <w:rFonts w:ascii="Arial" w:cs="Arial" w:eastAsia="Arial" w:hAnsi="Arial"/>
          <w:sz w:val="16"/>
          <w:szCs w:val="16"/>
          <w:color w:val="auto"/>
        </w:rPr>
        <w:t>) day following Executive’s separation from service and the remaining payments shall be made as provided in this Agreement.</w:t>
      </w:r>
    </w:p>
    <w:p>
      <w:pPr>
        <w:spacing w:after="0" w:line="115" w:lineRule="exact"/>
        <w:rPr>
          <w:rFonts w:ascii="Arial" w:cs="Arial" w:eastAsia="Arial" w:hAnsi="Arial"/>
          <w:sz w:val="16"/>
          <w:szCs w:val="16"/>
          <w:color w:val="auto"/>
        </w:rPr>
      </w:pPr>
    </w:p>
    <w:p>
      <w:pPr>
        <w:ind w:right="20" w:firstLine="1492"/>
        <w:spacing w:after="0" w:line="288" w:lineRule="auto"/>
        <w:tabs>
          <w:tab w:leader="none" w:pos="1791" w:val="left"/>
        </w:tabs>
        <w:numPr>
          <w:ilvl w:val="2"/>
          <w:numId w:val="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within six (6) months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19" w:lineRule="exact"/>
        <w:rPr>
          <w:rFonts w:ascii="Arial" w:cs="Arial" w:eastAsia="Arial" w:hAnsi="Arial"/>
          <w:sz w:val="16"/>
          <w:szCs w:val="16"/>
          <w:color w:val="auto"/>
        </w:rPr>
      </w:pPr>
    </w:p>
    <w:p>
      <w:pPr>
        <w:ind w:left="1780" w:hanging="288"/>
        <w:spacing w:after="0"/>
        <w:tabs>
          <w:tab w:leader="none" w:pos="1780" w:val="left"/>
        </w:tabs>
        <w:numPr>
          <w:ilvl w:val="2"/>
          <w:numId w:val="7"/>
        </w:numPr>
        <w:rPr>
          <w:rFonts w:ascii="Arial" w:cs="Arial" w:eastAsia="Arial" w:hAnsi="Arial"/>
          <w:sz w:val="16"/>
          <w:szCs w:val="16"/>
          <w:color w:val="auto"/>
        </w:rPr>
      </w:pPr>
      <w:r>
        <w:rPr>
          <w:rFonts w:ascii="Arial" w:cs="Arial" w:eastAsia="Arial" w:hAnsi="Arial"/>
          <w:sz w:val="16"/>
          <w:szCs w:val="16"/>
          <w:color w:val="auto"/>
        </w:rPr>
        <w:t>Any amount paid under this Agreement that satisfies the requirements of the “short-term deferral” rule set forth in Section 1.409A-1(b)</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Treasury Regulations shall not constitute Deferred Compensation Separation Benefits for purposes of clause (i) above.</w:t>
      </w:r>
    </w:p>
    <w:p>
      <w:pPr>
        <w:spacing w:after="0" w:line="151" w:lineRule="exact"/>
        <w:rPr>
          <w:rFonts w:ascii="Arial" w:cs="Arial" w:eastAsia="Arial" w:hAnsi="Arial"/>
          <w:sz w:val="18"/>
          <w:szCs w:val="18"/>
          <w:color w:val="auto"/>
        </w:rPr>
      </w:pPr>
    </w:p>
    <w:p>
      <w:pPr>
        <w:ind w:left="5680" w:hanging="112"/>
        <w:spacing w:after="0"/>
        <w:tabs>
          <w:tab w:leader="none" w:pos="5680" w:val="left"/>
        </w:tabs>
        <w:numPr>
          <w:ilvl w:val="3"/>
          <w:numId w:val="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8" w:name="page9"/>
    <w:bookmarkEnd w:id="8"/>
    <w:p>
      <w:pPr>
        <w:ind w:firstLine="1492"/>
        <w:spacing w:after="0" w:line="253" w:lineRule="auto"/>
        <w:tabs>
          <w:tab w:leader="none" w:pos="1732" w:val="left"/>
        </w:tabs>
        <w:numPr>
          <w:ilvl w:val="3"/>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paid under the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(i) above. For this purpose, “Section 409A Limit” means the lesser of: (A) Executive’s annualized compensation based upon the annual rate of pay paid to Executive during Executive’s taxable year preceding the taxable year of Executive’s termination of employment as determined under Treasury Regulation 1.409A-1(b)(9)(iii)(A)(1) and any Internal Revenue Service guidance issued with respect thereto, multiplied by two (2); or (B) the maximum amount that may be taken into account under a qualified plan pursuant to Code Section 401(a)(17) for the year in which Executive’s employment is terminated, multiplied by two (2).</w:t>
      </w:r>
    </w:p>
    <w:p>
      <w:pPr>
        <w:spacing w:after="0" w:line="147" w:lineRule="exact"/>
        <w:rPr>
          <w:rFonts w:ascii="Arial" w:cs="Arial" w:eastAsia="Arial" w:hAnsi="Arial"/>
          <w:sz w:val="18"/>
          <w:szCs w:val="18"/>
          <w:color w:val="auto"/>
        </w:rPr>
      </w:pPr>
    </w:p>
    <w:p>
      <w:pPr>
        <w:ind w:right="140" w:firstLine="1492"/>
        <w:spacing w:after="0" w:line="298" w:lineRule="auto"/>
        <w:tabs>
          <w:tab w:leader="none" w:pos="1781" w:val="left"/>
        </w:tabs>
        <w:numPr>
          <w:ilvl w:val="3"/>
          <w:numId w:val="9"/>
        </w:numPr>
        <w:rPr>
          <w:rFonts w:ascii="Arial" w:cs="Arial" w:eastAsia="Arial" w:hAnsi="Arial"/>
          <w:sz w:val="16"/>
          <w:szCs w:val="16"/>
          <w:color w:val="auto"/>
        </w:rPr>
      </w:pPr>
      <w:r>
        <w:rPr>
          <w:rFonts w:ascii="Arial" w:cs="Arial" w:eastAsia="Arial" w:hAnsi="Arial"/>
          <w:sz w:val="16"/>
          <w:szCs w:val="16"/>
          <w:color w:val="auto"/>
        </w:rPr>
        <w:t>The foregoing provision is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38" w:lineRule="exact"/>
        <w:rPr>
          <w:rFonts w:ascii="Arial" w:cs="Arial" w:eastAsia="Arial" w:hAnsi="Arial"/>
          <w:sz w:val="16"/>
          <w:szCs w:val="16"/>
          <w:color w:val="auto"/>
        </w:rPr>
      </w:pPr>
    </w:p>
    <w:p>
      <w:pPr>
        <w:ind w:right="60" w:firstLine="8"/>
        <w:spacing w:after="0" w:line="261"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but for this Section 5, would be subject to the excise tax imposed by Section 4999 of the Code, then Executive’s severance benefits under Section 3 will be either:</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severance benefits being subject to excise tax under Section 4999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Unless the Company and Executive otherwise agree in writing, any determination required under this Section 5 will be made in writing by the Company’s independent public accountants immediately prior to Change of Control (the “Accountants”), whose determination will be conclusive and binding upon Executive and the Company for all purposes. For purposes of making the calculations required by this Section 5,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5. The Company will bear all costs the Accountants may reasonably incur in connection with any calculations contemplated by this Section 5. If a reduction in severance and other benefits constituting “parachute payments” is necessary so that benefits are delivered to a lesser extent, reduction will occur in the following order: reduction of cash payments; cancellation of equity awards granted “contingent on a change in ownership or control” within the meaning of Section 280G of the Code; cancellation of vesting acceleration of equity awards; reduction of employee benefits.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9" w:name="page10"/>
    <w:bookmarkEnd w:id="9"/>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Terms</w:t>
      </w:r>
      <w:r>
        <w:rPr>
          <w:rFonts w:ascii="Arial" w:cs="Arial" w:eastAsia="Arial" w:hAnsi="Arial"/>
          <w:sz w:val="18"/>
          <w:szCs w:val="18"/>
          <w:color w:val="auto"/>
        </w:rPr>
        <w:t>. The following terms referred to in this Agreement will have the following meanings:</w:t>
      </w:r>
    </w:p>
    <w:p>
      <w:pPr>
        <w:spacing w:after="0" w:line="171" w:lineRule="exact"/>
        <w:rPr>
          <w:rFonts w:ascii="Arial" w:cs="Arial" w:eastAsia="Arial" w:hAnsi="Arial"/>
          <w:sz w:val="18"/>
          <w:szCs w:val="18"/>
          <w:color w:val="auto"/>
        </w:rPr>
      </w:pPr>
    </w:p>
    <w:p>
      <w:pPr>
        <w:ind w:right="40" w:firstLine="921"/>
        <w:spacing w:after="0" w:line="302" w:lineRule="auto"/>
        <w:tabs>
          <w:tab w:leader="none" w:pos="1152"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Benefit Plans</w:t>
      </w:r>
      <w:r>
        <w:rPr>
          <w:rFonts w:ascii="Arial" w:cs="Arial" w:eastAsia="Arial" w:hAnsi="Arial"/>
          <w:sz w:val="15"/>
          <w:szCs w:val="15"/>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vision and similar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w:t>
      </w:r>
    </w:p>
    <w:p>
      <w:pPr>
        <w:ind w:right="60"/>
        <w:spacing w:after="0" w:line="288" w:lineRule="auto"/>
        <w:rPr>
          <w:rFonts w:ascii="Arial" w:cs="Arial" w:eastAsia="Arial" w:hAnsi="Arial"/>
          <w:sz w:val="15"/>
          <w:szCs w:val="15"/>
          <w:color w:val="auto"/>
        </w:rPr>
      </w:pPr>
      <w:r>
        <w:rPr>
          <w:rFonts w:ascii="Arial" w:cs="Arial" w:eastAsia="Arial" w:hAnsi="Arial"/>
          <w:sz w:val="16"/>
          <w:szCs w:val="16"/>
          <w:color w:val="auto"/>
        </w:rPr>
        <w:t>(i) reimbursing Executive’s premiums under COBRA after Executive has properly elected continuation coverage under COBRA (in which case Executive will be solely responsible for electing such coverage for his/her eligible dependents), or (ii) providing coverage under a separate plan or plans providing coverage that is no less favorable. In addition, and notwithstanding anything to the contrary in this definition, if the Company determines in its sole and reasonable discretion that it cannot provide coverage as described in this definition without potentially violating applicable law (including, without limitation, Section 2716 of the Public Health Service Act), the Company will in lieu thereof provide to Executive a taxable monthly payment in an amount equal to the monthly COBRA premium that Executive would be required to pay to continue his/her group health coverage in effect on the date of such termination, multiplied by 1.5, which payments will be made regardless of whether Executive elects COBRA continuation coverage.</w:t>
      </w:r>
    </w:p>
    <w:p>
      <w:pPr>
        <w:spacing w:after="0" w:line="122" w:lineRule="exact"/>
        <w:rPr>
          <w:rFonts w:ascii="Arial" w:cs="Arial" w:eastAsia="Arial" w:hAnsi="Arial"/>
          <w:sz w:val="15"/>
          <w:szCs w:val="15"/>
          <w:color w:val="auto"/>
        </w:rPr>
      </w:pPr>
    </w:p>
    <w:p>
      <w:pPr>
        <w:ind w:firstLine="921"/>
        <w:spacing w:after="0" w:line="290" w:lineRule="auto"/>
        <w:tabs>
          <w:tab w:leader="none" w:pos="1161"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“Cause” means (i) an act of dishonesty made by Executive in connection with Executive’s responsibilities as an employee, (ii) Executive’s conviction of, or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felony or any crime involving fraud, embezzlement or any other act of moral turpitude, (iii) Executive’s gross misconduct, (iv) Executive’s unauthorized use or disclosure of any proprietary information or trade secrets of the Company or any other party to whom Executive owes an obligation of nondisclosure as a result of Executive’s relationship with the Company; (v) Executive’s willful breach of any obligations under any written agreement or covenant with the Company; or (vi) Executive’s continued failure to perform his/her employment duties after Executive has received a written demand of performance from the Company which specifically sets forth the factual basis for the Company’s belief that Executive has not substantially performed his/her duties and has failed to cure such non-performance to the Company’s satisfaction within 10 business days after receiving such notice.</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“Change of Control” of the Company means:</w:t>
      </w:r>
    </w:p>
    <w:p>
      <w:pPr>
        <w:spacing w:after="0" w:line="171" w:lineRule="exact"/>
        <w:rPr>
          <w:rFonts w:ascii="Arial" w:cs="Arial" w:eastAsia="Arial" w:hAnsi="Arial"/>
          <w:sz w:val="18"/>
          <w:szCs w:val="18"/>
          <w:color w:val="auto"/>
        </w:rPr>
      </w:pPr>
    </w:p>
    <w:p>
      <w:pPr>
        <w:jc w:val="both"/>
        <w:ind w:right="280" w:firstLine="1492"/>
        <w:spacing w:after="0" w:line="259" w:lineRule="auto"/>
        <w:tabs>
          <w:tab w:leader="none" w:pos="1693"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defined in Rule 13d-3 under said Act), directly or indirectly, of securities of the Company representing 50% or more of the total voting power represented by the Company’s then outstanding voting securities; or</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3"/>
          <w:numId w:val="1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80" w:right="239" w:bottom="1440" w:gutter="0" w:footer="0" w:header="0"/>
        </w:sectPr>
      </w:pPr>
    </w:p>
    <w:bookmarkStart w:id="10" w:name="page11"/>
    <w:bookmarkEnd w:id="10"/>
    <w:p>
      <w:pPr>
        <w:ind w:left="-921" w:right="140" w:firstLine="1492"/>
        <w:spacing w:after="0" w:line="255" w:lineRule="auto"/>
        <w:tabs>
          <w:tab w:leader="none" w:pos="821"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change in the composition of the Board occurring within a two-year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spacing w:after="0" w:line="142" w:lineRule="exact"/>
        <w:rPr>
          <w:rFonts w:ascii="Arial" w:cs="Arial" w:eastAsia="Arial" w:hAnsi="Arial"/>
          <w:sz w:val="18"/>
          <w:szCs w:val="18"/>
          <w:color w:val="auto"/>
        </w:rPr>
      </w:pPr>
    </w:p>
    <w:p>
      <w:pPr>
        <w:ind w:left="-921" w:right="280" w:firstLine="1492"/>
        <w:spacing w:after="0" w:line="294" w:lineRule="auto"/>
        <w:tabs>
          <w:tab w:leader="none" w:pos="8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15" w:lineRule="exact"/>
        <w:rPr>
          <w:rFonts w:ascii="Arial" w:cs="Arial" w:eastAsia="Arial" w:hAnsi="Arial"/>
          <w:sz w:val="16"/>
          <w:szCs w:val="16"/>
          <w:color w:val="auto"/>
        </w:rPr>
      </w:pPr>
    </w:p>
    <w:p>
      <w:pPr>
        <w:ind w:left="859" w:hanging="288"/>
        <w:spacing w:after="0"/>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the Company of all or substantially all the Company’s assets.</w:t>
      </w:r>
    </w:p>
    <w:p>
      <w:pPr>
        <w:spacing w:after="0" w:line="171" w:lineRule="exact"/>
        <w:rPr>
          <w:rFonts w:ascii="Arial" w:cs="Arial" w:eastAsia="Arial" w:hAnsi="Arial"/>
          <w:sz w:val="18"/>
          <w:szCs w:val="18"/>
          <w:color w:val="auto"/>
        </w:rPr>
      </w:pPr>
    </w:p>
    <w:p>
      <w:pPr>
        <w:ind w:left="-921" w:firstLine="921"/>
        <w:spacing w:after="0" w:line="291"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“Disability” means that Executive has been unable to perform his/her Company duties as the result of his/her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30 days’ written notice by the Company of its intention to terminate Executive’s employment. In the event that Executive resumes the performance of substantially all of his/her duties hereunder before the termination of his/her employment becomes effective, the notice of intent to terminate will automatically be deemed to have been revoked.</w:t>
      </w:r>
    </w:p>
    <w:p>
      <w:pPr>
        <w:spacing w:after="0" w:line="120" w:lineRule="exact"/>
        <w:rPr>
          <w:rFonts w:ascii="Arial" w:cs="Arial" w:eastAsia="Arial" w:hAnsi="Arial"/>
          <w:sz w:val="16"/>
          <w:szCs w:val="16"/>
          <w:color w:val="auto"/>
        </w:rPr>
      </w:pPr>
    </w:p>
    <w:p>
      <w:pPr>
        <w:ind w:left="-921" w:right="40" w:firstLine="921"/>
        <w:spacing w:after="0" w:line="289" w:lineRule="auto"/>
        <w:tabs>
          <w:tab w:leader="none" w:pos="23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“Good Reason” means the occurrence of one or more of the following events effected without Executive’s prior consent, provided Executive terminates Executive’s employment with the Company within one (1) year following the initial existence of the “Good Reason” condition (discussed below): (i) the assignment to Executive of any duties or the reduction of Executive’s duties, either of which results in a material diminution in Executive’s position or responsibilities with the Company; provided that, it being understood that the continuance of Executive’s duties and responsibilities at the subsidiary or divisional level following a Change of Control, rather than at the parent, combined or surviving company level following such Change of Control shall not be deemed Good Reason within the meaning of this clause (i); (ii) a material reduction by the Company in the base salary of Executive; (iii) a material change in the geographic location at which Executive must perform services (for purposes of this Agreement, the relocation of Executive to a facility or a location less than 50 miles from Executive’s then-present</w:t>
      </w:r>
    </w:p>
    <w:p>
      <w:pPr>
        <w:spacing w:after="0" w:line="104" w:lineRule="exact"/>
        <w:rPr>
          <w:rFonts w:ascii="Arial" w:cs="Arial" w:eastAsia="Arial" w:hAnsi="Arial"/>
          <w:sz w:val="16"/>
          <w:szCs w:val="16"/>
          <w:color w:val="auto"/>
        </w:rPr>
      </w:pPr>
    </w:p>
    <w:p>
      <w:pPr>
        <w:ind w:left="4759" w:hanging="112"/>
        <w:spacing w:after="0"/>
        <w:tabs>
          <w:tab w:leader="none" w:pos="4759" w:val="left"/>
        </w:tabs>
        <w:numPr>
          <w:ilvl w:val="2"/>
          <w:numId w:val="1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79"/>
          </w:cols>
          <w:pgMar w:left="1161" w:top="280" w:right="259" w:bottom="1440" w:gutter="0" w:footer="0" w:header="0"/>
        </w:sectPr>
      </w:pPr>
    </w:p>
    <w:bookmarkStart w:id="11" w:name="page12"/>
    <w:bookmarkEnd w:id="1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location shall not be considered a material change in geographic location); or (iv) any material breach by the Company of any material provision of this Agreement.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43"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318" w:lineRule="auto"/>
        <w:tabs>
          <w:tab w:leader="none" w:pos="1152" w:val="left"/>
        </w:tabs>
        <w:numPr>
          <w:ilvl w:val="1"/>
          <w:numId w:val="15"/>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99" w:lineRule="exact"/>
        <w:rPr>
          <w:rFonts w:ascii="Arial" w:cs="Arial" w:eastAsia="Arial" w:hAnsi="Arial"/>
          <w:sz w:val="15"/>
          <w:szCs w:val="15"/>
          <w:color w:val="auto"/>
        </w:rPr>
      </w:pPr>
    </w:p>
    <w:p>
      <w:pPr>
        <w:ind w:right="300" w:firstLine="921"/>
        <w:spacing w:after="0" w:line="332" w:lineRule="auto"/>
        <w:tabs>
          <w:tab w:leader="none" w:pos="1161"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85" w:lineRule="exact"/>
        <w:rPr>
          <w:rFonts w:ascii="Arial" w:cs="Arial" w:eastAsia="Arial" w:hAnsi="Arial"/>
          <w:sz w:val="16"/>
          <w:szCs w:val="16"/>
          <w:color w:val="auto"/>
        </w:rPr>
      </w:pPr>
    </w:p>
    <w:p>
      <w:pPr>
        <w:ind w:right="200" w:firstLine="921"/>
        <w:spacing w:after="0" w:line="268" w:lineRule="auto"/>
        <w:tabs>
          <w:tab w:leader="none" w:pos="115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It shall be considered a material breach of the Agreement if the Company fails to obtain the assumption of this Agreement by any successor to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921"/>
        <w:spacing w:after="0" w:line="298"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12" w:lineRule="exact"/>
        <w:rPr>
          <w:rFonts w:ascii="Arial" w:cs="Arial" w:eastAsia="Arial" w:hAnsi="Arial"/>
          <w:sz w:val="16"/>
          <w:szCs w:val="16"/>
          <w:color w:val="auto"/>
        </w:rPr>
      </w:pPr>
    </w:p>
    <w:p>
      <w:pPr>
        <w:ind w:firstLine="921"/>
        <w:spacing w:after="0" w:line="291" w:lineRule="auto"/>
        <w:tabs>
          <w:tab w:leader="none" w:pos="1161"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his/her rights hereunder.</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80" w:right="259" w:bottom="1440" w:gutter="0" w:footer="0" w:header="0"/>
        </w:sectPr>
      </w:pPr>
    </w:p>
    <w:bookmarkStart w:id="12" w:name="page13"/>
    <w:bookmarkEnd w:id="12"/>
    <w:p>
      <w:pPr>
        <w:ind w:left="520" w:hanging="176"/>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20" w:right="120" w:firstLine="921"/>
        <w:spacing w:after="0" w:line="268" w:lineRule="auto"/>
        <w:tabs>
          <w:tab w:leader="none" w:pos="103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31" w:lineRule="exact"/>
        <w:rPr>
          <w:rFonts w:ascii="Arial" w:cs="Arial" w:eastAsia="Arial" w:hAnsi="Arial"/>
          <w:sz w:val="18"/>
          <w:szCs w:val="18"/>
          <w:color w:val="auto"/>
        </w:rPr>
      </w:pPr>
    </w:p>
    <w:p>
      <w:pPr>
        <w:ind w:left="-120" w:right="80" w:firstLine="921"/>
        <w:spacing w:after="0" w:line="256" w:lineRule="auto"/>
        <w:tabs>
          <w:tab w:leader="none" w:pos="104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3" w:lineRule="exact"/>
        <w:rPr>
          <w:rFonts w:ascii="Arial" w:cs="Arial" w:eastAsia="Arial" w:hAnsi="Arial"/>
          <w:sz w:val="18"/>
          <w:szCs w:val="18"/>
          <w:color w:val="auto"/>
        </w:rPr>
      </w:pPr>
    </w:p>
    <w:p>
      <w:pPr>
        <w:ind w:left="1040" w:hanging="239"/>
        <w:spacing w:after="0"/>
        <w:tabs>
          <w:tab w:leader="none" w:pos="1040" w:val="left"/>
        </w:tabs>
        <w:numPr>
          <w:ilvl w:val="1"/>
          <w:numId w:val="16"/>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All captions and section headings used in this Agreement are for convenient reference only and do not form a part of this Agreement.</w:t>
      </w:r>
    </w:p>
    <w:p>
      <w:pPr>
        <w:spacing w:after="0" w:line="205" w:lineRule="exact"/>
        <w:rPr>
          <w:rFonts w:ascii="Arial" w:cs="Arial" w:eastAsia="Arial" w:hAnsi="Arial"/>
          <w:sz w:val="15"/>
          <w:szCs w:val="15"/>
          <w:color w:val="auto"/>
        </w:rPr>
      </w:pPr>
    </w:p>
    <w:p>
      <w:pPr>
        <w:ind w:left="-120" w:firstLine="921"/>
        <w:spacing w:after="0" w:line="255" w:lineRule="auto"/>
        <w:tabs>
          <w:tab w:leader="none" w:pos="1041"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Employment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without limitation, the Original Agreement. No waiver, alteration, or modification of any of the provisions of this Agreement will be binding unless in writing and signed by duly authorized representatives of the parties hereto and which specifically mention this Agreement.</w:t>
      </w:r>
    </w:p>
    <w:p>
      <w:pPr>
        <w:spacing w:after="0" w:line="142" w:lineRule="exact"/>
        <w:rPr>
          <w:rFonts w:ascii="Arial" w:cs="Arial" w:eastAsia="Arial" w:hAnsi="Arial"/>
          <w:sz w:val="18"/>
          <w:szCs w:val="18"/>
          <w:color w:val="auto"/>
        </w:rPr>
      </w:pPr>
    </w:p>
    <w:p>
      <w:pPr>
        <w:ind w:left="-120" w:right="560" w:firstLine="921"/>
        <w:spacing w:after="0" w:line="268" w:lineRule="auto"/>
        <w:tabs>
          <w:tab w:leader="none" w:pos="103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will be governed by the laws of the State of California (with the exception of its conflict of laws provisions).</w:t>
      </w:r>
    </w:p>
    <w:p>
      <w:pPr>
        <w:spacing w:after="0" w:line="131" w:lineRule="exact"/>
        <w:rPr>
          <w:rFonts w:ascii="Arial" w:cs="Arial" w:eastAsia="Arial" w:hAnsi="Arial"/>
          <w:sz w:val="18"/>
          <w:szCs w:val="18"/>
          <w:color w:val="auto"/>
        </w:rPr>
      </w:pPr>
    </w:p>
    <w:p>
      <w:pPr>
        <w:ind w:left="-120" w:right="140" w:firstLine="921"/>
        <w:spacing w:after="0" w:line="268"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31" w:lineRule="exact"/>
        <w:rPr>
          <w:rFonts w:ascii="Arial" w:cs="Arial" w:eastAsia="Arial" w:hAnsi="Arial"/>
          <w:sz w:val="18"/>
          <w:szCs w:val="18"/>
          <w:color w:val="auto"/>
        </w:rPr>
      </w:pPr>
    </w:p>
    <w:p>
      <w:pPr>
        <w:ind w:left="1040" w:hanging="239"/>
        <w:spacing w:after="0"/>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 other taxes.</w:t>
      </w:r>
    </w:p>
    <w:p>
      <w:pPr>
        <w:spacing w:after="0" w:line="194" w:lineRule="exact"/>
        <w:rPr>
          <w:rFonts w:ascii="Arial" w:cs="Arial" w:eastAsia="Arial" w:hAnsi="Arial"/>
          <w:sz w:val="16"/>
          <w:szCs w:val="16"/>
          <w:color w:val="auto"/>
        </w:rPr>
      </w:pPr>
    </w:p>
    <w:p>
      <w:pPr>
        <w:ind w:left="-120" w:right="20" w:firstLine="921"/>
        <w:spacing w:after="0" w:line="306" w:lineRule="auto"/>
        <w:tabs>
          <w:tab w:leader="none" w:pos="1041"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will be deemed an original, but all of which together will constitute one and the same instrument. Execution and delivery of this Agreement by exchange of facsimile copies bearing the facsimile signature of a party will constitute a valid and binding execution and delivery of the Agreement by such party. Such facsimile copies will constitute enforceable original documents.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00"/>
          </w:cols>
          <w:pgMar w:left="360" w:top="280" w:right="339" w:bottom="1440" w:gutter="0" w:footer="0" w:header="0"/>
        </w:sectPr>
      </w:pPr>
    </w:p>
    <w:bookmarkStart w:id="13" w:name="page14"/>
    <w:bookmarkEnd w:id="1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33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FLUIDIGM CORPORATION</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- 10 -</w:t>
      </w:r>
    </w:p>
    <w:sectPr>
      <w:pgSz w:w="11900" w:h="16838" w:orient="portrait"/>
      <w:cols w:equalWidth="0" w:num="1">
        <w:col w:w="11120"/>
      </w:cols>
      <w:pgMar w:left="240" w:top="28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5">
    <w:nsid w:val="1F16E9E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7">
    <w:nsid w:val="66EF438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9">
    <w:nsid w:val="3352255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0">
    <w:nsid w:val="109CF92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
    <w:nsid w:val="DED726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
    <w:nsid w:val="7FDCC233"/>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3">
    <w:nsid w:val="1BEFD79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4">
    <w:nsid w:val="41A7C4C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5">
    <w:nsid w:val="6B68079A"/>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2019-12-09T15:02:31Z</dcterms:created>
  <dcterms:modified xsi:type="dcterms:W3CDTF">2019-12-09T15:02:31Z</dcterms:modified>
</cp:coreProperties>
</file>