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Mackay Sean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385"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02109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03/20/2026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272,107</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1,032,281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0.9846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03/20/2026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612,240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03/20/2036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612,240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612,240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over four years, with 1/16 of the RSUs vesting on May 20, 2026 and the remaining RSUs vesting in equal quarterly installments thereafter,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1/16th of the underlying shares on May 20, 2026, with the remaining shares vesting in equal quarterly installments thereafter, subject to the Reporting Person's continued service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Sean Mackay by Samantha</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M. Silver, Attorney-in-Fact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2026-04-08T20:56:18Z</dcterms:created>
  <dcterms:modified xsi:type="dcterms:W3CDTF">2026-04-08T20:56:18Z</dcterms:modified>
</cp:coreProperties>
</file>