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50506.htm"/>
      <w:bookmarkStart w:id="1" w:name="kslab20250506"/>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May 6, 2025</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Tower Place, Suite 2000</w:t>
            </w:r>
          </w:p>
          <w:p>
            <w:pPr>
              <w:pStyle w:val="TableContents"/>
              <w:bidi w:val="0"/>
              <w:spacing w:before="0" w:after="283"/>
              <w:jc w:val="center"/>
              <w:rPr>
                <w:rFonts w:ascii="Times New Roman" w:hAnsi="Times New Roman"/>
                <w:sz w:val="20"/>
              </w:rPr>
            </w:pPr>
            <w:r>
              <w:rPr>
                <w:rFonts w:ascii="Times New Roman" w:hAnsi="Times New Roman"/>
                <w:b/>
                <w:color w:val="000000"/>
                <w:sz w:val="20"/>
              </w:rPr>
              <w:t>South San Francisco, California</w:t>
            </w:r>
            <w:r>
              <w:rPr>
                <w:rFonts w:ascii="Times New Roman" w:hAnsi="Times New Roman"/>
                <w:color w:val="000000"/>
                <w:sz w:val="20"/>
              </w:rPr>
              <w:t xml:space="preserve"> </w:t>
            </w:r>
            <w:r>
              <w:rPr>
                <w:rFonts w:ascii="Times New Roman" w:hAnsi="Times New Roman"/>
                <w:b/>
                <w:color w:val="000000"/>
                <w:sz w:val="20"/>
              </w:rPr>
              <w:t>94080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6, 2025, Standard BioTools Inc. issued a press release which included information with respect to certain financial results for the three months ended March 31, 2025. The press release is attached hereto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the press release, except for the information set forth under the heading “Full Year 2025 Revenue Outlook” and under the heading “About Standard BioTools Inc.,” together with the forward-looking statement disclaimer, is incorporated by reference into this Item 2.02 of this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the heading “Updated Full Year 2025 Revenue Outlook” and under the heading “About Standard BioTools Inc.,” together with the forward-looking statement disclaimer, is incorporated by reference into this Item 7.01 of this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1066"/>
        <w:gridCol w:w="164"/>
        <w:gridCol w:w="6619"/>
      </w:tblGrid>
      <w:tr>
        <w:trPr/>
        <w:tc>
          <w:tcPr>
            <w:tcW w:w="10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19"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99.1</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99_1.htm">
              <w:r>
                <w:rPr>
                  <w:rStyle w:val="InternetLink"/>
                  <w:rFonts w:ascii="Times New Roman" w:hAnsi="Times New Roman"/>
                  <w:color w:val="0000FF"/>
                  <w:sz w:val="20"/>
                  <w:u w:val="single"/>
                </w:rPr>
                <w:t>Press release issued by Standard BioTools Inc., dated May 6, 2025</w:t>
              </w:r>
            </w:hyperlink>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4764" w:type="dxa"/>
        <w:jc w:val="left"/>
        <w:tblInd w:w="0" w:type="dxa"/>
        <w:tblLayout w:type="fixed"/>
        <w:tblCellMar>
          <w:top w:w="28" w:type="dxa"/>
          <w:left w:w="28" w:type="dxa"/>
          <w:bottom w:w="28" w:type="dxa"/>
          <w:right w:w="28" w:type="dxa"/>
        </w:tblCellMar>
      </w:tblPr>
      <w:tblGrid>
        <w:gridCol w:w="181"/>
        <w:gridCol w:w="651"/>
        <w:gridCol w:w="166"/>
        <w:gridCol w:w="3766"/>
      </w:tblGrid>
      <w:tr>
        <w:trPr/>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May 6, 2025</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583"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bookmarkStart w:id="3" w:name="lab-ex99_1.htm"/>
      <w:bookmarkStart w:id="4" w:name="kslabex99_1"/>
      <w:bookmarkEnd w:id="3"/>
      <w:bookmarkEnd w:id="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0953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7810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7"/>
        </w:rPr>
      </w:pPr>
      <w:r>
        <w:rPr>
          <w:rFonts w:ascii="Times New Roman" w:hAnsi="Times New Roman"/>
          <w:b/>
          <w:color w:val="000000"/>
          <w:sz w:val="27"/>
        </w:rPr>
        <w:t>Standard BioTools Reports First Quarter 2025 Financial Results</w:t>
      </w:r>
    </w:p>
    <w:p>
      <w:pPr>
        <w:pStyle w:val="TextBody"/>
        <w:bidi w:val="0"/>
        <w:jc w:val="center"/>
        <w:rPr/>
      </w:pPr>
      <w:r>
        <w:rPr/>
        <w:t> </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SOUTH SAN FRANCISCO, Calif., May 06, 2025 -- Standard BioTools Inc. (NASDAQ: LAB) (the “Company” or "Standard BioTools") today announced financial results for the first quarter ended March 31, 2025.</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Recent Highlights: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i/>
          <w:color w:val="000000"/>
          <w:sz w:val="22"/>
        </w:rPr>
      </w:pPr>
      <w:r>
        <w:rPr>
          <w:rFonts w:ascii="Times New Roman" w:hAnsi="Times New Roman"/>
          <w:i/>
          <w:color w:val="000000"/>
          <w:sz w:val="22"/>
        </w:rPr>
        <w:t>First quarter 2025 revenue of $40.8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45% reduction in operating loss and 29% improvement in adjusted EBITDA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 xml:space="preserve">Operationalized $10 million more in annual run rate cost reductions, totaling $90 million since merger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Strong balance sheet with $261 million in cash &amp; cash equivalents and no material debt as of March 31, 2025</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Standard BioTools delivered a solid first quarter in line with our expectations, reflecting focused execution in a challenging Life Sciences macro backdrop,” said Michael Egholm, PhD, President and Chief Executive Officer of Standard BioTools. "We remain grounded and disciplined, driving a 29% year-over-year improvement in adjusted EBITDA through Standard BioTools Business System (SBS). We believe our unique model, world class operational platform and healthy capital position will allow us to continue to take advantage of the current environment and deliver shareholder value over time.”</w:t>
      </w:r>
    </w:p>
    <w:p>
      <w:pPr>
        <w:pStyle w:val="TextBody"/>
        <w:bidi w:val="0"/>
        <w:jc w:val="left"/>
        <w:rPr>
          <w:rFonts w:ascii="Times New Roman" w:hAnsi="Times New Roman"/>
          <w:color w:val="000000"/>
          <w:sz w:val="22"/>
        </w:rPr>
      </w:pPr>
      <w:r>
        <w:rPr>
          <w:rFonts w:ascii="Times New Roman" w:hAnsi="Times New Roman"/>
          <w:color w:val="000000"/>
          <w:sz w:val="22"/>
        </w:rPr>
        <w:t>Dr. Egholm added, "On a product level, I am particularly excited by our strategic foothold in proteomics and the momentum building for SomaScan and SOMAmers. The advantages and performance over legacy antibody-based approaches is now well-documented, most recently at the AACR Annual Meeting and through a growing list of publications. As population-based proteomics studies continue to favor our technology, the upcoming launch of our Illumina partnered NGS-based product will only further expand access. Together we expect this momentum to accelerate as we help usher in an exciting new era of proteomic discovery."</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Financial Results Table:</w:t>
      </w:r>
    </w:p>
    <w:p>
      <w:pPr>
        <w:pStyle w:val="TextBody"/>
        <w:bidi w:val="0"/>
        <w:jc w:val="left"/>
        <w:rPr/>
      </w:pPr>
      <w:r>
        <w:rPr/>
        <w:t> </w:t>
      </w:r>
    </w:p>
    <w:tbl>
      <w:tblPr>
        <w:tblW w:w="5970" w:type="dxa"/>
        <w:jc w:val="left"/>
        <w:tblInd w:w="0" w:type="dxa"/>
        <w:tblLayout w:type="fixed"/>
        <w:tblCellMar>
          <w:top w:w="28" w:type="dxa"/>
          <w:left w:w="28" w:type="dxa"/>
          <w:bottom w:w="28" w:type="dxa"/>
          <w:right w:w="28" w:type="dxa"/>
        </w:tblCellMar>
      </w:tblPr>
      <w:tblGrid>
        <w:gridCol w:w="3256"/>
        <w:gridCol w:w="242"/>
        <w:gridCol w:w="778"/>
        <w:gridCol w:w="311"/>
        <w:gridCol w:w="168"/>
        <w:gridCol w:w="242"/>
        <w:gridCol w:w="657"/>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(Unaudited, in millions, except percentages)</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w:t>
              <w:br/>
              <w:t>   and short-term investments</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First Quarter 2025 Financial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Revenue </w:t>
      </w:r>
      <w:r>
        <w:rPr>
          <w:rFonts w:ascii="Times New Roman" w:hAnsi="Times New Roman"/>
          <w:color w:val="000000"/>
          <w:sz w:val="22"/>
        </w:rPr>
        <w:t>was $40.8 million in the first quarter of 2025, down 10% year-over-year: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b/>
          <w:color w:val="000000"/>
          <w:sz w:val="22"/>
        </w:rPr>
        <w:t>Consumables</w:t>
      </w:r>
      <w:r>
        <w:rPr>
          <w:color w:val="000000"/>
        </w:rPr>
        <w:t xml:space="preserve"> </w:t>
      </w:r>
      <w:r>
        <w:rPr>
          <w:rFonts w:ascii="Times New Roman" w:hAnsi="Times New Roman"/>
          <w:color w:val="000000"/>
          <w:sz w:val="22"/>
        </w:rPr>
        <w:t xml:space="preserve">revenue was $14.5 million in the first quarter of 2025, down 16% year-over-year. Consumables revenue declined due to lower volume.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b/>
          <w:color w:val="000000"/>
          <w:sz w:val="22"/>
        </w:rPr>
        <w:t>Instruments</w:t>
      </w:r>
      <w:r>
        <w:rPr>
          <w:color w:val="000000"/>
        </w:rPr>
        <w:t xml:space="preserve"> </w:t>
      </w:r>
      <w:r>
        <w:rPr>
          <w:rFonts w:ascii="Times New Roman" w:hAnsi="Times New Roman"/>
          <w:color w:val="000000"/>
          <w:sz w:val="22"/>
        </w:rPr>
        <w:t>revenue was $7.8 million in the first quarter of 2025, up 24% year-over-year. Instrument revenue was driven by strong growth in our Hyperion XTi spatial proteomics platform.</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b/>
          <w:color w:val="000000"/>
          <w:sz w:val="22"/>
        </w:rPr>
        <w:t>Services</w:t>
      </w:r>
      <w:r>
        <w:rPr>
          <w:color w:val="000000"/>
        </w:rPr>
        <w:t xml:space="preserve"> </w:t>
      </w:r>
      <w:r>
        <w:rPr>
          <w:rFonts w:ascii="Times New Roman" w:hAnsi="Times New Roman"/>
          <w:color w:val="000000"/>
          <w:sz w:val="22"/>
        </w:rPr>
        <w:t xml:space="preserve">revenue, which includes both Lab Services and Field Services, was $17.6 million in the first quarter of 2025, down 16% year over year. Lab Services revenue was down 19% due to a tough comparable to prior-year levels that benefited from elevated backlog as well as project timing.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Gross margins</w:t>
      </w:r>
      <w:r>
        <w:rPr>
          <w:color w:val="000000"/>
        </w:rPr>
        <w:t xml:space="preserve"> </w:t>
      </w:r>
      <w:r>
        <w:rPr>
          <w:rFonts w:ascii="Times New Roman" w:hAnsi="Times New Roman"/>
          <w:color w:val="000000"/>
          <w:sz w:val="22"/>
        </w:rPr>
        <w:t>in the first quarter of 2025 were 48.4%, versus 53.1% in the first quarter of 2024; and non-GAAP gross margins, which exclude depreciation, amortization, and stock-based compensation, were 53.2% in the first quarter of 2025 versus 56.2% in the first quarter of 2024. Gross margins were impacted by lower volume, price realization and product mix, partially offset by incremental improvements from SBS.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Operating expenses </w:t>
      </w:r>
      <w:r>
        <w:rPr>
          <w:rFonts w:ascii="Times New Roman" w:hAnsi="Times New Roman"/>
          <w:color w:val="000000"/>
          <w:sz w:val="22"/>
        </w:rPr>
        <w:t>in the first quarter of 2025 were $52.7 million, a decrease of $31.7 million, or down 38%, compared to the first quarter of 2024; and non-GAAP operating expenses, which exclude merger-related costs, stock-based compensation, and restructuring charges, were $38.6 million in the first quarter of 2025, a decrease of $10.7 million, or down 22%, compared to the first quarter of 2024. The decrease in operating expenses is a result of the realization of merger cost synergies and continued productivity gains from SBS.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Net loss</w:t>
      </w:r>
      <w:r>
        <w:rPr>
          <w:color w:val="000000"/>
        </w:rPr>
        <w:t xml:space="preserve"> </w:t>
      </w:r>
      <w:r>
        <w:rPr>
          <w:rFonts w:ascii="Times New Roman" w:hAnsi="Times New Roman"/>
          <w:color w:val="000000"/>
          <w:sz w:val="22"/>
        </w:rPr>
        <w:t>for the first quarter of 2025 was $26.0 million, compared to a net loss of $32.2 million in the first quarter of 2024, representing an improvement of $6.2 million or 19%, while adjusted EBITDA for the first quarter of 2025 was a loss of $16.9 million, versus an adjusted EBITDA loss of $23.7 million in the first quarter of 2024, an improvement of $6.8 million, or 29%.</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Full Year 2025 Revenue Outlook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 fiscal year 2025, the Company continues to expect revenue in the range of $165 million to $175 million. This outlook assumes a high single-digit millions decline in our Americas academic revenue due to anticipated NIH funding pressures, no expected effect from U.S. export controls and limited impact from tariffs.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Conference Call Information</w:t>
      </w:r>
    </w:p>
    <w:p>
      <w:pPr>
        <w:pStyle w:val="TextBody"/>
        <w:bidi w:val="0"/>
        <w:jc w:val="left"/>
        <w:rPr>
          <w:rFonts w:ascii="Times New Roman" w:hAnsi="Times New Roman"/>
          <w:sz w:val="20"/>
        </w:rPr>
      </w:pPr>
      <w:r>
        <w:rPr>
          <w:rFonts w:ascii="Times New Roman" w:hAnsi="Times New Roman"/>
          <w:color w:val="000000"/>
          <w:sz w:val="22"/>
        </w:rPr>
        <w:t>Standard BioTools will host a conference call and webcast on May 6</w:t>
      </w:r>
      <w:r>
        <w:rPr>
          <w:rFonts w:ascii="Times New Roman" w:hAnsi="Times New Roman"/>
          <w:color w:val="000000"/>
          <w:sz w:val="15"/>
        </w:rPr>
        <w:t>th</w:t>
      </w:r>
      <w:r>
        <w:rPr>
          <w:rFonts w:ascii="Times New Roman" w:hAnsi="Times New Roman"/>
          <w:color w:val="000000"/>
          <w:sz w:val="22"/>
        </w:rPr>
        <w:t>, 2025, at 4:30 p.m. ET to discuss the first quarter 2025 financial results. Live audio of the webcast will be available online along with an archived version of the webcast under the Events &amp; Presentations page of the Company’s website.</w:t>
      </w:r>
    </w:p>
    <w:p>
      <w:pPr>
        <w:pStyle w:val="TextBody"/>
        <w:bidi w:val="0"/>
        <w:jc w:val="left"/>
        <w:rPr>
          <w:rFonts w:ascii="Times New Roman" w:hAnsi="Times New Roman"/>
          <w:color w:val="000000"/>
          <w:sz w:val="22"/>
        </w:rPr>
      </w:pPr>
      <w:r>
        <w:rPr>
          <w:rFonts w:ascii="Times New Roman" w:hAnsi="Times New Roman"/>
          <w:color w:val="000000"/>
          <w:sz w:val="22"/>
        </w:rPr>
        <w:t>Individuals interested in listening to the conference call may do so by dialing:</w:t>
      </w:r>
    </w:p>
    <w:p>
      <w:pPr>
        <w:pStyle w:val="TextBody"/>
        <w:bidi w:val="0"/>
        <w:jc w:val="left"/>
        <w:rPr>
          <w:rFonts w:ascii="Times New Roman" w:hAnsi="Times New Roman"/>
          <w:color w:val="000000"/>
          <w:sz w:val="22"/>
        </w:rPr>
      </w:pPr>
      <w:r>
        <w:rPr>
          <w:rFonts w:ascii="Times New Roman" w:hAnsi="Times New Roman"/>
          <w:color w:val="000000"/>
          <w:sz w:val="22"/>
        </w:rPr>
        <w:t>US domestic callers: (888) 346-3970</w:t>
      </w:r>
    </w:p>
    <w:p>
      <w:pPr>
        <w:pStyle w:val="TextBody"/>
        <w:bidi w:val="0"/>
        <w:jc w:val="left"/>
        <w:rPr>
          <w:rFonts w:ascii="Times New Roman" w:hAnsi="Times New Roman"/>
          <w:color w:val="000000"/>
          <w:sz w:val="22"/>
        </w:rPr>
      </w:pPr>
      <w:r>
        <w:rPr>
          <w:rFonts w:ascii="Times New Roman" w:hAnsi="Times New Roman"/>
          <w:color w:val="000000"/>
          <w:sz w:val="22"/>
        </w:rPr>
        <w:t>Outside US callers: (412) 902-4297</w:t>
      </w:r>
    </w:p>
    <w:p>
      <w:pPr>
        <w:pStyle w:val="TextBody"/>
        <w:bidi w:val="0"/>
        <w:jc w:val="left"/>
        <w:rPr>
          <w:rFonts w:ascii="Times New Roman" w:hAnsi="Times New Roman"/>
          <w:sz w:val="20"/>
        </w:rPr>
      </w:pPr>
      <w:r>
        <w:rPr>
          <w:rFonts w:ascii="Times New Roman" w:hAnsi="Times New Roman"/>
          <w:b/>
          <w:color w:val="000000"/>
          <w:sz w:val="22"/>
        </w:rPr>
        <w:t>Use of Non-GAAP Financial Information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Standard BioTools has presented certain financial information in accordance with U.S. GAAP and on a non-GAAP basis. The non-GAAP financial measures included in this press release are non-GAAP gross margin, non-GAAP gross profit,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both"/>
        <w:rPr>
          <w:rFonts w:ascii="Times New Roman" w:hAnsi="Times New Roman"/>
          <w:sz w:val="20"/>
        </w:rPr>
      </w:pPr>
      <w:r>
        <w:rPr>
          <w:rFonts w:ascii="Times New Roman" w:hAnsi="Times New Roman"/>
          <w:color w:val="000000"/>
          <w:sz w:val="22"/>
        </w:rPr>
        <w:t>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within the meaning of the Private Securities Litigation Reform Act of 1995, including, among others, statements regarding future financial and business performance, including with respect to future revenue; operational and strategic plans; deployment of capital; market and growth opportunity and potential; and the potential to realize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risks that the anticipated benefits and synergies of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11, 2025, and in the Company’s other filings with the SEC. These forward-looking statements speak only as of the date hereof. The Company disclaims any obligation to update these forward-looking statements except as may be required by law.</w:t>
      </w:r>
    </w:p>
    <w:p>
      <w:pPr>
        <w:pStyle w:val="TextBody"/>
        <w:bidi w:val="0"/>
        <w:jc w:val="both"/>
        <w:rPr>
          <w:rFonts w:ascii="Times New Roman" w:hAnsi="Times New Roman"/>
          <w:sz w:val="20"/>
        </w:rPr>
      </w:pPr>
      <w:r>
        <w:rPr>
          <w:rFonts w:ascii="Times New Roman" w:hAnsi="Times New Roman"/>
          <w:b/>
          <w:color w:val="000000"/>
          <w:sz w:val="22"/>
        </w:rPr>
        <w:t>About Standard BioTools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Standard BioTools Inc. (Nasdaq: LAB),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SomaScan,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t>
      </w:r>
      <w:r>
        <w:rPr>
          <w:rFonts w:ascii="Times New Roman" w:hAnsi="Times New Roman"/>
          <w:sz w:val="22"/>
        </w:rPr>
        <w:t>standardbio.com</w:t>
      </w:r>
      <w:r>
        <w:rPr>
          <w:rFonts w:ascii="Times New Roman" w:hAnsi="Times New Roman"/>
          <w:color w:val="000000"/>
          <w:sz w:val="20"/>
        </w:rPr>
        <w:t xml:space="preserve"> </w:t>
      </w:r>
      <w:r>
        <w:rPr>
          <w:rFonts w:ascii="Times New Roman" w:hAnsi="Times New Roman"/>
          <w:color w:val="000000"/>
          <w:sz w:val="22"/>
        </w:rPr>
        <w:t>or connect with us on X, Facebook®, LinkedIn, and YouTube.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For Research Use Only. Not for use in diagnostic procedures.</w:t>
      </w:r>
    </w:p>
    <w:p>
      <w:pPr>
        <w:pStyle w:val="TextBody"/>
        <w:bidi w:val="0"/>
        <w:jc w:val="left"/>
        <w:rPr>
          <w:rFonts w:ascii="Times New Roman" w:hAnsi="Times New Roman"/>
          <w:sz w:val="20"/>
        </w:rPr>
      </w:pPr>
      <w:r>
        <w:rPr>
          <w:rFonts w:ascii="Times New Roman" w:hAnsi="Times New Roman"/>
          <w:color w:val="000000"/>
          <w:sz w:val="22"/>
        </w:rPr>
        <w:t xml:space="preserve">Limited Use Label License and other terms may apply: </w:t>
      </w:r>
      <w:r>
        <w:rPr>
          <w:rFonts w:ascii="Times New Roman" w:hAnsi="Times New Roman"/>
          <w:sz w:val="22"/>
        </w:rPr>
        <w:t>standardbio.com/legal/salesterms</w:t>
      </w: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color w:val="000000"/>
          <w:sz w:val="22"/>
        </w:rPr>
        <w:t xml:space="preserve">Patent and License Information: </w:t>
      </w:r>
      <w:r>
        <w:rPr>
          <w:rFonts w:ascii="Times New Roman" w:hAnsi="Times New Roman"/>
          <w:sz w:val="22"/>
        </w:rPr>
        <w:t>standardbio.com/legal/notices</w:t>
      </w:r>
      <w:r>
        <w:rPr>
          <w:rFonts w:ascii="Times New Roman" w:hAnsi="Times New Roman"/>
          <w:color w:val="000000"/>
          <w:sz w:val="22"/>
        </w:rPr>
        <w:t xml:space="preserve">. </w:t>
        <w:br/>
        <w:t xml:space="preserve">Trademarks: </w:t>
      </w:r>
      <w:r>
        <w:rPr>
          <w:rFonts w:ascii="Times New Roman" w:hAnsi="Times New Roman"/>
          <w:sz w:val="22"/>
        </w:rPr>
        <w:t>standardbio.com/legal/trademarks</w:t>
      </w:r>
      <w:r>
        <w:rPr>
          <w:rFonts w:ascii="Times New Roman" w:hAnsi="Times New Roman"/>
          <w:color w:val="000000"/>
          <w:sz w:val="22"/>
        </w:rPr>
        <w:t>. Any other trademarks are the sole property of their respective owners. ©2025 Standard BioTools Inc. (f.k.a. Fluidigm Corporation). All rights reserved.</w:t>
      </w:r>
    </w:p>
    <w:p>
      <w:pPr>
        <w:pStyle w:val="TextBody"/>
        <w:bidi w:val="0"/>
        <w:jc w:val="left"/>
        <w:rPr>
          <w:rFonts w:ascii="Times New Roman" w:hAnsi="Times New Roman"/>
          <w:sz w:val="20"/>
        </w:rPr>
      </w:pPr>
      <w:r>
        <w:rPr>
          <w:rFonts w:ascii="Times New Roman" w:hAnsi="Times New Roman"/>
          <w:b/>
          <w:color w:val="000000"/>
          <w:sz w:val="22"/>
        </w:rPr>
        <w:t>Investor Contact:</w:t>
      </w:r>
      <w:r>
        <w:rPr>
          <w:rFonts w:ascii="Times New Roman" w:hAnsi="Times New Roman"/>
          <w:color w:val="000000"/>
          <w:sz w:val="22"/>
        </w:rPr>
        <w:br/>
      </w:r>
      <w:r>
        <w:rPr>
          <w:rFonts w:ascii="Times New Roman" w:hAnsi="Times New Roman"/>
          <w:color w:val="467886"/>
          <w:sz w:val="22"/>
          <w:u w:val="single"/>
        </w:rPr>
        <w:t>ir@standardbio.com</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7"/>
        <w:gridCol w:w="146"/>
        <w:gridCol w:w="248"/>
        <w:gridCol w:w="919"/>
        <w:gridCol w:w="194"/>
        <w:gridCol w:w="171"/>
        <w:gridCol w:w="248"/>
        <w:gridCol w:w="919"/>
        <w:gridCol w:w="393"/>
      </w:tblGrid>
      <w:tr>
        <w:trPr/>
        <w:tc>
          <w:tcPr>
            <w:tcW w:w="6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Induced conversion of redeemable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378,228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294,125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7437" w:type="dxa"/>
        <w:jc w:val="left"/>
        <w:tblInd w:w="0" w:type="dxa"/>
        <w:tblLayout w:type="fixed"/>
        <w:tblCellMar>
          <w:top w:w="28" w:type="dxa"/>
          <w:left w:w="28" w:type="dxa"/>
          <w:bottom w:w="28" w:type="dxa"/>
          <w:right w:w="28" w:type="dxa"/>
        </w:tblCellMar>
      </w:tblPr>
      <w:tblGrid>
        <w:gridCol w:w="4321"/>
        <w:gridCol w:w="346"/>
        <w:gridCol w:w="211"/>
        <w:gridCol w:w="781"/>
        <w:gridCol w:w="146"/>
        <w:gridCol w:w="146"/>
        <w:gridCol w:w="233"/>
        <w:gridCol w:w="862"/>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income,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 income,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sz w:val="20"/>
        </w:rPr>
      </w:pPr>
      <w:r>
        <w:rPr>
          <w:rFonts w:ascii="Times New Roman" w:hAnsi="Times New Roman"/>
          <w:b/>
          <w:color w:val="000000"/>
          <w:sz w:val="22"/>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431" w:type="dxa"/>
        <w:jc w:val="left"/>
        <w:tblInd w:w="0" w:type="dxa"/>
        <w:tblLayout w:type="fixed"/>
        <w:tblCellMar>
          <w:top w:w="28" w:type="dxa"/>
          <w:left w:w="28" w:type="dxa"/>
          <w:bottom w:w="28" w:type="dxa"/>
          <w:right w:w="28" w:type="dxa"/>
        </w:tblCellMar>
      </w:tblPr>
      <w:tblGrid>
        <w:gridCol w:w="6286"/>
        <w:gridCol w:w="146"/>
        <w:gridCol w:w="256"/>
        <w:gridCol w:w="949"/>
        <w:gridCol w:w="201"/>
        <w:gridCol w:w="177"/>
        <w:gridCol w:w="256"/>
        <w:gridCol w:w="949"/>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short-term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acquired in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term loan and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term loan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153,471</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consists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153,471</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sz w:val="20"/>
        </w:rPr>
      </w:pPr>
      <w:r>
        <w:rPr>
          <w:rFonts w:ascii="Times New Roman" w:hAnsi="Times New Roman"/>
          <w:b/>
          <w:color w:val="000000"/>
          <w:sz w:val="22"/>
        </w:rPr>
        <w:t>REVENUE</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2761"/>
        <w:gridCol w:w="146"/>
        <w:gridCol w:w="245"/>
        <w:gridCol w:w="785"/>
        <w:gridCol w:w="169"/>
        <w:gridCol w:w="169"/>
        <w:gridCol w:w="245"/>
        <w:gridCol w:w="785"/>
        <w:gridCol w:w="5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and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GROSS PROFIT AND MARGIN PERCENTAGE</w:t>
      </w:r>
    </w:p>
    <w:p>
      <w:pPr>
        <w:pStyle w:val="TextBody"/>
        <w:bidi w:val="0"/>
        <w:jc w:val="left"/>
        <w:rPr/>
      </w:pPr>
      <w:r>
        <w:rPr/>
        <w:t> </w:t>
      </w:r>
    </w:p>
    <w:tbl>
      <w:tblPr>
        <w:tblW w:w="7126" w:type="dxa"/>
        <w:jc w:val="left"/>
        <w:tblInd w:w="0" w:type="dxa"/>
        <w:tblLayout w:type="fixed"/>
        <w:tblCellMar>
          <w:top w:w="28" w:type="dxa"/>
          <w:left w:w="28" w:type="dxa"/>
          <w:bottom w:w="28" w:type="dxa"/>
          <w:right w:w="28" w:type="dxa"/>
        </w:tblCellMar>
      </w:tblPr>
      <w:tblGrid>
        <w:gridCol w:w="3776"/>
        <w:gridCol w:w="146"/>
        <w:gridCol w:w="268"/>
        <w:gridCol w:w="861"/>
        <w:gridCol w:w="345"/>
        <w:gridCol w:w="185"/>
        <w:gridCol w:w="268"/>
        <w:gridCol w:w="861"/>
        <w:gridCol w:w="41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19,741</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21,721</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OPERATING EXPENSES</w:t>
      </w:r>
    </w:p>
    <w:p>
      <w:pPr>
        <w:pStyle w:val="TextBody"/>
        <w:bidi w:val="0"/>
        <w:jc w:val="left"/>
        <w:rPr/>
      </w:pPr>
      <w:r>
        <w:rPr/>
        <w:t> </w:t>
      </w:r>
    </w:p>
    <w:tbl>
      <w:tblPr>
        <w:tblW w:w="7021" w:type="dxa"/>
        <w:jc w:val="left"/>
        <w:tblInd w:w="0" w:type="dxa"/>
        <w:tblLayout w:type="fixed"/>
        <w:tblCellMar>
          <w:top w:w="28" w:type="dxa"/>
          <w:left w:w="28" w:type="dxa"/>
          <w:bottom w:w="28" w:type="dxa"/>
          <w:right w:w="28" w:type="dxa"/>
        </w:tblCellMar>
      </w:tblPr>
      <w:tblGrid>
        <w:gridCol w:w="3776"/>
        <w:gridCol w:w="146"/>
        <w:gridCol w:w="274"/>
        <w:gridCol w:w="879"/>
        <w:gridCol w:w="215"/>
        <w:gridCol w:w="189"/>
        <w:gridCol w:w="274"/>
        <w:gridCol w:w="957"/>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R&amp;D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28,763</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NET LOSS TO NON-GAAP ADJUSTED EBITDA</w:t>
      </w:r>
    </w:p>
    <w:p>
      <w:pPr>
        <w:pStyle w:val="TextBody"/>
        <w:bidi w:val="0"/>
        <w:jc w:val="left"/>
        <w:rPr/>
      </w:pPr>
      <w:r>
        <w:rPr/>
        <w:t> </w:t>
      </w:r>
    </w:p>
    <w:tbl>
      <w:tblPr>
        <w:tblW w:w="7021" w:type="dxa"/>
        <w:jc w:val="left"/>
        <w:tblInd w:w="0" w:type="dxa"/>
        <w:tblLayout w:type="fixed"/>
        <w:tblCellMar>
          <w:top w:w="28" w:type="dxa"/>
          <w:left w:w="28" w:type="dxa"/>
          <w:bottom w:w="28" w:type="dxa"/>
          <w:right w:w="28" w:type="dxa"/>
        </w:tblCellMar>
      </w:tblPr>
      <w:tblGrid>
        <w:gridCol w:w="3776"/>
        <w:gridCol w:w="146"/>
        <w:gridCol w:w="266"/>
        <w:gridCol w:w="931"/>
        <w:gridCol w:w="210"/>
        <w:gridCol w:w="184"/>
        <w:gridCol w:w="266"/>
        <w:gridCol w:w="931"/>
        <w:gridCol w:w="31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(16,928</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3479</Words>
  <Characters>19887</Characters>
  <CharactersWithSpaces>23614</CharactersWithSpaces>
  <Paragraphs>1814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