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color w:val="auto"/>
        </w:rPr>
        <w:t>February 8, 2011</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20549—1004</w:t>
      </w:r>
    </w:p>
    <w:p>
      <w:pPr>
        <w:sectPr>
          <w:pgSz w:w="11900" w:h="16838" w:orient="portrait"/>
          <w:cols w:equalWidth="0" w:num="1">
            <w:col w:w="11420"/>
          </w:cols>
          <w:pgMar w:left="240" w:top="239" w:right="239" w:bottom="1440" w:gutter="0" w:footer="0" w:header="0"/>
        </w:sectPr>
      </w:pPr>
    </w:p>
    <w:p>
      <w:pPr>
        <w:spacing w:after="0" w:line="20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Russell Mancuso, Branch Chief</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Joseph McCann, Division of Corporation Finance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Mary Beth Breslin, Senior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Brian Cascio, 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Martin James, Senior Assistant Chief Accountant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Jeanne Bennett, Division of Corporation Finance</w:t>
      </w:r>
    </w:p>
    <w:p>
      <w:pPr>
        <w:spacing w:after="0" w:line="200" w:lineRule="exact"/>
        <w:rPr>
          <w:sz w:val="24"/>
          <w:szCs w:val="24"/>
          <w:color w:val="auto"/>
        </w:rPr>
      </w:pPr>
    </w:p>
    <w:p>
      <w:pPr>
        <w:sectPr>
          <w:pgSz w:w="11900" w:h="16838" w:orient="portrait"/>
          <w:cols w:equalWidth="0" w:num="2">
            <w:col w:w="1180" w:space="360"/>
            <w:col w:w="9880"/>
          </w:cols>
          <w:pgMar w:left="240" w:top="239" w:right="239" w:bottom="1440" w:gutter="0" w:footer="0" w:header="0"/>
          <w:type w:val="continuous"/>
        </w:sectPr>
      </w:pPr>
    </w:p>
    <w:p>
      <w:pPr>
        <w:spacing w:after="0" w:line="3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on Form S-1 (File No. 333-170965)</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8-A (File No. 001-34180)</w:t>
      </w:r>
    </w:p>
    <w:p>
      <w:pPr>
        <w:spacing w:after="0" w:line="159" w:lineRule="exact"/>
        <w:rPr>
          <w:sz w:val="24"/>
          <w:szCs w:val="24"/>
          <w:color w:val="auto"/>
        </w:rPr>
      </w:pPr>
    </w:p>
    <w:p>
      <w:pPr>
        <w:sectPr>
          <w:pgSz w:w="11900" w:h="16838" w:orient="portrait"/>
          <w:cols w:equalWidth="0" w:num="2">
            <w:col w:w="740" w:space="300"/>
            <w:col w:w="10380"/>
          </w:cols>
          <w:pgMar w:left="240" w:top="239" w:right="239" w:bottom="1440" w:gutter="0" w:footer="0" w:header="0"/>
          <w:type w:val="continuous"/>
        </w:sectPr>
      </w:pPr>
    </w:p>
    <w:p>
      <w:pPr>
        <w:jc w:val="right"/>
        <w:ind w:right="120"/>
        <w:spacing w:after="0"/>
        <w:rPr>
          <w:sz w:val="20"/>
          <w:szCs w:val="20"/>
          <w:color w:val="auto"/>
        </w:rPr>
      </w:pPr>
      <w:r>
        <w:rPr>
          <w:rFonts w:ascii="Arial" w:cs="Arial" w:eastAsia="Arial" w:hAnsi="Arial"/>
          <w:sz w:val="15"/>
          <w:szCs w:val="15"/>
          <w:b w:val="1"/>
          <w:bCs w:val="1"/>
          <w:color w:val="auto"/>
        </w:rPr>
        <w:t>Acceleration Request</w:t>
      </w:r>
    </w:p>
    <w:p>
      <w:pPr>
        <w:spacing w:after="0" w:line="56" w:lineRule="exact"/>
        <w:rPr>
          <w:sz w:val="24"/>
          <w:szCs w:val="24"/>
          <w:color w:val="auto"/>
        </w:rPr>
      </w:pPr>
    </w:p>
    <w:p>
      <w:pPr>
        <w:jc w:val="right"/>
        <w:ind w:right="120"/>
        <w:spacing w:after="0"/>
        <w:rPr>
          <w:sz w:val="20"/>
          <w:szCs w:val="20"/>
          <w:color w:val="auto"/>
        </w:rPr>
      </w:pPr>
      <w:r>
        <w:rPr>
          <w:rFonts w:ascii="Arial" w:cs="Arial" w:eastAsia="Arial" w:hAnsi="Arial"/>
          <w:sz w:val="18"/>
          <w:szCs w:val="18"/>
          <w:b w:val="1"/>
          <w:bCs w:val="1"/>
          <w:color w:val="auto"/>
        </w:rPr>
        <w:t>Requested Date:</w:t>
      </w:r>
    </w:p>
    <w:p>
      <w:pPr>
        <w:spacing w:after="0" w:line="9" w:lineRule="exact"/>
        <w:rPr>
          <w:sz w:val="24"/>
          <w:szCs w:val="24"/>
          <w:color w:val="auto"/>
        </w:rPr>
      </w:pPr>
    </w:p>
    <w:p>
      <w:pPr>
        <w:jc w:val="right"/>
        <w:ind w:right="80"/>
        <w:spacing w:after="0"/>
        <w:rPr>
          <w:sz w:val="20"/>
          <w:szCs w:val="20"/>
          <w:color w:val="auto"/>
        </w:rPr>
      </w:pPr>
      <w:r>
        <w:rPr>
          <w:rFonts w:ascii="Arial" w:cs="Arial" w:eastAsia="Arial" w:hAnsi="Arial"/>
          <w:sz w:val="18"/>
          <w:szCs w:val="18"/>
          <w:b w:val="1"/>
          <w:bCs w:val="1"/>
          <w:color w:val="auto"/>
        </w:rPr>
        <w:t>Requested Time: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February 9, 2011</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5:00 P.M. Eastern Time</w:t>
      </w:r>
    </w:p>
    <w:p>
      <w:pPr>
        <w:spacing w:after="0" w:line="187" w:lineRule="exact"/>
        <w:rPr>
          <w:sz w:val="24"/>
          <w:szCs w:val="24"/>
          <w:color w:val="auto"/>
        </w:rPr>
      </w:pPr>
    </w:p>
    <w:p>
      <w:pPr>
        <w:sectPr>
          <w:pgSz w:w="11900" w:h="16838" w:orient="portrait"/>
          <w:cols w:equalWidth="0" w:num="2">
            <w:col w:w="2820" w:space="720"/>
            <w:col w:w="7880"/>
          </w:cols>
          <w:pgMar w:left="240" w:top="239"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firstLine="456"/>
        <w:spacing w:after="0" w:line="289" w:lineRule="auto"/>
        <w:rPr>
          <w:sz w:val="20"/>
          <w:szCs w:val="20"/>
          <w:color w:val="auto"/>
        </w:rPr>
      </w:pPr>
      <w:r>
        <w:rPr>
          <w:rFonts w:ascii="Arial" w:cs="Arial" w:eastAsia="Arial" w:hAnsi="Arial"/>
          <w:sz w:val="16"/>
          <w:szCs w:val="16"/>
          <w:color w:val="auto"/>
        </w:rPr>
        <w:t>Pursuant to Rule 461 under the Securities Act of 1933, as amended, and Rule 12d1-2 of the Securities Exchange Act of 1934, as amended, Fluidigm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above-referenced Registration Statement on Form S-l (File No. 333-170965)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be declared effective at the “Requested Date” and “Requested Time” set forth above or at such later time as the Company or its counsel may orally</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via telephone call to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Division of Corporation Finance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 “</w:t>
      </w:r>
      <w:r>
        <w:rPr>
          <w:rFonts w:ascii="Arial" w:cs="Arial" w:eastAsia="Arial" w:hAnsi="Arial"/>
          <w:sz w:val="16"/>
          <w:szCs w:val="16"/>
          <w:b w:val="1"/>
          <w:bCs w:val="1"/>
          <w:color w:val="auto"/>
        </w:rPr>
        <w:t>Registration Statement Acceleration Request</w:t>
      </w:r>
      <w:r>
        <w:rPr>
          <w:rFonts w:ascii="Arial" w:cs="Arial" w:eastAsia="Arial" w:hAnsi="Arial"/>
          <w:sz w:val="16"/>
          <w:szCs w:val="16"/>
          <w:color w:val="auto"/>
        </w:rPr>
        <w:t>”). In connection with the Registration Statement Acceleration Request, the Company hereby requests that the above referenced Form 8-A (File No. 001-34180) also be declared effective at the “Requested Date” and “Requested Time” set forth above or at such later time as the Company or its counsel may orally request via telephone call to the staff. Once the Registration Statement has been declared effective, please orally confirm that event with our counsel, Wilson Sonsini Goodrich &amp; Rosati, P.C., by calling Asaf Kharal at (650) 320-4557.</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the acceleration request, the Company hereby acknowledges that:</w:t>
      </w:r>
    </w:p>
    <w:p>
      <w:pPr>
        <w:spacing w:after="0" w:line="90" w:lineRule="exact"/>
        <w:rPr>
          <w:sz w:val="24"/>
          <w:szCs w:val="24"/>
          <w:color w:val="auto"/>
        </w:rPr>
      </w:pPr>
    </w:p>
    <w:p>
      <w:pPr>
        <w:ind w:left="1460" w:right="100" w:hanging="547"/>
        <w:spacing w:after="0" w:line="332"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Commission or the Staff, acting pursuant to delegated authority, declare the Registration Statement on Form S-1 effective, it does not foreclose the Commission from taking any action with respect to the Registration Statement on Form S-1;</w:t>
      </w:r>
    </w:p>
    <w:p>
      <w:pPr>
        <w:spacing w:after="0" w:line="4" w:lineRule="exact"/>
        <w:rPr>
          <w:rFonts w:ascii="Arial" w:cs="Arial" w:eastAsia="Arial" w:hAnsi="Arial"/>
          <w:sz w:val="16"/>
          <w:szCs w:val="16"/>
          <w:color w:val="auto"/>
        </w:rPr>
      </w:pPr>
    </w:p>
    <w:p>
      <w:pPr>
        <w:jc w:val="both"/>
        <w:ind w:left="1460" w:right="600" w:hanging="547"/>
        <w:spacing w:after="0" w:line="332"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filing effective, does not relieve the Company from its full responsibility for the adequacy and accuracy of the disclosure in the Registration Statement on Form S-1; and</w:t>
      </w:r>
    </w:p>
    <w:p>
      <w:pPr>
        <w:spacing w:after="0" w:line="4" w:lineRule="exact"/>
        <w:rPr>
          <w:rFonts w:ascii="Arial" w:cs="Arial" w:eastAsia="Arial" w:hAnsi="Arial"/>
          <w:sz w:val="16"/>
          <w:szCs w:val="16"/>
          <w:color w:val="auto"/>
        </w:rPr>
      </w:pPr>
    </w:p>
    <w:p>
      <w:pPr>
        <w:ind w:left="1460" w:right="60" w:hanging="547"/>
        <w:spacing w:after="0" w:line="268"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239" w:right="239" w:bottom="1440" w:gutter="0" w:footer="0" w:header="0"/>
          <w:type w:val="continuous"/>
        </w:sectPr>
      </w:pPr>
    </w:p>
    <w:bookmarkStart w:id="1" w:name="page2"/>
    <w:bookmarkEnd w:id="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M. Smith</w:t>
      </w:r>
    </w:p>
    <w:p>
      <w:pPr>
        <w:spacing w:after="0" w:line="15"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Vice President, Legal Affairs, General</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Counsel and Secretary</w:t>
      </w:r>
    </w:p>
    <w:p>
      <w:pPr>
        <w:spacing w:after="0" w:line="219" w:lineRule="exact"/>
        <w:rPr>
          <w:sz w:val="20"/>
          <w:szCs w:val="20"/>
          <w:color w:val="auto"/>
        </w:rPr>
      </w:pPr>
    </w:p>
    <w:p>
      <w:pPr>
        <w:ind w:left="1040" w:right="7399" w:hanging="1032"/>
        <w:spacing w:after="0" w:line="303" w:lineRule="auto"/>
        <w:tabs>
          <w:tab w:leader="none" w:pos="1040" w:val="left"/>
        </w:tabs>
        <w:numPr>
          <w:ilvl w:val="0"/>
          <w:numId w:val="2"/>
        </w:numPr>
        <w:rPr>
          <w:rFonts w:ascii="Arial" w:cs="Arial" w:eastAsia="Arial" w:hAnsi="Arial"/>
          <w:sz w:val="15"/>
          <w:szCs w:val="15"/>
          <w:color w:val="auto"/>
        </w:rPr>
      </w:pPr>
      <w:r>
        <w:rPr>
          <w:rFonts w:ascii="Arial" w:cs="Arial" w:eastAsia="Arial" w:hAnsi="Arial"/>
          <w:sz w:val="15"/>
          <w:szCs w:val="15"/>
          <w:color w:val="auto"/>
        </w:rPr>
        <w:t>David J. Segre, Esq. Robert F. Kornegay, Esq. Asaf H. Kharal, Esq.</w:t>
      </w:r>
    </w:p>
    <w:p>
      <w:pPr>
        <w:spacing w:after="0" w:line="1"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8"/>
          <w:szCs w:val="18"/>
          <w:b w:val="1"/>
          <w:bCs w:val="1"/>
          <w:color w:val="auto"/>
        </w:rPr>
        <w:t>Wilson Sonsini Goodrich &amp; Rosati, P.C.</w:t>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 Shayne Kennedy, Esq.</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Latham &amp; Watkins LLP</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2019-12-10T21:58:49Z</dcterms:created>
  <dcterms:modified xsi:type="dcterms:W3CDTF">2019-12-10T21:58:49Z</dcterms:modified>
</cp:coreProperties>
</file>