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731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7316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526"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JONES ROBERT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12/07/2012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223"/>
        <w:spacing w:after="0"/>
        <w:rPr>
          <w:sz w:val="20"/>
          <w:szCs w:val="20"/>
          <w:color w:val="auto"/>
        </w:rPr>
      </w:pPr>
      <w:r>
        <w:rPr>
          <w:rFonts w:ascii="Arial" w:cs="Arial" w:eastAsia="Arial" w:hAnsi="Arial"/>
          <w:sz w:val="16"/>
          <w:szCs w:val="16"/>
          <w:color w:val="0000FF"/>
        </w:rPr>
        <w:t>EVP, RESEARCH &amp; DEVELOPMENT</w:t>
      </w:r>
    </w:p>
    <w:p>
      <w:pPr>
        <w:spacing w:after="0" w:line="581" w:lineRule="exact"/>
        <w:rPr>
          <w:sz w:val="24"/>
          <w:szCs w:val="24"/>
          <w:color w:val="auto"/>
        </w:rPr>
      </w:pPr>
    </w:p>
    <w:p>
      <w:pPr>
        <w:sectPr>
          <w:pgSz w:w="11900" w:h="16838" w:orient="portrait"/>
          <w:cols w:equalWidth="0" w:num="3">
            <w:col w:w="3360" w:space="720"/>
            <w:col w:w="3257" w:space="720"/>
            <w:col w:w="3463"/>
          </w:cols>
          <w:pgMar w:left="240" w:top="226" w:right="139" w:bottom="526"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526"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jc w:val="center"/>
              <w:ind w:left="348"/>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jc w:val="center"/>
              <w:ind w:left="368"/>
              <w:spacing w:after="0"/>
              <w:rPr>
                <w:sz w:val="20"/>
                <w:szCs w:val="20"/>
                <w:color w:val="auto"/>
              </w:rPr>
            </w:pPr>
            <w:r>
              <w:rPr>
                <w:rFonts w:ascii="Arial" w:cs="Arial" w:eastAsia="Arial" w:hAnsi="Arial"/>
                <w:sz w:val="18"/>
                <w:szCs w:val="18"/>
                <w:color w:val="0000FF"/>
                <w:w w:val="88"/>
              </w:rPr>
              <w:t>12/07/2012</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800" w:type="dxa"/>
            <w:vAlign w:val="bottom"/>
          </w:tcPr>
          <w:p>
            <w:pPr>
              <w:jc w:val="center"/>
              <w:spacing w:after="0"/>
              <w:rPr>
                <w:sz w:val="20"/>
                <w:szCs w:val="20"/>
                <w:color w:val="auto"/>
              </w:rPr>
            </w:pPr>
            <w:r>
              <w:rPr>
                <w:rFonts w:ascii="Arial" w:cs="Arial" w:eastAsia="Arial" w:hAnsi="Arial"/>
                <w:sz w:val="18"/>
                <w:szCs w:val="18"/>
                <w:color w:val="0000FF"/>
                <w:w w:val="88"/>
              </w:rPr>
              <w:t>3,060</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jc w:val="center"/>
              <w:ind w:left="2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3.3908</w:t>
            </w:r>
          </w:p>
        </w:tc>
        <w:tc>
          <w:tcPr>
            <w:tcW w:w="1380" w:type="dxa"/>
            <w:vAlign w:val="bottom"/>
            <w:gridSpan w:val="3"/>
          </w:tcPr>
          <w:p>
            <w:pPr>
              <w:jc w:val="center"/>
              <w:ind w:left="72"/>
              <w:spacing w:after="0"/>
              <w:rPr>
                <w:sz w:val="20"/>
                <w:szCs w:val="20"/>
                <w:color w:val="auto"/>
              </w:rPr>
            </w:pPr>
            <w:r>
              <w:rPr>
                <w:rFonts w:ascii="Arial" w:cs="Arial" w:eastAsia="Arial" w:hAnsi="Arial"/>
                <w:sz w:val="18"/>
                <w:szCs w:val="18"/>
                <w:color w:val="0000FF"/>
                <w:w w:val="88"/>
              </w:rPr>
              <w:t>3,060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68"/>
              <w:spacing w:after="0"/>
              <w:rPr>
                <w:sz w:val="20"/>
                <w:szCs w:val="20"/>
                <w:color w:val="auto"/>
              </w:rPr>
            </w:pPr>
            <w:r>
              <w:rPr>
                <w:rFonts w:ascii="Arial" w:cs="Arial" w:eastAsia="Arial" w:hAnsi="Arial"/>
                <w:sz w:val="18"/>
                <w:szCs w:val="18"/>
                <w:color w:val="0000FF"/>
                <w:w w:val="88"/>
              </w:rPr>
              <w:t>12/07/2012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3,060</w:t>
            </w:r>
            <w:r>
              <w:rPr>
                <w:rFonts w:ascii="Arial" w:cs="Arial" w:eastAsia="Arial" w:hAnsi="Arial"/>
                <w:sz w:val="22"/>
                <w:szCs w:val="22"/>
                <w:color w:val="008000"/>
                <w:w w:val="82"/>
                <w:vertAlign w:val="superscript"/>
              </w:rPr>
              <w:t>(2)</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13.5022</w:t>
            </w:r>
            <w:r>
              <w:rPr>
                <w:rFonts w:ascii="Arial" w:cs="Arial" w:eastAsia="Arial" w:hAnsi="Arial"/>
                <w:sz w:val="22"/>
                <w:szCs w:val="22"/>
                <w:color w:val="008000"/>
                <w:w w:val="85"/>
                <w:vertAlign w:val="superscript"/>
              </w:rPr>
              <w:t>(2)</w:t>
            </w: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54"/>
              <w:spacing w:after="0"/>
              <w:rPr>
                <w:sz w:val="20"/>
                <w:szCs w:val="20"/>
                <w:color w:val="auto"/>
              </w:rPr>
            </w:pPr>
            <w:r>
              <w:rPr>
                <w:rFonts w:ascii="Arial" w:cs="Arial" w:eastAsia="Arial" w:hAnsi="Arial"/>
                <w:sz w:val="18"/>
                <w:szCs w:val="18"/>
                <w:color w:val="0000FF"/>
                <w:w w:val="79"/>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jc w:val="center"/>
              <w:ind w:left="368"/>
              <w:spacing w:after="0"/>
              <w:rPr>
                <w:sz w:val="20"/>
                <w:szCs w:val="20"/>
                <w:color w:val="auto"/>
              </w:rPr>
            </w:pPr>
            <w:r>
              <w:rPr>
                <w:rFonts w:ascii="Arial" w:cs="Arial" w:eastAsia="Arial" w:hAnsi="Arial"/>
                <w:sz w:val="18"/>
                <w:szCs w:val="18"/>
                <w:color w:val="0000FF"/>
                <w:w w:val="88"/>
              </w:rPr>
              <w:t>12/07/2012</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800" w:type="dxa"/>
            <w:vAlign w:val="bottom"/>
          </w:tcPr>
          <w:p>
            <w:pPr>
              <w:jc w:val="center"/>
              <w:spacing w:after="0"/>
              <w:rPr>
                <w:sz w:val="20"/>
                <w:szCs w:val="20"/>
                <w:color w:val="auto"/>
              </w:rPr>
            </w:pPr>
            <w:r>
              <w:rPr>
                <w:rFonts w:ascii="Arial" w:cs="Arial" w:eastAsia="Arial" w:hAnsi="Arial"/>
                <w:sz w:val="18"/>
                <w:szCs w:val="18"/>
                <w:color w:val="0000FF"/>
                <w:w w:val="88"/>
              </w:rPr>
              <w:t>1,156</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jc w:val="center"/>
              <w:ind w:left="2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4.0828</w:t>
            </w:r>
          </w:p>
        </w:tc>
        <w:tc>
          <w:tcPr>
            <w:tcW w:w="1380" w:type="dxa"/>
            <w:vAlign w:val="bottom"/>
            <w:gridSpan w:val="3"/>
          </w:tcPr>
          <w:p>
            <w:pPr>
              <w:jc w:val="center"/>
              <w:ind w:left="72"/>
              <w:spacing w:after="0"/>
              <w:rPr>
                <w:sz w:val="20"/>
                <w:szCs w:val="20"/>
                <w:color w:val="auto"/>
              </w:rPr>
            </w:pPr>
            <w:r>
              <w:rPr>
                <w:rFonts w:ascii="Arial" w:cs="Arial" w:eastAsia="Arial" w:hAnsi="Arial"/>
                <w:sz w:val="18"/>
                <w:szCs w:val="18"/>
                <w:color w:val="0000FF"/>
                <w:w w:val="88"/>
              </w:rPr>
              <w:t>1,156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68"/>
              <w:spacing w:after="0"/>
              <w:rPr>
                <w:sz w:val="20"/>
                <w:szCs w:val="20"/>
                <w:color w:val="auto"/>
              </w:rPr>
            </w:pPr>
            <w:r>
              <w:rPr>
                <w:rFonts w:ascii="Arial" w:cs="Arial" w:eastAsia="Arial" w:hAnsi="Arial"/>
                <w:sz w:val="18"/>
                <w:szCs w:val="18"/>
                <w:color w:val="0000FF"/>
                <w:w w:val="88"/>
              </w:rPr>
              <w:t>12/07/2012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1,156</w:t>
            </w:r>
            <w:r>
              <w:rPr>
                <w:rFonts w:ascii="Arial" w:cs="Arial" w:eastAsia="Arial" w:hAnsi="Arial"/>
                <w:sz w:val="22"/>
                <w:szCs w:val="22"/>
                <w:color w:val="008000"/>
                <w:w w:val="82"/>
                <w:vertAlign w:val="superscript"/>
              </w:rPr>
              <w:t>(2)</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13.5022</w:t>
            </w:r>
            <w:r>
              <w:rPr>
                <w:rFonts w:ascii="Arial" w:cs="Arial" w:eastAsia="Arial" w:hAnsi="Arial"/>
                <w:sz w:val="22"/>
                <w:szCs w:val="22"/>
                <w:color w:val="008000"/>
                <w:w w:val="85"/>
                <w:vertAlign w:val="superscript"/>
              </w:rPr>
              <w:t>(2)</w:t>
            </w: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54"/>
              <w:spacing w:after="0"/>
              <w:rPr>
                <w:sz w:val="20"/>
                <w:szCs w:val="20"/>
                <w:color w:val="auto"/>
              </w:rPr>
            </w:pPr>
            <w:r>
              <w:rPr>
                <w:rFonts w:ascii="Arial" w:cs="Arial" w:eastAsia="Arial" w:hAnsi="Arial"/>
                <w:sz w:val="18"/>
                <w:szCs w:val="18"/>
                <w:color w:val="0000FF"/>
                <w:w w:val="79"/>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3,060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ind w:left="2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3.3908</w:t>
            </w:r>
          </w:p>
        </w:tc>
        <w:tc>
          <w:tcPr>
            <w:tcW w:w="1140" w:type="dxa"/>
            <w:vAlign w:val="bottom"/>
          </w:tcPr>
          <w:p>
            <w:pPr>
              <w:jc w:val="right"/>
              <w:ind w:right="192"/>
              <w:spacing w:after="0" w:line="133" w:lineRule="exact"/>
              <w:rPr>
                <w:sz w:val="20"/>
                <w:szCs w:val="20"/>
                <w:color w:val="auto"/>
              </w:rPr>
            </w:pPr>
            <w:r>
              <w:rPr>
                <w:rFonts w:ascii="Arial" w:cs="Arial" w:eastAsia="Arial" w:hAnsi="Arial"/>
                <w:sz w:val="14"/>
                <w:szCs w:val="14"/>
                <w:color w:val="0000FF"/>
              </w:rPr>
              <w:t>12/07/2012</w:t>
            </w:r>
          </w:p>
        </w:tc>
        <w:tc>
          <w:tcPr>
            <w:tcW w:w="1140" w:type="dxa"/>
            <w:vAlign w:val="bottom"/>
          </w:tcPr>
          <w:p>
            <w:pPr>
              <w:spacing w:after="0"/>
              <w:rPr>
                <w:sz w:val="11"/>
                <w:szCs w:val="11"/>
                <w:color w:val="auto"/>
              </w:rPr>
            </w:pPr>
          </w:p>
        </w:tc>
        <w:tc>
          <w:tcPr>
            <w:tcW w:w="42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11"/>
                <w:szCs w:val="11"/>
                <w:color w:val="auto"/>
              </w:rPr>
            </w:pPr>
          </w:p>
        </w:tc>
        <w:tc>
          <w:tcPr>
            <w:tcW w:w="700" w:type="dxa"/>
            <w:vAlign w:val="bottom"/>
          </w:tcPr>
          <w:p>
            <w:pPr>
              <w:ind w:left="360"/>
              <w:spacing w:after="0" w:line="133" w:lineRule="exact"/>
              <w:rPr>
                <w:sz w:val="20"/>
                <w:szCs w:val="20"/>
                <w:color w:val="auto"/>
              </w:rPr>
            </w:pPr>
            <w:r>
              <w:rPr>
                <w:rFonts w:ascii="Arial" w:cs="Arial" w:eastAsia="Arial" w:hAnsi="Arial"/>
                <w:sz w:val="14"/>
                <w:szCs w:val="14"/>
                <w:color w:val="0000FF"/>
                <w:w w:val="91"/>
              </w:rPr>
              <w:t>3,060</w:t>
            </w:r>
          </w:p>
        </w:tc>
        <w:tc>
          <w:tcPr>
            <w:tcW w:w="820" w:type="dxa"/>
            <w:vAlign w:val="bottom"/>
            <w:vMerge w:val="continue"/>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4"/>
                <w:szCs w:val="14"/>
                <w:color w:val="0000FF"/>
                <w:w w:val="94"/>
              </w:rPr>
              <w:t>08/02/2015</w:t>
            </w:r>
          </w:p>
        </w:tc>
        <w:tc>
          <w:tcPr>
            <w:tcW w:w="5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6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jc w:val="right"/>
              <w:ind w:right="114"/>
              <w:spacing w:after="0" w:line="133"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1,156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ind w:left="2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4.0828</w:t>
            </w:r>
          </w:p>
        </w:tc>
        <w:tc>
          <w:tcPr>
            <w:tcW w:w="1140" w:type="dxa"/>
            <w:vAlign w:val="bottom"/>
          </w:tcPr>
          <w:p>
            <w:pPr>
              <w:jc w:val="right"/>
              <w:ind w:right="192"/>
              <w:spacing w:after="0" w:line="133" w:lineRule="exact"/>
              <w:rPr>
                <w:sz w:val="20"/>
                <w:szCs w:val="20"/>
                <w:color w:val="auto"/>
              </w:rPr>
            </w:pPr>
            <w:r>
              <w:rPr>
                <w:rFonts w:ascii="Arial" w:cs="Arial" w:eastAsia="Arial" w:hAnsi="Arial"/>
                <w:sz w:val="14"/>
                <w:szCs w:val="14"/>
                <w:color w:val="0000FF"/>
              </w:rPr>
              <w:t>12/07/2012</w:t>
            </w:r>
          </w:p>
        </w:tc>
        <w:tc>
          <w:tcPr>
            <w:tcW w:w="1140" w:type="dxa"/>
            <w:vAlign w:val="bottom"/>
          </w:tcPr>
          <w:p>
            <w:pPr>
              <w:spacing w:after="0"/>
              <w:rPr>
                <w:sz w:val="11"/>
                <w:szCs w:val="11"/>
                <w:color w:val="auto"/>
              </w:rPr>
            </w:pPr>
          </w:p>
        </w:tc>
        <w:tc>
          <w:tcPr>
            <w:tcW w:w="42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11"/>
                <w:szCs w:val="11"/>
                <w:color w:val="auto"/>
              </w:rPr>
            </w:pPr>
          </w:p>
        </w:tc>
        <w:tc>
          <w:tcPr>
            <w:tcW w:w="700" w:type="dxa"/>
            <w:vAlign w:val="bottom"/>
          </w:tcPr>
          <w:p>
            <w:pPr>
              <w:ind w:left="360"/>
              <w:spacing w:after="0" w:line="133" w:lineRule="exact"/>
              <w:rPr>
                <w:sz w:val="20"/>
                <w:szCs w:val="20"/>
                <w:color w:val="auto"/>
              </w:rPr>
            </w:pPr>
            <w:r>
              <w:rPr>
                <w:rFonts w:ascii="Arial" w:cs="Arial" w:eastAsia="Arial" w:hAnsi="Arial"/>
                <w:sz w:val="14"/>
                <w:szCs w:val="14"/>
                <w:color w:val="0000FF"/>
                <w:w w:val="91"/>
              </w:rPr>
              <w:t>1,156</w:t>
            </w:r>
          </w:p>
        </w:tc>
        <w:tc>
          <w:tcPr>
            <w:tcW w:w="820" w:type="dxa"/>
            <w:vAlign w:val="bottom"/>
            <w:vMerge w:val="continue"/>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4"/>
                <w:szCs w:val="14"/>
                <w:color w:val="0000FF"/>
                <w:w w:val="94"/>
              </w:rPr>
              <w:t>11/17/2019</w:t>
            </w:r>
          </w:p>
        </w:tc>
        <w:tc>
          <w:tcPr>
            <w:tcW w:w="5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6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jc w:val="right"/>
              <w:spacing w:after="0" w:line="133" w:lineRule="exact"/>
              <w:rPr>
                <w:sz w:val="20"/>
                <w:szCs w:val="20"/>
                <w:color w:val="auto"/>
              </w:rPr>
            </w:pPr>
            <w:r>
              <w:rPr>
                <w:rFonts w:ascii="Arial" w:cs="Arial" w:eastAsia="Arial" w:hAnsi="Arial"/>
                <w:sz w:val="14"/>
                <w:szCs w:val="14"/>
                <w:color w:val="0000FF"/>
              </w:rPr>
              <w:t>4,624</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by Mr. Jones were effected pursuant to a Rule 10b5-1 trading plan adopted on February 24, 2012.</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$13.43 to $13.59,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subject to the Option fully vested on August 1, 2009.</w:t>
      </w:r>
    </w:p>
    <w:p>
      <w:pPr>
        <w:spacing w:after="0" w:line="41" w:lineRule="exact"/>
        <w:rPr>
          <w:rFonts w:ascii="Arial" w:cs="Arial" w:eastAsia="Arial" w:hAnsi="Arial"/>
          <w:sz w:val="14"/>
          <w:szCs w:val="14"/>
          <w:color w:val="008000"/>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61% of the shares subject to the Option vested on December 31, 2009, 25% of the remaining 39% of the shares subject to the Option vested on April 1, 2010 and 1/48th of the remaining 39% of the shares subject to the Option shall vest each month thereafter such that all shares subject to the Option shall be fully vested on April 1, 2013.</w:t>
      </w:r>
    </w:p>
    <w:p>
      <w:pPr>
        <w:ind w:left="6860"/>
        <w:spacing w:after="0" w:line="183" w:lineRule="auto"/>
        <w:rPr>
          <w:sz w:val="20"/>
          <w:szCs w:val="20"/>
          <w:color w:val="auto"/>
        </w:rPr>
      </w:pPr>
      <w:r>
        <w:rPr>
          <w:rFonts w:ascii="Arial" w:cs="Arial" w:eastAsia="Arial" w:hAnsi="Arial"/>
          <w:sz w:val="17"/>
          <w:szCs w:val="17"/>
          <w:color w:val="0000FF"/>
        </w:rPr>
        <w:t xml:space="preserve">/s/ Valerie Barnett, attorney-in- </w:t>
      </w:r>
      <w:r>
        <w:rPr>
          <w:rFonts w:ascii="Arial" w:cs="Arial" w:eastAsia="Arial" w:hAnsi="Arial"/>
          <w:sz w:val="33"/>
          <w:szCs w:val="33"/>
          <w:color w:val="0000FF"/>
          <w:vertAlign w:val="subscript"/>
        </w:rPr>
        <w:t>12/11/2012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5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2642"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2019-12-17T16:21:14Z</dcterms:created>
  <dcterms:modified xsi:type="dcterms:W3CDTF">2019-12-17T16:21:14Z</dcterms:modified>
</cp:coreProperties>
</file>